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11A83" w:rsidR="00B10F71" w:rsidP="00041B86" w:rsidRDefault="00201C0D" w14:paraId="51974F0B" w14:textId="39EB9C02">
      <w:pPr>
        <w:spacing w:after="0" w:line="240" w:lineRule="auto"/>
        <w:jc w:val="center"/>
        <w:rPr>
          <w:rFonts w:ascii="Times New Roman" w:hAnsi="Times New Roman" w:cs="Times New Roman"/>
          <w:b/>
          <w:sz w:val="24"/>
          <w:szCs w:val="24"/>
          <w:lang w:val="es-PE" w:eastAsia="ar-SA"/>
        </w:rPr>
      </w:pPr>
      <w:r w:rsidRPr="00311A83">
        <w:rPr>
          <w:rFonts w:ascii="Times New Roman" w:hAnsi="Times New Roman" w:cs="Times New Roman"/>
          <w:b/>
          <w:sz w:val="24"/>
          <w:szCs w:val="24"/>
          <w:lang w:val="es-PE" w:eastAsia="ar-SA"/>
        </w:rPr>
        <w:t xml:space="preserve">RESOLUCIÓN DE RECURSO IMPUGNATIVO </w:t>
      </w:r>
      <w:proofErr w:type="spellStart"/>
      <w:r w:rsidRPr="00311A83" w:rsidR="00707C99">
        <w:rPr>
          <w:rFonts w:ascii="Times New Roman" w:hAnsi="Times New Roman" w:cs="Times New Roman"/>
          <w:b/>
          <w:sz w:val="24"/>
          <w:szCs w:val="24"/>
          <w:lang w:val="es-PE" w:eastAsia="ar-SA"/>
        </w:rPr>
        <w:t>N°</w:t>
      </w:r>
      <w:proofErr w:type="spellEnd"/>
      <w:r w:rsidRPr="00311A83" w:rsidR="00707C99">
        <w:rPr>
          <w:rFonts w:ascii="Times New Roman" w:hAnsi="Times New Roman" w:cs="Times New Roman"/>
          <w:b/>
          <w:sz w:val="24"/>
          <w:szCs w:val="24"/>
          <w:lang w:val="es-PE" w:eastAsia="ar-SA"/>
        </w:rPr>
        <w:t xml:space="preserve"> </w:t>
      </w:r>
      <w:r w:rsidRPr="00311A83" w:rsidR="00C671F5">
        <w:rPr>
          <w:rFonts w:ascii="Times New Roman" w:hAnsi="Times New Roman" w:cs="Times New Roman"/>
          <w:b/>
          <w:sz w:val="24"/>
          <w:szCs w:val="24"/>
          <w:lang w:val="es-PE" w:eastAsia="ar-SA"/>
        </w:rPr>
        <w:t>0</w:t>
      </w:r>
      <w:r w:rsidRPr="00311A83" w:rsidR="00B93683">
        <w:rPr>
          <w:rFonts w:ascii="Times New Roman" w:hAnsi="Times New Roman" w:cs="Times New Roman"/>
          <w:b/>
          <w:sz w:val="24"/>
          <w:szCs w:val="24"/>
          <w:lang w:val="es-PE" w:eastAsia="ar-SA"/>
        </w:rPr>
        <w:t>4</w:t>
      </w:r>
      <w:r w:rsidRPr="00311A83" w:rsidR="003F6B30">
        <w:rPr>
          <w:rFonts w:ascii="Times New Roman" w:hAnsi="Times New Roman" w:cs="Times New Roman"/>
          <w:b/>
          <w:sz w:val="24"/>
          <w:szCs w:val="24"/>
          <w:lang w:val="es-PE" w:eastAsia="ar-SA"/>
        </w:rPr>
        <w:t>3</w:t>
      </w:r>
      <w:r w:rsidRPr="00311A83" w:rsidR="00C671F5">
        <w:rPr>
          <w:rFonts w:ascii="Times New Roman" w:hAnsi="Times New Roman" w:cs="Times New Roman"/>
          <w:b/>
          <w:sz w:val="24"/>
          <w:szCs w:val="24"/>
          <w:lang w:val="es-PE" w:eastAsia="ar-SA"/>
        </w:rPr>
        <w:t>/2</w:t>
      </w:r>
      <w:r w:rsidRPr="00311A83" w:rsidR="00B93C7A">
        <w:rPr>
          <w:rFonts w:ascii="Times New Roman" w:hAnsi="Times New Roman" w:cs="Times New Roman"/>
          <w:b/>
          <w:sz w:val="24"/>
          <w:szCs w:val="24"/>
          <w:lang w:val="es-PE" w:eastAsia="ar-SA"/>
        </w:rPr>
        <w:t>2</w:t>
      </w:r>
    </w:p>
    <w:p w:rsidRPr="00311A83"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311A83" w:rsidR="00311A83" w:rsidP="00311A83" w:rsidRDefault="00311A83" w14:paraId="35056A40"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311A83">
        <w:rPr>
          <w:rFonts w:ascii="Times New Roman" w:hAnsi="Times New Roman" w:eastAsia="Times New Roman" w:cs="Times New Roman"/>
          <w:b/>
          <w:bCs/>
          <w:sz w:val="24"/>
          <w:szCs w:val="24"/>
          <w:lang w:val="es-MX" w:eastAsia="ar-SA"/>
        </w:rPr>
        <w:t>Vistos:</w:t>
      </w:r>
    </w:p>
    <w:p w:rsidRPr="00311A83" w:rsidR="00311A83" w:rsidP="00311A83" w:rsidRDefault="00311A83" w14:paraId="2BC9E408"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311A83">
        <w:rPr>
          <w:rFonts w:ascii="Times New Roman" w:hAnsi="Times New Roman" w:eastAsia="Times New Roman" w:cs="Times New Roman"/>
          <w:b/>
          <w:bCs/>
          <w:sz w:val="24"/>
          <w:szCs w:val="24"/>
          <w:lang w:val="es-MX" w:eastAsia="ar-SA"/>
        </w:rPr>
        <w:t xml:space="preserve">   </w:t>
      </w:r>
    </w:p>
    <w:p w:rsidRPr="00311A83" w:rsidR="00311A83" w:rsidP="00311A83" w:rsidRDefault="00311A83" w14:paraId="7B3DC505" w14:textId="2765418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6C7FD593" w:rsidR="00311A83">
        <w:rPr>
          <w:rFonts w:ascii="Times New Roman" w:hAnsi="Times New Roman" w:eastAsia="Times New Roman" w:cs="Times New Roman"/>
          <w:sz w:val="24"/>
          <w:szCs w:val="24"/>
          <w:lang w:val="es-ES" w:eastAsia="ar-SA"/>
        </w:rPr>
        <w:t>El recurso de impugnación presentado con fecha 07 de junio de 2022 por</w:t>
      </w:r>
      <w:r w:rsidRPr="6C7FD593" w:rsidR="00311A83">
        <w:rPr>
          <w:rFonts w:ascii="Times New Roman" w:hAnsi="Times New Roman" w:cs="Times New Roman"/>
          <w:sz w:val="24"/>
          <w:szCs w:val="24"/>
          <w:lang w:val="es-ES"/>
        </w:rPr>
        <w:t xml:space="preserve"> </w:t>
      </w:r>
      <w:r w:rsidRPr="6C7FD593" w:rsidR="403BF5B2">
        <w:rPr>
          <w:rFonts w:ascii="Times New Roman" w:hAnsi="Times New Roman" w:cs="Times New Roman"/>
          <w:sz w:val="24"/>
          <w:szCs w:val="24"/>
          <w:lang w:val="es-ES"/>
        </w:rPr>
        <w:t>.................................</w:t>
      </w:r>
      <w:r w:rsidRPr="6C7FD593" w:rsidR="00311A83">
        <w:rPr>
          <w:rFonts w:ascii="Times New Roman" w:hAnsi="Times New Roman" w:cs="Times New Roman"/>
          <w:sz w:val="24"/>
          <w:szCs w:val="24"/>
          <w:lang w:val="es-ES"/>
        </w:rPr>
        <w:t xml:space="preserve">, </w:t>
      </w:r>
      <w:r w:rsidRPr="6C7FD593" w:rsidR="00311A83">
        <w:rPr>
          <w:rFonts w:ascii="Times New Roman" w:hAnsi="Times New Roman" w:eastAsia="Times New Roman" w:cs="Times New Roman"/>
          <w:sz w:val="24"/>
          <w:szCs w:val="24"/>
          <w:lang w:val="es-ES" w:eastAsia="ar-SA"/>
        </w:rPr>
        <w:t xml:space="preserve">respecto de la Resolución Nro. 116/22, de fecha 07 de junio de 2022, emitida por esta Defensoría del Asegurado (DEFASEG), que declaró FUNDADA EN PARTE </w:t>
      </w:r>
      <w:r w:rsidRPr="6C7FD593" w:rsidR="00311A83">
        <w:rPr>
          <w:rFonts w:ascii="Times New Roman" w:hAnsi="Times New Roman" w:eastAsia="Arial Unicode MS" w:cs="Times New Roman"/>
          <w:sz w:val="24"/>
          <w:szCs w:val="24"/>
          <w:lang w:val="es-PE"/>
        </w:rPr>
        <w:t xml:space="preserve">la reclamación interpuesta por </w:t>
      </w:r>
      <w:r w:rsidRPr="6C7FD593" w:rsidR="0735B9E8">
        <w:rPr>
          <w:rFonts w:ascii="Times New Roman" w:hAnsi="Times New Roman" w:eastAsia="Arial Unicode MS" w:cs="Times New Roman"/>
          <w:sz w:val="24"/>
          <w:szCs w:val="24"/>
          <w:lang w:val="es-PE"/>
        </w:rPr>
        <w:t>.................................</w:t>
      </w:r>
      <w:r w:rsidRPr="6C7FD593" w:rsidR="00311A83">
        <w:rPr>
          <w:rFonts w:ascii="Times New Roman" w:hAnsi="Times New Roman" w:eastAsia="Arial Unicode MS" w:cs="Times New Roman"/>
          <w:sz w:val="24"/>
          <w:szCs w:val="24"/>
          <w:lang w:val="es-PE"/>
        </w:rPr>
        <w:t xml:space="preserve"> </w:t>
      </w:r>
      <w:r w:rsidRPr="6C7FD593" w:rsidR="00311A83">
        <w:rPr>
          <w:rFonts w:ascii="Times New Roman" w:hAnsi="Times New Roman" w:cs="Times New Roman"/>
          <w:sz w:val="24"/>
          <w:szCs w:val="24"/>
          <w:lang w:val="es-ES"/>
        </w:rPr>
        <w:t>sobre</w:t>
      </w:r>
      <w:r w:rsidRPr="6C7FD593" w:rsidR="00311A83">
        <w:rPr>
          <w:rFonts w:ascii="Times New Roman" w:hAnsi="Times New Roman" w:cs="Times New Roman"/>
          <w:sz w:val="24"/>
          <w:szCs w:val="24"/>
          <w:lang w:val="es-PE"/>
        </w:rPr>
        <w:t xml:space="preserve"> cobertura de invalidez parcial permanente conforme a la póliza de seguro de accidentes personales contratada a través de </w:t>
      </w:r>
      <w:r w:rsidRPr="6C7FD593" w:rsidR="00311A83">
        <w:rPr>
          <w:rFonts w:ascii="Times New Roman" w:hAnsi="Times New Roman" w:cs="Times New Roman"/>
          <w:sz w:val="24"/>
          <w:szCs w:val="24"/>
          <w:lang w:val="es-PE"/>
        </w:rPr>
        <w:t>Essalud</w:t>
      </w:r>
      <w:r w:rsidRPr="6C7FD593" w:rsidR="00311A83">
        <w:rPr>
          <w:rFonts w:ascii="Times New Roman" w:hAnsi="Times New Roman" w:cs="Times New Roman"/>
          <w:sz w:val="24"/>
          <w:szCs w:val="24"/>
          <w:lang w:val="es-PE"/>
        </w:rPr>
        <w:t xml:space="preserve">; </w:t>
      </w:r>
    </w:p>
    <w:p w:rsidRPr="00311A83" w:rsidR="00311A83" w:rsidP="00311A83" w:rsidRDefault="00311A83" w14:paraId="0BBC40EA"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311A83" w:rsidR="00311A83" w:rsidP="6C7FD593" w:rsidRDefault="00311A83" w14:paraId="5012FA4B" w14:textId="41DAAD58">
      <w:pPr>
        <w:suppressAutoHyphens/>
        <w:spacing w:after="0" w:line="240" w:lineRule="auto"/>
        <w:jc w:val="both"/>
        <w:rPr>
          <w:rFonts w:ascii="Times New Roman" w:hAnsi="Times New Roman" w:eastAsia="Times New Roman" w:cs="Times New Roman"/>
          <w:sz w:val="24"/>
          <w:szCs w:val="24"/>
          <w:lang w:val="es-MX" w:eastAsia="ar-SA"/>
        </w:rPr>
      </w:pPr>
      <w:r w:rsidRPr="6C7FD593" w:rsidR="00311A83">
        <w:rPr>
          <w:rFonts w:ascii="Times New Roman" w:hAnsi="Times New Roman" w:eastAsia="Times New Roman" w:cs="Times New Roman"/>
          <w:sz w:val="24"/>
          <w:szCs w:val="24"/>
          <w:lang w:val="es-MX" w:eastAsia="ar-SA"/>
        </w:rPr>
        <w:t xml:space="preserve">Que, a través del señalado recurso, </w:t>
      </w:r>
      <w:r w:rsidRPr="6C7FD593" w:rsidR="403BF5B2">
        <w:rPr>
          <w:rFonts w:ascii="Times New Roman" w:hAnsi="Times New Roman" w:cs="Times New Roman"/>
          <w:sz w:val="24"/>
          <w:szCs w:val="24"/>
          <w:lang w:val="es-ES"/>
        </w:rPr>
        <w:t>.................................</w:t>
      </w:r>
      <w:r w:rsidRPr="6C7FD593" w:rsidR="00311A83">
        <w:rPr>
          <w:rFonts w:ascii="Times New Roman" w:hAnsi="Times New Roman" w:cs="Times New Roman"/>
          <w:sz w:val="24"/>
          <w:szCs w:val="24"/>
          <w:lang w:val="es-ES"/>
        </w:rPr>
        <w:t xml:space="preserve"> </w:t>
      </w:r>
      <w:r w:rsidRPr="6C7FD593" w:rsidR="00311A83">
        <w:rPr>
          <w:rFonts w:ascii="Times New Roman" w:hAnsi="Times New Roman" w:eastAsia="Times New Roman" w:cs="Times New Roman"/>
          <w:sz w:val="24"/>
          <w:szCs w:val="24"/>
          <w:lang w:val="es-MX" w:eastAsia="ar-SA"/>
        </w:rPr>
        <w:t xml:space="preserve">cuestiona lo resuelto por este colegiado, por cuanto en resumen señalan: a) que la prueba en base a la cual se ha declarado fundado el reclamo no resulta idónea para demostrar el padecimiento de una invalidez por accidente profesional, toda vez que el Centro Médico </w:t>
      </w:r>
      <w:r w:rsidRPr="6C7FD593" w:rsidR="135F27BB">
        <w:rPr>
          <w:rFonts w:ascii="Times New Roman" w:hAnsi="Times New Roman" w:eastAsia="Times New Roman" w:cs="Times New Roman"/>
          <w:sz w:val="24"/>
          <w:szCs w:val="24"/>
          <w:lang w:val="es-MX" w:eastAsia="ar-SA"/>
        </w:rPr>
        <w:t>.................................</w:t>
      </w:r>
      <w:r w:rsidRPr="6C7FD593" w:rsidR="00311A83">
        <w:rPr>
          <w:rFonts w:ascii="Times New Roman" w:hAnsi="Times New Roman" w:eastAsia="Times New Roman" w:cs="Times New Roman"/>
          <w:sz w:val="24"/>
          <w:szCs w:val="24"/>
          <w:lang w:val="es-MX" w:eastAsia="ar-SA"/>
        </w:rPr>
        <w:t xml:space="preserve"> no se encuentra autorizada para conformar comisiones médicas el cual es un requisito legal de validez; b) añaden que estamos ante un accidente de trabajo, que el reclamante ha presentado un informe médico adicional emitido por </w:t>
      </w:r>
      <w:r w:rsidRPr="6C7FD593" w:rsidR="135F27BB">
        <w:rPr>
          <w:rFonts w:ascii="Times New Roman" w:hAnsi="Times New Roman" w:eastAsia="Times New Roman" w:cs="Times New Roman"/>
          <w:sz w:val="24"/>
          <w:szCs w:val="24"/>
          <w:lang w:val="es-MX" w:eastAsia="ar-SA"/>
        </w:rPr>
        <w:t>.................................</w:t>
      </w:r>
      <w:r w:rsidRPr="6C7FD593" w:rsidR="00311A83">
        <w:rPr>
          <w:rFonts w:ascii="Times New Roman" w:hAnsi="Times New Roman" w:eastAsia="Times New Roman" w:cs="Times New Roman"/>
          <w:sz w:val="24"/>
          <w:szCs w:val="24"/>
          <w:lang w:val="es-MX" w:eastAsia="ar-SA"/>
        </w:rPr>
        <w:t xml:space="preserve"> que señala que padecería de cofosis en el oído izquierdo que significa la pérdida total de dicho oído, lo cual sí configuraría uno de los supuestos de la tabla que es “sordera total e incurable de un oído”, pero que la Resolución Directoral </w:t>
      </w:r>
      <w:r w:rsidRPr="6C7FD593" w:rsidR="00311A83">
        <w:rPr>
          <w:rFonts w:ascii="Times New Roman" w:hAnsi="Times New Roman" w:eastAsia="Times New Roman" w:cs="Times New Roman"/>
          <w:sz w:val="24"/>
          <w:szCs w:val="24"/>
          <w:lang w:val="es-MX" w:eastAsia="ar-SA"/>
        </w:rPr>
        <w:t>Nº</w:t>
      </w:r>
      <w:r w:rsidRPr="6C7FD593" w:rsidR="00311A83">
        <w:rPr>
          <w:rFonts w:ascii="Times New Roman" w:hAnsi="Times New Roman" w:eastAsia="Times New Roman" w:cs="Times New Roman"/>
          <w:sz w:val="24"/>
          <w:szCs w:val="24"/>
          <w:lang w:val="es-MX" w:eastAsia="ar-SA"/>
        </w:rPr>
        <w:t xml:space="preserve"> 228-2020-DG/INSM-“HD-HN” del 16 de setiembre de 2020, concluye que cada comisión médica calificadora de incapacidad debe estar integrada por tres (3) miembros titulares y tres (3) suplentes; c) que la sentencia del Tribunal Constitucional recaída en el expediente 02513-2007/PA/TC determinó que la enfermedad profesional únicamente podrá ser acreditada con un examen o dictamen médico emitido por una Comisión Médica Evaluadora, de modo tal que si se comprobara el examen o dictamen médico es falso o contiene datos inexactos serán responsables de ello el médico que emitió el certificado y cada uno de los integrantes de las Comisiones Médicas; d) que ello los lleva a concluir que el certificado en el cual se basa la DEFASEG no cabe ni sirve para acreditar la incapacidad mencionada ya que ha sido firmada por un solo médico, y emitido por una entidad no autorizada para que pueda diagnosticar enfermedades profesionales, lo que no da certeza que el menoscabo sea veraz; e) que al ser un accidentes de trabajo, solo las entidades legitimadas para certificar enfermedades profesionales pueden emitir dictámenes válidos que comprueben la existencia de algún grado de invalidez.</w:t>
      </w:r>
    </w:p>
    <w:p w:rsidRPr="00311A83" w:rsidR="00311A83" w:rsidP="00311A83" w:rsidRDefault="00311A83" w14:paraId="0318EC5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311A83" w:rsidR="00311A83" w:rsidP="6C7FD593" w:rsidRDefault="00311A83" w14:paraId="6E2E5D1A" w14:textId="27BBE26D">
      <w:pPr>
        <w:suppressAutoHyphens/>
        <w:spacing w:after="0" w:line="240" w:lineRule="auto"/>
        <w:jc w:val="both"/>
        <w:rPr>
          <w:rFonts w:ascii="Times New Roman" w:hAnsi="Times New Roman" w:eastAsia="Times New Roman" w:cs="Times New Roman"/>
          <w:sz w:val="24"/>
          <w:szCs w:val="24"/>
          <w:lang w:val="es-MX" w:eastAsia="ar-SA"/>
        </w:rPr>
      </w:pPr>
      <w:r w:rsidRPr="6C7FD593" w:rsidR="00311A83">
        <w:rPr>
          <w:rFonts w:ascii="Times New Roman" w:hAnsi="Times New Roman" w:eastAsia="Times New Roman" w:cs="Times New Roman"/>
          <w:sz w:val="24"/>
          <w:szCs w:val="24"/>
          <w:lang w:val="es-MX" w:eastAsia="ar-SA"/>
        </w:rPr>
        <w:t xml:space="preserve">Que, habiéndose corrido traslado de la señalada impugnación, el asegurado absolvió el respectivo trámite manifestando que en la audiencia de vista se le requirió presentar un informe médico que acredite la sordera total de un oído que refirió, lo cual fue aceptado por el representante de </w:t>
      </w:r>
      <w:r w:rsidRPr="6C7FD593" w:rsidR="74CAE7DC">
        <w:rPr>
          <w:rFonts w:ascii="Times New Roman" w:hAnsi="Times New Roman" w:eastAsia="Times New Roman" w:cs="Times New Roman"/>
          <w:sz w:val="24"/>
          <w:szCs w:val="24"/>
          <w:lang w:val="es-MX" w:eastAsia="ar-SA"/>
        </w:rPr>
        <w:t>..................</w:t>
      </w:r>
      <w:r w:rsidRPr="6C7FD593" w:rsidR="00311A83">
        <w:rPr>
          <w:rFonts w:ascii="Times New Roman" w:hAnsi="Times New Roman" w:eastAsia="Times New Roman" w:cs="Times New Roman"/>
          <w:sz w:val="24"/>
          <w:szCs w:val="24"/>
          <w:lang w:val="es-MX" w:eastAsia="ar-SA"/>
        </w:rPr>
        <w:t xml:space="preserve">, que en su caso cuenta con un dictamen emitido por </w:t>
      </w:r>
      <w:r w:rsidRPr="6C7FD593" w:rsidR="403BF5B2">
        <w:rPr>
          <w:rFonts w:ascii="Times New Roman" w:hAnsi="Times New Roman" w:eastAsia="Times New Roman" w:cs="Times New Roman"/>
          <w:sz w:val="24"/>
          <w:szCs w:val="24"/>
          <w:lang w:val="es-MX" w:eastAsia="ar-SA"/>
        </w:rPr>
        <w:t>.................................</w:t>
      </w:r>
      <w:r w:rsidRPr="6C7FD593" w:rsidR="00311A83">
        <w:rPr>
          <w:rFonts w:ascii="Times New Roman" w:hAnsi="Times New Roman" w:eastAsia="Times New Roman" w:cs="Times New Roman"/>
          <w:sz w:val="24"/>
          <w:szCs w:val="24"/>
          <w:lang w:val="es-MX" w:eastAsia="ar-SA"/>
        </w:rPr>
        <w:t xml:space="preserve"> que concluyó una invalidez parcial permanente con un menoscabo de 65.5% el cual es prueba suficiente para una indemnización; que respecto al argumento de que el certificado médico que ha presentado no sirve para acreditar la incapacidad porque ha sido firmado por un solo médico y de que el Tribunal Constitucional señala que la enfermedad profesional únicamente puede ser acreditada por un examen o dictamen médico emitido por una Comisión Médica del Ministerio de Salud, </w:t>
      </w:r>
      <w:r w:rsidRPr="6C7FD593" w:rsidR="00311A83">
        <w:rPr>
          <w:rFonts w:ascii="Times New Roman" w:hAnsi="Times New Roman" w:eastAsia="Times New Roman" w:cs="Times New Roman"/>
          <w:sz w:val="24"/>
          <w:szCs w:val="24"/>
          <w:lang w:val="es-MX" w:eastAsia="ar-SA"/>
        </w:rPr>
        <w:t>Essalud</w:t>
      </w:r>
      <w:r w:rsidRPr="6C7FD593" w:rsidR="00311A83">
        <w:rPr>
          <w:rFonts w:ascii="Times New Roman" w:hAnsi="Times New Roman" w:eastAsia="Times New Roman" w:cs="Times New Roman"/>
          <w:sz w:val="24"/>
          <w:szCs w:val="24"/>
          <w:lang w:val="es-MX" w:eastAsia="ar-SA"/>
        </w:rPr>
        <w:t xml:space="preserve"> o de una EPS, </w:t>
      </w:r>
      <w:r w:rsidRPr="6C7FD593" w:rsidR="403BF5B2">
        <w:rPr>
          <w:rFonts w:ascii="Times New Roman" w:hAnsi="Times New Roman" w:eastAsia="Times New Roman" w:cs="Times New Roman"/>
          <w:sz w:val="24"/>
          <w:szCs w:val="24"/>
          <w:lang w:val="es-MX" w:eastAsia="ar-SA"/>
        </w:rPr>
        <w:t>.................................</w:t>
      </w:r>
      <w:r w:rsidRPr="6C7FD593" w:rsidR="00311A83">
        <w:rPr>
          <w:rFonts w:ascii="Times New Roman" w:hAnsi="Times New Roman" w:eastAsia="Times New Roman" w:cs="Times New Roman"/>
          <w:sz w:val="24"/>
          <w:szCs w:val="24"/>
          <w:lang w:val="es-MX" w:eastAsia="ar-SA"/>
        </w:rPr>
        <w:t xml:space="preserve">  es una EPS autorizada a emitir certificados médicos, por lo que le corresponde la indemnización por invalidez parcial permanente debido a la sordera total de un oído que es producto de un accidente. </w:t>
      </w:r>
    </w:p>
    <w:p w:rsidRPr="00311A83" w:rsidR="00311A83" w:rsidP="00311A83" w:rsidRDefault="00311A83" w14:paraId="03B69674" w14:textId="77777777">
      <w:pPr>
        <w:suppressAutoHyphens/>
        <w:spacing w:after="0" w:line="240" w:lineRule="auto"/>
        <w:jc w:val="both"/>
        <w:rPr>
          <w:rFonts w:ascii="Times New Roman" w:hAnsi="Times New Roman" w:cs="Times New Roman"/>
          <w:bCs/>
          <w:sz w:val="24"/>
          <w:szCs w:val="24"/>
          <w:lang w:val="es-ES"/>
        </w:rPr>
      </w:pPr>
      <w:r w:rsidRPr="00311A83">
        <w:rPr>
          <w:rFonts w:ascii="Times New Roman" w:hAnsi="Times New Roman" w:cs="Times New Roman"/>
          <w:bCs/>
          <w:sz w:val="24"/>
          <w:szCs w:val="24"/>
          <w:lang w:val="es-ES"/>
        </w:rPr>
        <w:lastRenderedPageBreak/>
        <w:t>Que, ambas partes han tenido la oportunidad para ejercer su derecho de defensa con relación a la resolución recurrida, siendo que este colegiado estima que se encuentra suficientemente informado para resolver de manera definitiva;</w:t>
      </w:r>
    </w:p>
    <w:p w:rsidRPr="00311A83" w:rsidR="00311A83" w:rsidP="00311A83" w:rsidRDefault="00311A83" w14:paraId="0EB688D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311A83" w:rsidR="00311A83" w:rsidP="00311A83" w:rsidRDefault="00311A83" w14:paraId="0BABF8B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311A83">
        <w:rPr>
          <w:rFonts w:ascii="Times New Roman" w:hAnsi="Times New Roman" w:eastAsia="Times New Roman" w:cs="Times New Roman"/>
          <w:b/>
          <w:bCs/>
          <w:sz w:val="24"/>
          <w:szCs w:val="24"/>
          <w:lang w:val="es-MX" w:eastAsia="ar-SA"/>
        </w:rPr>
        <w:t>Considerando:</w:t>
      </w:r>
    </w:p>
    <w:p w:rsidRPr="00311A83" w:rsidR="00311A83" w:rsidP="00311A83" w:rsidRDefault="00311A83" w14:paraId="5F7089AC" w14:textId="77777777">
      <w:pPr>
        <w:suppressAutoHyphens/>
        <w:spacing w:after="0" w:line="240" w:lineRule="auto"/>
        <w:jc w:val="both"/>
        <w:rPr>
          <w:rFonts w:ascii="Times New Roman" w:hAnsi="Times New Roman" w:eastAsia="Times New Roman" w:cs="Times New Roman"/>
          <w:sz w:val="24"/>
          <w:szCs w:val="24"/>
          <w:lang w:val="es-ES" w:eastAsia="ar-SA"/>
        </w:rPr>
      </w:pPr>
    </w:p>
    <w:p w:rsidRPr="00311A83" w:rsidR="00311A83" w:rsidP="00311A83" w:rsidRDefault="00311A83" w14:paraId="7B5E707C" w14:textId="77777777">
      <w:pPr>
        <w:spacing w:after="0" w:line="240" w:lineRule="auto"/>
        <w:jc w:val="both"/>
        <w:rPr>
          <w:rFonts w:ascii="Times New Roman" w:hAnsi="Times New Roman" w:cs="Times New Roman"/>
          <w:sz w:val="24"/>
          <w:szCs w:val="24"/>
          <w:lang w:val="es-PE"/>
        </w:rPr>
      </w:pPr>
      <w:r w:rsidRPr="00311A83">
        <w:rPr>
          <w:rFonts w:ascii="Times New Roman" w:hAnsi="Times New Roman" w:cs="Times New Roman"/>
          <w:b/>
          <w:sz w:val="24"/>
          <w:szCs w:val="24"/>
          <w:u w:val="single"/>
          <w:lang w:val="es-PE"/>
        </w:rPr>
        <w:t>Primero</w:t>
      </w:r>
      <w:r w:rsidRPr="00311A83">
        <w:rPr>
          <w:rFonts w:ascii="Times New Roman" w:hAnsi="Times New Roman" w:cs="Times New Roman"/>
          <w:b/>
          <w:sz w:val="24"/>
          <w:szCs w:val="24"/>
          <w:lang w:val="es-PE"/>
        </w:rPr>
        <w:t>:</w:t>
      </w:r>
      <w:r w:rsidRPr="00311A83">
        <w:rPr>
          <w:rFonts w:ascii="Times New Roman" w:hAnsi="Times New Roman" w:cs="Times New Roman"/>
          <w:sz w:val="24"/>
          <w:szCs w:val="24"/>
          <w:lang w:val="es-PE"/>
        </w:rPr>
        <w:t xml:space="preserve"> El Reglamento de la DEFASEG </w:t>
      </w:r>
      <w:r w:rsidRPr="00311A83">
        <w:rPr>
          <w:rFonts w:ascii="Times New Roman" w:hAnsi="Times New Roman" w:eastAsia="Arial Unicode MS" w:cs="Times New Roman"/>
          <w:sz w:val="24"/>
          <w:szCs w:val="24"/>
          <w:lang w:val="es-PE"/>
        </w:rPr>
        <w:t xml:space="preserve">(http://www.defaseg.com.pe/reglamento), en su artículo 10, </w:t>
      </w:r>
      <w:r w:rsidRPr="00311A8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311A83">
        <w:rPr>
          <w:rFonts w:ascii="Times New Roman" w:hAnsi="Times New Roman" w:cs="Times New Roman"/>
          <w:sz w:val="24"/>
          <w:szCs w:val="24"/>
          <w:lang w:val="es-ES"/>
        </w:rPr>
        <w:t>usuario de seguro recurre en forma voluntaria a la Defensoría, siendo que la presentación de una reclamación n</w:t>
      </w:r>
      <w:r w:rsidRPr="00311A83">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311A83">
        <w:rPr>
          <w:rFonts w:ascii="Times New Roman" w:hAnsi="Times New Roman" w:cs="Times New Roman"/>
          <w:sz w:val="24"/>
          <w:szCs w:val="24"/>
          <w:lang w:val="es-PE"/>
        </w:rPr>
        <w:t>De acuerdo a</w:t>
      </w:r>
      <w:proofErr w:type="gramEnd"/>
      <w:r w:rsidRPr="00311A83">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311A83" w:rsidR="00311A83" w:rsidP="00311A83" w:rsidRDefault="00311A83" w14:paraId="710E3F8D" w14:textId="77777777">
      <w:pPr>
        <w:spacing w:after="0" w:line="240" w:lineRule="auto"/>
        <w:jc w:val="both"/>
        <w:rPr>
          <w:rFonts w:ascii="Times New Roman" w:hAnsi="Times New Roman" w:cs="Times New Roman"/>
          <w:sz w:val="24"/>
          <w:szCs w:val="24"/>
          <w:lang w:val="es-PE"/>
        </w:rPr>
      </w:pPr>
    </w:p>
    <w:p w:rsidRPr="00311A83" w:rsidR="00311A83" w:rsidP="00311A83" w:rsidRDefault="00311A83" w14:paraId="4AA903D3"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b/>
          <w:sz w:val="24"/>
          <w:szCs w:val="24"/>
          <w:u w:val="single"/>
          <w:lang w:val="es-PE"/>
        </w:rPr>
        <w:t>Segundo</w:t>
      </w:r>
      <w:r w:rsidRPr="00311A83">
        <w:rPr>
          <w:rFonts w:ascii="Times New Roman" w:hAnsi="Times New Roman" w:cs="Times New Roman"/>
          <w:b/>
          <w:sz w:val="24"/>
          <w:szCs w:val="24"/>
          <w:lang w:val="es-PE"/>
        </w:rPr>
        <w:t>:</w:t>
      </w:r>
      <w:r w:rsidRPr="00311A83">
        <w:rPr>
          <w:rFonts w:ascii="Times New Roman" w:hAnsi="Times New Roman" w:cs="Times New Roman"/>
          <w:sz w:val="24"/>
          <w:szCs w:val="24"/>
          <w:lang w:val="es-PE"/>
        </w:rPr>
        <w:t xml:space="preserve"> Atendiendo a los fundamentos de la impugnación interpuesta, se advierte que la aseguradora ni cuestiona que el informe haga referencia a que el reclamante presenta una sordera parcial de un oído, sino que cuestiona la validez del informe médico presentado para dicho efecto. Para ello señala que estamos ante un accidente de trabajo, y por lo tanto deben observarse las normas referidas a accidentes de trabajo, refiriéndose a normas y a una sentencia del Tribunal Constitucional que establecen el tipo de dictamen que debe presentarse para dicho efecto.</w:t>
      </w:r>
    </w:p>
    <w:p w:rsidRPr="00311A83" w:rsidR="00311A83" w:rsidP="00311A83" w:rsidRDefault="00311A83" w14:paraId="51049C61"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38F01034"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sz w:val="24"/>
          <w:szCs w:val="24"/>
          <w:lang w:val="es-PE"/>
        </w:rPr>
        <w:t>No obstante, dicha sentencia del Tribunal Constitucional ha sido emitida en el marco de un reclamo sobre el seguro complementario de trabajo de riesgo (SCTR). Asimismo, la Resolución Directoral que citan, se refiere al certificado médico requerido para el otorgamiento de pensiones de invalidez en el marco del D.S. 166-2005.EF, las que no son aplicables al caso que nos ocupa.</w:t>
      </w:r>
    </w:p>
    <w:p w:rsidRPr="00311A83" w:rsidR="00311A83" w:rsidP="00311A83" w:rsidRDefault="00311A83" w14:paraId="6CAA61FF"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5F7E5BEF"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sz w:val="24"/>
          <w:szCs w:val="24"/>
          <w:lang w:val="es-PE"/>
        </w:rPr>
        <w:t xml:space="preserve">Llama la atención que la propia aseguradora confunda al seguro complementario de trabajo de riesgo (SCTR), que es un seguro obligatorio que se rige por normas particulares específicas, con un seguro privado de accidentes personales como es el que nos ocupa, que se rige por lo que establezca el contrato de seguro celebrado entre las partes. </w:t>
      </w:r>
    </w:p>
    <w:p w:rsidRPr="00311A83" w:rsidR="00311A83" w:rsidP="00311A83" w:rsidRDefault="00311A83" w14:paraId="0D99DA09"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624E488F"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sz w:val="24"/>
          <w:szCs w:val="24"/>
          <w:lang w:val="es-PE"/>
        </w:rPr>
        <w:t xml:space="preserve">En efecto, el SCTR se rige por normas propias, bajo ellas, cuando un asegurado sufre un accidente de trabajo o enfermedad profesional, puede acceder a una pensión de invalidez parcial o total si configura una invalidez parcial o total, conforme a las normas que rigen dicho sistema. Es para acceder a dichos beneficios que las normas legales establecen que el dictamen debe ser emitido por una Comisión Médica. </w:t>
      </w:r>
    </w:p>
    <w:p w:rsidRPr="00311A83" w:rsidR="00311A83" w:rsidP="00311A83" w:rsidRDefault="00311A83" w14:paraId="7042861D"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43200384"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sz w:val="24"/>
          <w:szCs w:val="24"/>
          <w:lang w:val="es-PE"/>
        </w:rPr>
        <w:t xml:space="preserve">La póliza reclamada es una de accidentes personales que no otorga pensiones de invalidez, sino únicamente indemnizaciones. Y según se desprende de la póliza incompleta que presenta la aseguradora (solo se ha presentado una póliza de 5 hojas, sin adjuntar las condiciones generales), la indemnización por invalidez permanente parcial se otorga en caso de accidente, sea este de trabajo o no (a diferencia del SCTR que solo procede cuando estamos ante un accidente de trabajo o enfermedad profesional). No puede, por tanto, interpretarse que por el </w:t>
      </w:r>
      <w:r w:rsidRPr="00311A83">
        <w:rPr>
          <w:rFonts w:ascii="Times New Roman" w:hAnsi="Times New Roman" w:cs="Times New Roman"/>
          <w:sz w:val="24"/>
          <w:szCs w:val="24"/>
          <w:lang w:val="es-PE"/>
        </w:rPr>
        <w:lastRenderedPageBreak/>
        <w:t>hecho que en este caso el accidente sufrido por el asegurado fue de trabajo, debe cumplir con acreditar la sordera total de un oído conforme a las normas del SCTR adjuntando el dictamen emitido por una Comisión Médica, salvo que la póliza hubiere hecho una referencia expresa a las normas de SCTR para dicho efecto, lo que no se ha acreditado en este caso.</w:t>
      </w:r>
    </w:p>
    <w:p w:rsidRPr="00311A83" w:rsidR="00311A83" w:rsidP="00311A83" w:rsidRDefault="00311A83" w14:paraId="3E33B7E5"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612296F8"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sz w:val="24"/>
          <w:szCs w:val="24"/>
          <w:lang w:val="es-PE"/>
        </w:rPr>
        <w:t xml:space="preserve">La aseguradora cita la Sentencia del Tribunal constitucional que refiere </w:t>
      </w:r>
      <w:r w:rsidRPr="00311A83">
        <w:rPr>
          <w:rFonts w:ascii="Times New Roman" w:hAnsi="Times New Roman" w:cs="Times New Roman"/>
          <w:i/>
          <w:iCs/>
          <w:sz w:val="24"/>
          <w:szCs w:val="24"/>
          <w:lang w:val="es-PE"/>
        </w:rPr>
        <w:t>"(…) la enfermedad profesional únicamente podrá ser acreditada con un examen o dictamen médico emitido por una Comisión Médica Evaluadora de Incapacidades del Ministerio de Salud, de EsSalud o de una EPS, conforme lo señala el artículo 26.° del Decreto Ley 19990.”,</w:t>
      </w:r>
      <w:r w:rsidRPr="00311A83">
        <w:rPr>
          <w:rFonts w:ascii="Times New Roman" w:hAnsi="Times New Roman" w:cs="Times New Roman"/>
          <w:sz w:val="24"/>
          <w:szCs w:val="24"/>
          <w:lang w:val="es-PE"/>
        </w:rPr>
        <w:t xml:space="preserve"> pero olvida que no estamos ante una enfermedad profesional, sino ante una póliza que otorga una indemnización en caso de accidente (reiteramos sea de trabajo o no) . </w:t>
      </w:r>
    </w:p>
    <w:p w:rsidRPr="00311A83" w:rsidR="00311A83" w:rsidP="00311A83" w:rsidRDefault="00311A83" w14:paraId="07068C94" w14:textId="77777777">
      <w:pPr>
        <w:tabs>
          <w:tab w:val="left" w:pos="0"/>
          <w:tab w:val="left" w:pos="2160"/>
        </w:tabs>
        <w:spacing w:after="0" w:line="240" w:lineRule="auto"/>
        <w:jc w:val="both"/>
        <w:rPr>
          <w:rFonts w:ascii="Times New Roman" w:hAnsi="Times New Roman" w:cs="Times New Roman"/>
          <w:sz w:val="24"/>
          <w:szCs w:val="24"/>
          <w:lang w:val="es-PE"/>
        </w:rPr>
      </w:pPr>
    </w:p>
    <w:p w:rsidRPr="00311A83" w:rsidR="00311A83" w:rsidP="00311A83" w:rsidRDefault="00311A83" w14:paraId="214BAD22" w14:textId="43AE1EEB">
      <w:pPr>
        <w:tabs>
          <w:tab w:val="left" w:pos="0"/>
          <w:tab w:val="left" w:pos="2160"/>
        </w:tabs>
        <w:spacing w:after="0" w:line="240" w:lineRule="auto"/>
        <w:jc w:val="both"/>
        <w:rPr>
          <w:rFonts w:ascii="Times New Roman" w:hAnsi="Times New Roman" w:cs="Times New Roman"/>
          <w:sz w:val="24"/>
          <w:szCs w:val="24"/>
          <w:lang w:val="es-PE"/>
        </w:rPr>
      </w:pPr>
      <w:r w:rsidRPr="6C7FD593" w:rsidR="00311A83">
        <w:rPr>
          <w:rFonts w:ascii="Times New Roman" w:hAnsi="Times New Roman" w:cs="Times New Roman"/>
          <w:sz w:val="24"/>
          <w:szCs w:val="24"/>
          <w:lang w:val="es-PE"/>
        </w:rPr>
        <w:t xml:space="preserve">En este caso, el reclamante ha presentado un dictamen que le da un menoscabo del 65.5% para el riesgo de SCTR (que conforme fue referido por el asegurado en su reclamo (acápite IV medios probatorios, numeral 1) fue emitido por </w:t>
      </w:r>
      <w:r w:rsidRPr="6C7FD593" w:rsidR="74CAE7DC">
        <w:rPr>
          <w:rFonts w:ascii="Times New Roman" w:hAnsi="Times New Roman" w:cs="Times New Roman"/>
          <w:sz w:val="24"/>
          <w:szCs w:val="24"/>
          <w:lang w:val="es-PE"/>
        </w:rPr>
        <w:t>..................</w:t>
      </w:r>
      <w:r w:rsidRPr="6C7FD593" w:rsidR="00311A83">
        <w:rPr>
          <w:rFonts w:ascii="Times New Roman" w:hAnsi="Times New Roman" w:cs="Times New Roman"/>
          <w:sz w:val="24"/>
          <w:szCs w:val="24"/>
          <w:lang w:val="es-PE"/>
        </w:rPr>
        <w:t xml:space="preserve">), el cual no fue considerado por este Colegiado para el otorgamiento de la indemnización que prevé la póliza de accidentes personales que nos ocupa, pues resultaba evidente para esta Defensoría que no estábamos ante una póliza de SCTR sino de accidentes personales, que solo otorga las coberturas de accidentes que en ella se establecen, y dentro de ellas una indemnización por sordera total de un oído. Si esta póliza se remitiera a las normas del SCTR le hubiera correspondido al asegurado una indemnización del 65.5% (conforme al dictamen que la misma aseguradora ha emitido, según lo que indica el reclamante y que no ha sido cuestionado por la aseguradora) y no del 15% que es la que establece la póliza que nos ocupa ante una sordera parcial total, y sobre la cual se ha pronunciado la resolución impugnada. </w:t>
      </w:r>
    </w:p>
    <w:p w:rsidRPr="00311A83" w:rsidR="00311A83" w:rsidP="00311A83" w:rsidRDefault="00311A83" w14:paraId="6F3DC0FF" w14:textId="77777777">
      <w:pPr>
        <w:tabs>
          <w:tab w:val="left" w:pos="0"/>
          <w:tab w:val="left" w:pos="2160"/>
        </w:tabs>
        <w:spacing w:after="0" w:line="240" w:lineRule="auto"/>
        <w:jc w:val="both"/>
        <w:rPr>
          <w:rFonts w:ascii="Times New Roman" w:hAnsi="Times New Roman" w:cs="Times New Roman"/>
          <w:sz w:val="24"/>
          <w:szCs w:val="24"/>
          <w:lang w:val="es-ES"/>
        </w:rPr>
      </w:pPr>
    </w:p>
    <w:p w:rsidRPr="00311A83" w:rsidR="00311A83" w:rsidP="00311A83" w:rsidRDefault="00311A83" w14:paraId="2F21FA10" w14:textId="77777777">
      <w:pPr>
        <w:tabs>
          <w:tab w:val="left" w:pos="0"/>
          <w:tab w:val="left" w:pos="2160"/>
        </w:tabs>
        <w:spacing w:after="0" w:line="240" w:lineRule="auto"/>
        <w:jc w:val="both"/>
        <w:rPr>
          <w:rFonts w:ascii="Times New Roman" w:hAnsi="Times New Roman" w:cs="Times New Roman"/>
          <w:sz w:val="24"/>
          <w:szCs w:val="24"/>
          <w:lang w:val="es-PE"/>
        </w:rPr>
      </w:pPr>
      <w:r w:rsidRPr="00311A83">
        <w:rPr>
          <w:rFonts w:ascii="Times New Roman" w:hAnsi="Times New Roman" w:cs="Times New Roman"/>
          <w:b/>
          <w:sz w:val="24"/>
          <w:szCs w:val="24"/>
          <w:u w:val="single"/>
          <w:lang w:val="es-ES"/>
        </w:rPr>
        <w:t>Cuart</w:t>
      </w:r>
      <w:r w:rsidRPr="00311A83">
        <w:rPr>
          <w:rFonts w:ascii="Times New Roman" w:hAnsi="Times New Roman" w:cs="Times New Roman"/>
          <w:b/>
          <w:sz w:val="24"/>
          <w:szCs w:val="24"/>
          <w:u w:val="single"/>
          <w:lang w:val="es-PE"/>
        </w:rPr>
        <w:t>o</w:t>
      </w:r>
      <w:r w:rsidRPr="00311A83">
        <w:rPr>
          <w:rFonts w:ascii="Times New Roman" w:hAnsi="Times New Roman" w:cs="Times New Roman"/>
          <w:b/>
          <w:sz w:val="24"/>
          <w:szCs w:val="24"/>
          <w:lang w:val="es-PE"/>
        </w:rPr>
        <w:t>:</w:t>
      </w:r>
      <w:r w:rsidRPr="00311A83">
        <w:rPr>
          <w:rFonts w:ascii="Times New Roman" w:hAnsi="Times New Roman" w:cs="Times New Roman"/>
          <w:sz w:val="24"/>
          <w:szCs w:val="24"/>
          <w:lang w:val="es-PE"/>
        </w:rPr>
        <w:t xml:space="preserve"> Teniendo presente los fundamentos de la impugnación interpuesta y </w:t>
      </w:r>
      <w:r w:rsidRPr="00311A83">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311A83" w:rsidR="00311A83" w:rsidP="00311A83" w:rsidRDefault="00311A83" w14:paraId="4583025E" w14:textId="77777777">
      <w:pPr>
        <w:spacing w:after="0" w:line="240" w:lineRule="auto"/>
        <w:jc w:val="both"/>
        <w:rPr>
          <w:rFonts w:ascii="Times New Roman" w:hAnsi="Times New Roman" w:eastAsia="Times New Roman" w:cs="Times New Roman"/>
          <w:bCs/>
          <w:sz w:val="24"/>
          <w:szCs w:val="24"/>
          <w:lang w:val="es-PE" w:eastAsia="ar-SA"/>
        </w:rPr>
      </w:pPr>
    </w:p>
    <w:p w:rsidRPr="00311A83" w:rsidR="00311A83" w:rsidP="00311A83" w:rsidRDefault="00311A83" w14:paraId="4DFE9FB9" w14:textId="77777777">
      <w:pPr>
        <w:spacing w:after="0" w:line="240" w:lineRule="auto"/>
        <w:jc w:val="both"/>
        <w:rPr>
          <w:rFonts w:ascii="Times New Roman" w:hAnsi="Times New Roman" w:cs="Times New Roman"/>
          <w:b/>
          <w:sz w:val="24"/>
          <w:szCs w:val="24"/>
          <w:lang w:val="es-PE"/>
        </w:rPr>
      </w:pPr>
      <w:r w:rsidRPr="00311A83">
        <w:rPr>
          <w:rFonts w:ascii="Times New Roman" w:hAnsi="Times New Roman" w:cs="Times New Roman"/>
          <w:b/>
          <w:sz w:val="24"/>
          <w:szCs w:val="24"/>
          <w:lang w:val="es-PE"/>
        </w:rPr>
        <w:t>Atendiendo a lo expresado, conforme a su reglamento, esta Defensoría resuelve:</w:t>
      </w:r>
    </w:p>
    <w:p w:rsidRPr="00311A83" w:rsidR="00311A83" w:rsidP="00311A83" w:rsidRDefault="00311A83" w14:paraId="3C42524D" w14:textId="77777777">
      <w:pPr>
        <w:spacing w:after="0" w:line="240" w:lineRule="auto"/>
        <w:jc w:val="both"/>
        <w:rPr>
          <w:rFonts w:ascii="Times New Roman" w:hAnsi="Times New Roman" w:eastAsia="Arial Unicode MS" w:cs="Times New Roman"/>
          <w:b/>
          <w:sz w:val="24"/>
          <w:szCs w:val="24"/>
          <w:lang w:val="es-PE"/>
        </w:rPr>
      </w:pPr>
    </w:p>
    <w:p w:rsidRPr="00311A83" w:rsidR="00311A83" w:rsidP="00311A83" w:rsidRDefault="00311A83" w14:paraId="575C227F" w14:textId="5D07E381">
      <w:pPr>
        <w:spacing w:after="0" w:line="240" w:lineRule="auto"/>
        <w:jc w:val="both"/>
        <w:rPr>
          <w:rFonts w:ascii="Times New Roman" w:hAnsi="Times New Roman" w:eastAsia="Times New Roman" w:cs="Times New Roman"/>
          <w:sz w:val="24"/>
          <w:szCs w:val="24"/>
          <w:lang w:val="es-ES" w:eastAsia="ar-SA"/>
        </w:rPr>
      </w:pPr>
      <w:r w:rsidRPr="6C7FD593" w:rsidR="00311A83">
        <w:rPr>
          <w:rFonts w:ascii="Times New Roman" w:hAnsi="Times New Roman" w:eastAsia="Arial Unicode MS" w:cs="Times New Roman"/>
          <w:b w:val="1"/>
          <w:bCs w:val="1"/>
          <w:sz w:val="24"/>
          <w:szCs w:val="24"/>
          <w:lang w:val="es-PE"/>
        </w:rPr>
        <w:t xml:space="preserve">Declarar INFUNDADO el recurso impugnativo </w:t>
      </w:r>
      <w:r w:rsidRPr="6C7FD593" w:rsidR="00311A83">
        <w:rPr>
          <w:rFonts w:ascii="Times New Roman" w:hAnsi="Times New Roman" w:eastAsia="Arial Unicode MS" w:cs="Times New Roman"/>
          <w:sz w:val="24"/>
          <w:szCs w:val="24"/>
          <w:lang w:val="es-PE"/>
        </w:rPr>
        <w:t xml:space="preserve">interpuesto por </w:t>
      </w:r>
      <w:r w:rsidRPr="6C7FD593" w:rsidR="403BF5B2">
        <w:rPr>
          <w:rFonts w:ascii="Times New Roman" w:hAnsi="Times New Roman" w:cs="Times New Roman"/>
          <w:sz w:val="24"/>
          <w:szCs w:val="24"/>
          <w:lang w:val="es-ES"/>
        </w:rPr>
        <w:t>.................................</w:t>
      </w:r>
      <w:r w:rsidRPr="6C7FD593" w:rsidR="00311A83">
        <w:rPr>
          <w:rFonts w:ascii="Times New Roman" w:hAnsi="Times New Roman" w:eastAsia="Times New Roman" w:cs="Times New Roman"/>
          <w:sz w:val="24"/>
          <w:szCs w:val="24"/>
          <w:lang w:val="es-ES" w:eastAsia="ar-SA"/>
        </w:rPr>
        <w:t xml:space="preserve"> y, por consiguiente, ratificar la Resolución Nro. 116/22, de fecha 31 de mayo de 2022, por lo que la aseguradora debe otorgar la cobertura reclamada conforme a lo sancionado en el Reglamento de la DEFASEG.</w:t>
      </w:r>
    </w:p>
    <w:p w:rsidRPr="00311A83"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ES" w:eastAsia="ar-SA"/>
        </w:rPr>
      </w:pPr>
    </w:p>
    <w:p w:rsidRPr="00311A83" w:rsidR="00C173A8" w:rsidP="00092C2E" w:rsidRDefault="00C173A8" w14:paraId="21EFD7D3" w14:textId="656CD2B1">
      <w:pPr>
        <w:suppressAutoHyphens/>
        <w:spacing w:after="0" w:line="240" w:lineRule="auto"/>
        <w:jc w:val="right"/>
        <w:outlineLvl w:val="0"/>
        <w:rPr>
          <w:rFonts w:ascii="Times New Roman" w:hAnsi="Times New Roman" w:eastAsia="Arial Unicode MS" w:cs="Times New Roman"/>
          <w:sz w:val="24"/>
          <w:szCs w:val="24"/>
          <w:lang w:val="es-PE" w:eastAsia="ar-SA"/>
        </w:rPr>
      </w:pPr>
      <w:r w:rsidRPr="00311A83">
        <w:rPr>
          <w:rFonts w:ascii="Times New Roman" w:hAnsi="Times New Roman" w:eastAsia="Arial Unicode MS" w:cs="Times New Roman"/>
          <w:sz w:val="24"/>
          <w:szCs w:val="24"/>
          <w:lang w:val="es-PE" w:eastAsia="ar-SA"/>
        </w:rPr>
        <w:t xml:space="preserve">Lima, </w:t>
      </w:r>
      <w:r w:rsidRPr="00311A83" w:rsidR="00B93683">
        <w:rPr>
          <w:rFonts w:ascii="Times New Roman" w:hAnsi="Times New Roman" w:eastAsia="Arial Unicode MS" w:cs="Times New Roman"/>
          <w:sz w:val="24"/>
          <w:szCs w:val="24"/>
          <w:lang w:val="es-PE" w:eastAsia="ar-SA"/>
        </w:rPr>
        <w:t>30</w:t>
      </w:r>
      <w:r w:rsidRPr="00311A83">
        <w:rPr>
          <w:rFonts w:ascii="Times New Roman" w:hAnsi="Times New Roman" w:eastAsia="Arial Unicode MS" w:cs="Times New Roman"/>
          <w:sz w:val="24"/>
          <w:szCs w:val="24"/>
          <w:lang w:val="es-PE" w:eastAsia="ar-SA"/>
        </w:rPr>
        <w:t xml:space="preserve"> de </w:t>
      </w:r>
      <w:r w:rsidRPr="00311A83" w:rsidR="006E5783">
        <w:rPr>
          <w:rFonts w:ascii="Times New Roman" w:hAnsi="Times New Roman" w:eastAsia="Arial Unicode MS" w:cs="Times New Roman"/>
          <w:sz w:val="24"/>
          <w:szCs w:val="24"/>
          <w:lang w:val="es-PE" w:eastAsia="ar-SA"/>
        </w:rPr>
        <w:t>junio</w:t>
      </w:r>
      <w:r w:rsidRPr="00311A83">
        <w:rPr>
          <w:rFonts w:ascii="Times New Roman" w:hAnsi="Times New Roman" w:eastAsia="Arial Unicode MS" w:cs="Times New Roman"/>
          <w:sz w:val="24"/>
          <w:szCs w:val="24"/>
          <w:lang w:val="es-PE" w:eastAsia="ar-SA"/>
        </w:rPr>
        <w:t xml:space="preserve"> de 2022</w:t>
      </w:r>
      <w:r w:rsidRPr="00311A83">
        <w:rPr>
          <w:rFonts w:ascii="Times New Roman" w:hAnsi="Times New Roman" w:eastAsia="Times New Roman" w:cs="Times New Roman"/>
          <w:sz w:val="24"/>
          <w:szCs w:val="24"/>
          <w:lang w:val="es-PE" w:eastAsia="ar-SA"/>
        </w:rPr>
        <w:t xml:space="preserve"> </w:t>
      </w:r>
    </w:p>
    <w:p w:rsidRPr="00311A83"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11A83"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311A8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11A83"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311A83"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311A83">
        <w:rPr>
          <w:rFonts w:ascii="Times New Roman" w:hAnsi="Times New Roman" w:cs="Times New Roman"/>
          <w:b/>
          <w:bCs/>
          <w:sz w:val="24"/>
          <w:szCs w:val="24"/>
          <w:lang w:val="es-PE"/>
        </w:rPr>
        <w:t xml:space="preserve">Marco Antonio Ortega Piana – </w:t>
      </w:r>
      <w:proofErr w:type="gramStart"/>
      <w:r w:rsidRPr="00311A83">
        <w:rPr>
          <w:rFonts w:ascii="Times New Roman" w:hAnsi="Times New Roman" w:cs="Times New Roman"/>
          <w:b/>
          <w:bCs/>
          <w:sz w:val="24"/>
          <w:szCs w:val="24"/>
          <w:lang w:val="es-PE"/>
        </w:rPr>
        <w:t>Presidente</w:t>
      </w:r>
      <w:proofErr w:type="gramEnd"/>
    </w:p>
    <w:p w:rsidRPr="00311A83"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311A83">
        <w:rPr>
          <w:rFonts w:ascii="Times New Roman" w:hAnsi="Times New Roman" w:cs="Times New Roman"/>
          <w:b/>
          <w:bCs/>
          <w:sz w:val="24"/>
          <w:szCs w:val="24"/>
          <w:lang w:val="es-PE"/>
        </w:rPr>
        <w:t xml:space="preserve">María Eugenia Valdez Fernández Baca – </w:t>
      </w:r>
      <w:r w:rsidRPr="00311A83" w:rsidR="001B1998">
        <w:rPr>
          <w:rFonts w:ascii="Times New Roman" w:hAnsi="Times New Roman" w:cs="Times New Roman"/>
          <w:b/>
          <w:bCs/>
          <w:sz w:val="24"/>
          <w:szCs w:val="24"/>
          <w:lang w:val="es-PE"/>
        </w:rPr>
        <w:t>Vocal</w:t>
      </w:r>
    </w:p>
    <w:p w:rsidRPr="00311A83"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311A83">
        <w:rPr>
          <w:rFonts w:ascii="Times New Roman" w:hAnsi="Times New Roman" w:cs="Times New Roman"/>
          <w:b/>
          <w:bCs/>
          <w:sz w:val="24"/>
          <w:szCs w:val="24"/>
          <w:lang w:val="es-PE"/>
        </w:rPr>
        <w:t xml:space="preserve">Rolando Eyzaguirre </w:t>
      </w:r>
      <w:proofErr w:type="spellStart"/>
      <w:r w:rsidRPr="00311A83">
        <w:rPr>
          <w:rFonts w:ascii="Times New Roman" w:hAnsi="Times New Roman" w:cs="Times New Roman"/>
          <w:b/>
          <w:bCs/>
          <w:sz w:val="24"/>
          <w:szCs w:val="24"/>
          <w:lang w:val="es-PE"/>
        </w:rPr>
        <w:t>Maccan</w:t>
      </w:r>
      <w:proofErr w:type="spellEnd"/>
      <w:r w:rsidRPr="00311A83">
        <w:rPr>
          <w:rFonts w:ascii="Times New Roman" w:hAnsi="Times New Roman" w:cs="Times New Roman"/>
          <w:b/>
          <w:bCs/>
          <w:sz w:val="24"/>
          <w:szCs w:val="24"/>
          <w:lang w:val="es-PE"/>
        </w:rPr>
        <w:t xml:space="preserve"> - Vocal</w:t>
      </w:r>
    </w:p>
    <w:p w:rsidRPr="00311A83"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311A83">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065E" w:rsidP="00784355" w:rsidRDefault="0093065E" w14:paraId="0C5E3446" w14:textId="77777777">
      <w:pPr>
        <w:spacing w:after="0" w:line="240" w:lineRule="auto"/>
      </w:pPr>
      <w:r>
        <w:separator/>
      </w:r>
    </w:p>
  </w:endnote>
  <w:endnote w:type="continuationSeparator" w:id="0">
    <w:p w:rsidR="0093065E" w:rsidP="00784355" w:rsidRDefault="0093065E" w14:paraId="71EE9B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065E" w:rsidP="00784355" w:rsidRDefault="0093065E" w14:paraId="73B13119" w14:textId="77777777">
      <w:pPr>
        <w:spacing w:after="0" w:line="240" w:lineRule="auto"/>
      </w:pPr>
      <w:r>
        <w:separator/>
      </w:r>
    </w:p>
  </w:footnote>
  <w:footnote w:type="continuationSeparator" w:id="0">
    <w:p w:rsidR="0093065E" w:rsidP="00784355" w:rsidRDefault="0093065E" w14:paraId="1F7824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45E3"/>
    <w:rsid w:val="00311A8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735B9E8"/>
    <w:rsid w:val="135F27BB"/>
    <w:rsid w:val="2092CE42"/>
    <w:rsid w:val="2261782A"/>
    <w:rsid w:val="403BF5B2"/>
    <w:rsid w:val="6C7FD593"/>
    <w:rsid w:val="74CAE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5521E10-7DA8-4FEE-A902-553EB36C8C0C}"/>
</file>

<file path=customXml/itemProps3.xml><?xml version="1.0" encoding="utf-8"?>
<ds:datastoreItem xmlns:ds="http://schemas.openxmlformats.org/officeDocument/2006/customXml" ds:itemID="{A231D1A6-41C4-49DF-829F-F79F1F53189B}"/>
</file>

<file path=customXml/itemProps4.xml><?xml version="1.0" encoding="utf-8"?>
<ds:datastoreItem xmlns:ds="http://schemas.openxmlformats.org/officeDocument/2006/customXml" ds:itemID="{F7400CFF-8173-4723-A1C5-BDB6902B62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146</cp:revision>
  <cp:lastPrinted>2022-06-30T14:47:00Z</cp:lastPrinted>
  <dcterms:created xsi:type="dcterms:W3CDTF">2020-12-18T20:17:00Z</dcterms:created>
  <dcterms:modified xsi:type="dcterms:W3CDTF">2025-11-27T20:20:33Z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