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44D78" w:rsidR="00B10F71" w:rsidP="00041B86" w:rsidRDefault="00201C0D" w14:paraId="51974F0B" w14:textId="0CD31B15">
      <w:pPr>
        <w:spacing w:after="0" w:line="240" w:lineRule="auto"/>
        <w:jc w:val="center"/>
        <w:rPr>
          <w:rFonts w:ascii="Times New Roman" w:hAnsi="Times New Roman" w:cs="Times New Roman"/>
          <w:b/>
          <w:sz w:val="24"/>
          <w:szCs w:val="24"/>
          <w:lang w:val="es-PE" w:eastAsia="ar-SA"/>
        </w:rPr>
      </w:pPr>
      <w:r w:rsidRPr="00A44D78">
        <w:rPr>
          <w:rFonts w:ascii="Times New Roman" w:hAnsi="Times New Roman" w:cs="Times New Roman"/>
          <w:b/>
          <w:sz w:val="24"/>
          <w:szCs w:val="24"/>
          <w:lang w:val="es-PE" w:eastAsia="ar-SA"/>
        </w:rPr>
        <w:t xml:space="preserve">RESOLUCIÓN DE RECURSO IMPUGNATIVO </w:t>
      </w:r>
      <w:proofErr w:type="spellStart"/>
      <w:r w:rsidRPr="00A44D78" w:rsidR="00707C99">
        <w:rPr>
          <w:rFonts w:ascii="Times New Roman" w:hAnsi="Times New Roman" w:cs="Times New Roman"/>
          <w:b/>
          <w:sz w:val="24"/>
          <w:szCs w:val="24"/>
          <w:lang w:val="es-PE" w:eastAsia="ar-SA"/>
        </w:rPr>
        <w:t>N°</w:t>
      </w:r>
      <w:proofErr w:type="spellEnd"/>
      <w:r w:rsidRPr="00A44D78" w:rsidR="00707C99">
        <w:rPr>
          <w:rFonts w:ascii="Times New Roman" w:hAnsi="Times New Roman" w:cs="Times New Roman"/>
          <w:b/>
          <w:sz w:val="24"/>
          <w:szCs w:val="24"/>
          <w:lang w:val="es-PE" w:eastAsia="ar-SA"/>
        </w:rPr>
        <w:t xml:space="preserve"> </w:t>
      </w:r>
      <w:r w:rsidRPr="00A44D78" w:rsidR="00C671F5">
        <w:rPr>
          <w:rFonts w:ascii="Times New Roman" w:hAnsi="Times New Roman" w:cs="Times New Roman"/>
          <w:b/>
          <w:sz w:val="24"/>
          <w:szCs w:val="24"/>
          <w:lang w:val="es-PE" w:eastAsia="ar-SA"/>
        </w:rPr>
        <w:t>0</w:t>
      </w:r>
      <w:r w:rsidRPr="00A44D78" w:rsidR="00B93683">
        <w:rPr>
          <w:rFonts w:ascii="Times New Roman" w:hAnsi="Times New Roman" w:cs="Times New Roman"/>
          <w:b/>
          <w:sz w:val="24"/>
          <w:szCs w:val="24"/>
          <w:lang w:val="es-PE" w:eastAsia="ar-SA"/>
        </w:rPr>
        <w:t>4</w:t>
      </w:r>
      <w:r w:rsidRPr="00A44D78" w:rsidR="00E72889">
        <w:rPr>
          <w:rFonts w:ascii="Times New Roman" w:hAnsi="Times New Roman" w:cs="Times New Roman"/>
          <w:b/>
          <w:sz w:val="24"/>
          <w:szCs w:val="24"/>
          <w:lang w:val="es-PE" w:eastAsia="ar-SA"/>
        </w:rPr>
        <w:t>4</w:t>
      </w:r>
      <w:r w:rsidRPr="00A44D78" w:rsidR="00C671F5">
        <w:rPr>
          <w:rFonts w:ascii="Times New Roman" w:hAnsi="Times New Roman" w:cs="Times New Roman"/>
          <w:b/>
          <w:sz w:val="24"/>
          <w:szCs w:val="24"/>
          <w:lang w:val="es-PE" w:eastAsia="ar-SA"/>
        </w:rPr>
        <w:t>/2</w:t>
      </w:r>
      <w:r w:rsidRPr="00A44D78" w:rsidR="00B93C7A">
        <w:rPr>
          <w:rFonts w:ascii="Times New Roman" w:hAnsi="Times New Roman" w:cs="Times New Roman"/>
          <w:b/>
          <w:sz w:val="24"/>
          <w:szCs w:val="24"/>
          <w:lang w:val="es-PE" w:eastAsia="ar-SA"/>
        </w:rPr>
        <w:t>2</w:t>
      </w:r>
    </w:p>
    <w:p w:rsidRPr="00A44D78" w:rsidR="00C173A8" w:rsidP="00C173A8" w:rsidRDefault="00C173A8" w14:paraId="301E1FA3" w14:textId="617C5C7A">
      <w:pPr>
        <w:spacing w:after="0" w:line="240" w:lineRule="auto"/>
        <w:jc w:val="both"/>
        <w:rPr>
          <w:rFonts w:ascii="Times New Roman" w:hAnsi="Times New Roman" w:cs="Times New Roman"/>
          <w:b/>
          <w:sz w:val="24"/>
          <w:szCs w:val="24"/>
          <w:lang w:val="es-PE"/>
        </w:rPr>
      </w:pPr>
    </w:p>
    <w:p w:rsidRPr="00A44D78" w:rsidR="00A44D78" w:rsidP="00A44D78" w:rsidRDefault="00A44D78" w14:paraId="5B18618F"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A44D78">
        <w:rPr>
          <w:rFonts w:ascii="Times New Roman" w:hAnsi="Times New Roman" w:eastAsia="Times New Roman" w:cs="Times New Roman"/>
          <w:b/>
          <w:bCs/>
          <w:sz w:val="24"/>
          <w:szCs w:val="24"/>
          <w:lang w:val="es-MX" w:eastAsia="ar-SA"/>
        </w:rPr>
        <w:t>Vistos:</w:t>
      </w:r>
    </w:p>
    <w:p w:rsidRPr="00A44D78" w:rsidR="00A44D78" w:rsidP="00A44D78" w:rsidRDefault="00A44D78" w14:paraId="51639F76"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A44D78">
        <w:rPr>
          <w:rFonts w:ascii="Times New Roman" w:hAnsi="Times New Roman" w:eastAsia="Times New Roman" w:cs="Times New Roman"/>
          <w:b/>
          <w:bCs/>
          <w:sz w:val="24"/>
          <w:szCs w:val="24"/>
          <w:lang w:val="es-MX" w:eastAsia="ar-SA"/>
        </w:rPr>
        <w:t xml:space="preserve">   </w:t>
      </w:r>
    </w:p>
    <w:p w:rsidRPr="00A44D78" w:rsidR="00A44D78" w:rsidP="00A44D78" w:rsidRDefault="00A44D78" w14:paraId="75E95D03" w14:textId="7539D059">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sidRPr="61814DC9" w:rsidR="00A44D78">
        <w:rPr>
          <w:rFonts w:ascii="Times New Roman" w:hAnsi="Times New Roman" w:eastAsia="Times New Roman" w:cs="Times New Roman"/>
          <w:sz w:val="24"/>
          <w:szCs w:val="24"/>
          <w:lang w:val="es-ES" w:eastAsia="ar-SA"/>
        </w:rPr>
        <w:t>El recurso de impugnación presentado con fecha 7 de junio de 2022 por</w:t>
      </w:r>
      <w:r w:rsidRPr="61814DC9" w:rsidR="00A44D78">
        <w:rPr>
          <w:rFonts w:ascii="Times New Roman" w:hAnsi="Times New Roman" w:cs="Times New Roman"/>
          <w:sz w:val="24"/>
          <w:szCs w:val="24"/>
          <w:lang w:val="es-ES"/>
        </w:rPr>
        <w:t xml:space="preserve"> </w:t>
      </w:r>
      <w:r w:rsidRPr="61814DC9" w:rsidR="57B40A38">
        <w:rPr>
          <w:rFonts w:ascii="Times New Roman" w:hAnsi="Times New Roman" w:cs="Times New Roman"/>
          <w:sz w:val="24"/>
          <w:szCs w:val="24"/>
          <w:lang w:val="es-ES"/>
        </w:rPr>
        <w:t>..................................</w:t>
      </w:r>
      <w:r w:rsidRPr="61814DC9" w:rsidR="00A44D78">
        <w:rPr>
          <w:rFonts w:ascii="Times New Roman" w:hAnsi="Times New Roman" w:cs="Times New Roman"/>
          <w:sz w:val="24"/>
          <w:szCs w:val="24"/>
          <w:lang w:val="es-ES"/>
        </w:rPr>
        <w:t xml:space="preserve">, </w:t>
      </w:r>
      <w:r w:rsidRPr="61814DC9" w:rsidR="00A44D78">
        <w:rPr>
          <w:rFonts w:ascii="Times New Roman" w:hAnsi="Times New Roman" w:eastAsia="Times New Roman" w:cs="Times New Roman"/>
          <w:sz w:val="24"/>
          <w:szCs w:val="24"/>
          <w:lang w:val="es-ES" w:eastAsia="ar-SA"/>
        </w:rPr>
        <w:t xml:space="preserve">respecto de la Resolución Nro. 117/22, de fecha 31 de mayo de 2022, emitida por esta Defensoría del Asegurado (DEFASEG), que declaró FUNDADA </w:t>
      </w:r>
      <w:r w:rsidRPr="61814DC9" w:rsidR="00A44D78">
        <w:rPr>
          <w:rFonts w:ascii="Times New Roman" w:hAnsi="Times New Roman" w:eastAsia="Arial Unicode MS" w:cs="Times New Roman"/>
          <w:sz w:val="24"/>
          <w:szCs w:val="24"/>
          <w:lang w:val="es-PE"/>
        </w:rPr>
        <w:t>la reclamación interpuesta por don</w:t>
      </w:r>
      <w:r w:rsidRPr="61814DC9" w:rsidR="00A44D78">
        <w:rPr>
          <w:rFonts w:ascii="Times New Roman" w:hAnsi="Times New Roman" w:eastAsia="Times New Roman" w:cs="Times New Roman"/>
          <w:sz w:val="24"/>
          <w:szCs w:val="24"/>
          <w:lang w:val="es-PE" w:eastAsia="es-ES"/>
        </w:rPr>
        <w:t xml:space="preserve"> </w:t>
      </w:r>
      <w:r w:rsidRPr="61814DC9" w:rsidR="0D6B0FBC">
        <w:rPr>
          <w:rFonts w:ascii="Times New Roman" w:hAnsi="Times New Roman" w:cs="Times New Roman"/>
          <w:sz w:val="24"/>
          <w:szCs w:val="24"/>
          <w:lang w:val="es-ES"/>
        </w:rPr>
        <w:t>........................................</w:t>
      </w:r>
      <w:r w:rsidRPr="61814DC9" w:rsidR="00A44D78">
        <w:rPr>
          <w:rFonts w:ascii="Times New Roman" w:hAnsi="Times New Roman" w:eastAsia="Times New Roman" w:cs="Times New Roman"/>
          <w:sz w:val="24"/>
          <w:szCs w:val="24"/>
          <w:lang w:val="es-PE" w:eastAsia="es-ES"/>
        </w:rPr>
        <w:t xml:space="preserve"> </w:t>
      </w:r>
      <w:r w:rsidRPr="61814DC9" w:rsidR="00A44D78">
        <w:rPr>
          <w:rFonts w:ascii="Times New Roman" w:hAnsi="Times New Roman" w:eastAsia="Arial Unicode MS" w:cs="Times New Roman"/>
          <w:sz w:val="24"/>
          <w:szCs w:val="24"/>
          <w:lang w:val="es-PE"/>
        </w:rPr>
        <w:t>respecto al otorgamiento de cobertura al siniestro</w:t>
      </w:r>
      <w:bookmarkStart w:name="OLE_LINK2" w:id="0"/>
      <w:r w:rsidRPr="61814DC9" w:rsidR="00A44D78">
        <w:rPr>
          <w:rFonts w:ascii="Times New Roman" w:hAnsi="Times New Roman" w:eastAsia="Times New Roman" w:cs="Times New Roman"/>
          <w:sz w:val="24"/>
          <w:szCs w:val="24"/>
          <w:lang w:val="es-PE" w:eastAsia="es-ES"/>
        </w:rPr>
        <w:t xml:space="preserve"> </w:t>
      </w:r>
      <w:bookmarkEnd w:id="0"/>
      <w:r w:rsidRPr="61814DC9" w:rsidR="00A44D78">
        <w:rPr>
          <w:rFonts w:ascii="Times New Roman" w:hAnsi="Times New Roman" w:eastAsia="Times New Roman" w:cs="Times New Roman"/>
          <w:sz w:val="24"/>
          <w:szCs w:val="24"/>
          <w:lang w:val="es-PE" w:eastAsia="es-ES"/>
        </w:rPr>
        <w:t>ocurrido con fecha 1 de octubre de 2021, conforme a los términos y condiciones del Seguro de Responsabilidad Civil Profesional</w:t>
      </w:r>
      <w:r w:rsidRPr="61814DC9" w:rsidR="00A44D78">
        <w:rPr>
          <w:rFonts w:ascii="Times New Roman" w:hAnsi="Times New Roman" w:cs="Times New Roman"/>
          <w:sz w:val="24"/>
          <w:szCs w:val="24"/>
          <w:lang w:val="es-PE"/>
        </w:rPr>
        <w:t xml:space="preserve"> / Póliza Nro. </w:t>
      </w:r>
      <w:r w:rsidRPr="61814DC9" w:rsidR="7E07FBFC">
        <w:rPr>
          <w:rFonts w:ascii="Times New Roman" w:hAnsi="Times New Roman" w:cs="Times New Roman"/>
          <w:sz w:val="24"/>
          <w:szCs w:val="24"/>
          <w:lang w:val="es-PE"/>
        </w:rPr>
        <w:t>...............................</w:t>
      </w:r>
      <w:r w:rsidRPr="61814DC9" w:rsidR="00A44D78">
        <w:rPr>
          <w:rFonts w:ascii="Times New Roman" w:hAnsi="Times New Roman" w:cs="Times New Roman"/>
          <w:sz w:val="24"/>
          <w:szCs w:val="24"/>
          <w:lang w:val="es-PE"/>
        </w:rPr>
        <w:t>;</w:t>
      </w:r>
    </w:p>
    <w:p w:rsidRPr="00A44D78" w:rsidR="00A44D78" w:rsidP="00A44D78" w:rsidRDefault="00A44D78" w14:paraId="14A2328E"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ES" w:eastAsia="es-ES"/>
        </w:rPr>
      </w:pPr>
    </w:p>
    <w:p w:rsidRPr="00A44D78" w:rsidR="00A44D78" w:rsidP="61814DC9" w:rsidRDefault="00A44D78" w14:paraId="2D7A2BCF" w14:textId="4EE3C2FB">
      <w:pPr>
        <w:suppressAutoHyphens/>
        <w:spacing w:after="0" w:line="240" w:lineRule="auto"/>
        <w:jc w:val="both"/>
        <w:rPr>
          <w:rFonts w:ascii="Times New Roman" w:hAnsi="Times New Roman" w:eastAsia="Times New Roman" w:cs="Times New Roman"/>
          <w:sz w:val="24"/>
          <w:szCs w:val="24"/>
          <w:lang w:val="es-MX" w:eastAsia="ar-SA"/>
        </w:rPr>
      </w:pPr>
      <w:r w:rsidRPr="61814DC9" w:rsidR="00A44D78">
        <w:rPr>
          <w:rFonts w:ascii="Times New Roman" w:hAnsi="Times New Roman" w:eastAsia="Times New Roman" w:cs="Times New Roman"/>
          <w:sz w:val="24"/>
          <w:szCs w:val="24"/>
          <w:lang w:val="es-MX" w:eastAsia="ar-SA"/>
        </w:rPr>
        <w:t xml:space="preserve">Que, a través del señalado recurso, </w:t>
      </w:r>
      <w:r w:rsidRPr="61814DC9" w:rsidR="57B40A38">
        <w:rPr>
          <w:rFonts w:ascii="Times New Roman" w:hAnsi="Times New Roman" w:cs="Times New Roman"/>
          <w:sz w:val="24"/>
          <w:szCs w:val="24"/>
          <w:lang w:val="es-ES"/>
        </w:rPr>
        <w:t>..................................</w:t>
      </w:r>
      <w:r w:rsidRPr="61814DC9" w:rsidR="00A44D78">
        <w:rPr>
          <w:rFonts w:ascii="Times New Roman" w:hAnsi="Times New Roman" w:cs="Times New Roman"/>
          <w:sz w:val="24"/>
          <w:szCs w:val="24"/>
          <w:lang w:val="es-ES"/>
        </w:rPr>
        <w:t xml:space="preserve"> </w:t>
      </w:r>
      <w:r w:rsidRPr="61814DC9" w:rsidR="00A44D78">
        <w:rPr>
          <w:rFonts w:ascii="Times New Roman" w:hAnsi="Times New Roman" w:eastAsia="Times New Roman" w:cs="Times New Roman"/>
          <w:sz w:val="24"/>
          <w:szCs w:val="24"/>
          <w:lang w:val="es-MX" w:eastAsia="ar-SA"/>
        </w:rPr>
        <w:t>cuestiona lo resuelto por este colegiado, expresando</w:t>
      </w:r>
      <w:r w:rsidRPr="61814DC9" w:rsidR="00A44D78">
        <w:rPr>
          <w:rFonts w:ascii="Times New Roman" w:hAnsi="Times New Roman" w:eastAsia="Times New Roman" w:cs="Times New Roman"/>
          <w:i w:val="1"/>
          <w:iCs w:val="1"/>
          <w:sz w:val="24"/>
          <w:szCs w:val="24"/>
          <w:lang w:val="es-MX" w:eastAsia="ar-SA"/>
        </w:rPr>
        <w:t xml:space="preserve"> “</w:t>
      </w:r>
      <w:r w:rsidRPr="61814DC9" w:rsidR="00A44D78">
        <w:rPr>
          <w:rFonts w:ascii="Times New Roman" w:hAnsi="Times New Roman" w:cs="Times New Roman"/>
          <w:i w:val="1"/>
          <w:iCs w:val="1"/>
          <w:sz w:val="24"/>
          <w:szCs w:val="24"/>
          <w:lang w:val="es-PE"/>
        </w:rPr>
        <w:t>que la Defensoría no ha efectuado un análisis completo de los documentos que obran en autos y de los argumentos desarrollados en nuestro escrito de descargos”</w:t>
      </w:r>
      <w:r w:rsidRPr="61814DC9" w:rsidR="00A44D78">
        <w:rPr>
          <w:rFonts w:ascii="Times New Roman" w:hAnsi="Times New Roman" w:eastAsia="Times New Roman" w:cs="Times New Roman"/>
          <w:i w:val="1"/>
          <w:iCs w:val="1"/>
          <w:sz w:val="24"/>
          <w:szCs w:val="24"/>
          <w:lang w:val="es-PE" w:eastAsia="ar-SA"/>
        </w:rPr>
        <w:t>,</w:t>
      </w:r>
      <w:r w:rsidRPr="61814DC9" w:rsidR="00A44D78">
        <w:rPr>
          <w:rFonts w:ascii="Times New Roman" w:hAnsi="Times New Roman" w:eastAsia="Times New Roman" w:cs="Times New Roman"/>
          <w:sz w:val="24"/>
          <w:szCs w:val="24"/>
          <w:lang w:val="es-PE" w:eastAsia="ar-SA"/>
        </w:rPr>
        <w:t xml:space="preserve"> </w:t>
      </w:r>
      <w:r w:rsidRPr="61814DC9" w:rsidR="00A44D78">
        <w:rPr>
          <w:rFonts w:ascii="Times New Roman" w:hAnsi="Times New Roman" w:eastAsia="Times New Roman" w:cs="Times New Roman"/>
          <w:sz w:val="24"/>
          <w:szCs w:val="24"/>
          <w:lang w:val="es-MX" w:eastAsia="ar-SA"/>
        </w:rPr>
        <w:t>para cuyo efecto repite sus argumentos relativos a que el asegurado incurrió en un actuar doloso e intencional, con plena representación de las consecuencias, dado que pese a las instrucciones recibidas en su oportunidad de su cliente de incorporar determinada condición especial al seguro que gestionaba, ordenó la emisión de la póliza conforme al slip recibido, sin la condición especial, lo que denota su apartamiento intencional, estimándose que el mismo está ciertamente probado, para cuyo efecto acompaña dos medios probatorios adicionales: (i) un informe aclaratorio del a</w:t>
      </w:r>
      <w:r w:rsidRPr="61814DC9" w:rsidR="00A44D78">
        <w:rPr>
          <w:rFonts w:ascii="Times New Roman" w:hAnsi="Times New Roman" w:eastAsia="Times New Roman" w:cs="Times New Roman"/>
          <w:sz w:val="24"/>
          <w:szCs w:val="24"/>
          <w:lang w:val="es-MX" w:eastAsia="ar-SA"/>
        </w:rPr>
        <w:t>ju</w:t>
      </w:r>
      <w:r w:rsidRPr="61814DC9" w:rsidR="00A44D78">
        <w:rPr>
          <w:rFonts w:ascii="Times New Roman" w:hAnsi="Times New Roman" w:eastAsia="Times New Roman" w:cs="Times New Roman"/>
          <w:sz w:val="24"/>
          <w:szCs w:val="24"/>
          <w:lang w:val="es-MX" w:eastAsia="ar-SA"/>
        </w:rPr>
        <w:t>stador, y (</w:t>
      </w:r>
      <w:r w:rsidRPr="61814DC9" w:rsidR="00A44D78">
        <w:rPr>
          <w:rFonts w:ascii="Times New Roman" w:hAnsi="Times New Roman" w:eastAsia="Times New Roman" w:cs="Times New Roman"/>
          <w:sz w:val="24"/>
          <w:szCs w:val="24"/>
          <w:lang w:val="es-MX" w:eastAsia="ar-SA"/>
        </w:rPr>
        <w:t>ii</w:t>
      </w:r>
      <w:r w:rsidRPr="61814DC9" w:rsidR="00A44D78">
        <w:rPr>
          <w:rFonts w:ascii="Times New Roman" w:hAnsi="Times New Roman" w:eastAsia="Times New Roman" w:cs="Times New Roman"/>
          <w:sz w:val="24"/>
          <w:szCs w:val="24"/>
          <w:lang w:val="es-MX" w:eastAsia="ar-SA"/>
        </w:rPr>
        <w:t>) una cronología de hechos;</w:t>
      </w:r>
    </w:p>
    <w:p w:rsidRPr="00A44D78" w:rsidR="00A44D78" w:rsidP="00A44D78" w:rsidRDefault="00A44D78" w14:paraId="42EF5CD8"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A44D78" w:rsidR="00A44D78" w:rsidP="00A44D78" w:rsidRDefault="00A44D78" w14:paraId="73C9B098"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A44D78">
        <w:rPr>
          <w:rFonts w:ascii="Times New Roman" w:hAnsi="Times New Roman" w:eastAsia="Times New Roman" w:cs="Times New Roman"/>
          <w:bCs/>
          <w:sz w:val="24"/>
          <w:szCs w:val="24"/>
          <w:lang w:val="es-MX" w:eastAsia="ar-SA"/>
        </w:rPr>
        <w:t>Que, habiéndose corrido traslado de la señalada impugnación, el asegurado absolvió el respectivo trámite;</w:t>
      </w:r>
    </w:p>
    <w:p w:rsidRPr="00A44D78" w:rsidR="00A44D78" w:rsidP="00A44D78" w:rsidRDefault="00A44D78" w14:paraId="1B88A72A"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A44D78" w:rsidR="00A44D78" w:rsidP="61814DC9" w:rsidRDefault="00A44D78" w14:paraId="6481B81E" w14:textId="768F3549">
      <w:pPr>
        <w:suppressAutoHyphens/>
        <w:spacing w:after="0" w:line="240" w:lineRule="auto"/>
        <w:jc w:val="both"/>
        <w:rPr>
          <w:rFonts w:ascii="Times New Roman" w:hAnsi="Times New Roman" w:eastAsia="Times New Roman" w:cs="Times New Roman"/>
          <w:sz w:val="24"/>
          <w:szCs w:val="24"/>
          <w:lang w:val="es-MX" w:eastAsia="ar-SA"/>
        </w:rPr>
      </w:pPr>
      <w:r w:rsidRPr="61814DC9" w:rsidR="00A44D78">
        <w:rPr>
          <w:rFonts w:ascii="Times New Roman" w:hAnsi="Times New Roman" w:eastAsia="Times New Roman" w:cs="Times New Roman"/>
          <w:sz w:val="24"/>
          <w:szCs w:val="24"/>
          <w:lang w:val="es-MX" w:eastAsia="ar-SA"/>
        </w:rPr>
        <w:t xml:space="preserve">Que, con fecha 28 de junio de 2022, encontrándose al voto la resolución sobre el recurso de </w:t>
      </w:r>
      <w:r w:rsidRPr="61814DC9" w:rsidR="00A44D78">
        <w:rPr>
          <w:rFonts w:ascii="Times New Roman" w:hAnsi="Times New Roman" w:eastAsia="Times New Roman" w:cs="Times New Roman"/>
          <w:sz w:val="24"/>
          <w:szCs w:val="24"/>
          <w:lang w:val="es-MX" w:eastAsia="ar-SA"/>
        </w:rPr>
        <w:t xml:space="preserve">impugnación, </w:t>
      </w:r>
      <w:r w:rsidRPr="61814DC9" w:rsidR="57B40A38">
        <w:rPr>
          <w:rFonts w:ascii="Times New Roman" w:hAnsi="Times New Roman" w:eastAsia="Times New Roman" w:cs="Times New Roman"/>
          <w:sz w:val="24"/>
          <w:szCs w:val="24"/>
          <w:lang w:val="es-MX" w:eastAsia="ar-SA"/>
        </w:rPr>
        <w:t>..................................</w:t>
      </w:r>
      <w:r w:rsidRPr="61814DC9" w:rsidR="00A44D78">
        <w:rPr>
          <w:rFonts w:ascii="Times New Roman" w:hAnsi="Times New Roman" w:eastAsia="Times New Roman" w:cs="Times New Roman"/>
          <w:sz w:val="24"/>
          <w:szCs w:val="24"/>
          <w:lang w:val="es-MX" w:eastAsia="ar-SA"/>
        </w:rPr>
        <w:t xml:space="preserve"> informa a la DEFASEG que el asegurado había interpuesto una denuncia ante el INDECOPI contra ella, por la misma materia sobre la cual recae la reclamación, por lo que se solicita la aplicación del Reglamento de la Defensoría en lo pertinente.</w:t>
      </w:r>
    </w:p>
    <w:p w:rsidRPr="00A44D78" w:rsidR="00A44D78" w:rsidP="00A44D78" w:rsidRDefault="00A44D78" w14:paraId="5F814A23"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A44D78" w:rsidR="00A44D78" w:rsidP="00A44D78" w:rsidRDefault="00A44D78" w14:paraId="7E06087D"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A44D78">
        <w:rPr>
          <w:rFonts w:ascii="Times New Roman" w:hAnsi="Times New Roman" w:eastAsia="Times New Roman" w:cs="Times New Roman"/>
          <w:bCs/>
          <w:sz w:val="24"/>
          <w:szCs w:val="24"/>
          <w:lang w:val="es-MX" w:eastAsia="ar-SA"/>
        </w:rPr>
        <w:t>Que, en la misma fecha, a requerimiento de esta Defensoría, el asegurado informó que, efectivamente, había una reclamación (entiéndase denuncia) ante el INDECOPI</w:t>
      </w:r>
      <w:r w:rsidRPr="00A44D78">
        <w:rPr>
          <w:rFonts w:ascii="Times New Roman" w:hAnsi="Times New Roman" w:cs="Times New Roman"/>
          <w:color w:val="000000"/>
          <w:sz w:val="24"/>
          <w:szCs w:val="24"/>
          <w:lang w:val="es-PE"/>
        </w:rPr>
        <w:t>, presentada con anterioridad a la audiencia que se sostuvo con la Defensoría, siendo que luego de ésta presentó una carta (ante la DEGASEG) donde renunciaba a recibir otra indemnización, con lo cual se quedaba solo con la reclamación ante la DEFASEG, habiendo asumido que la denuncia ante el INDECOPI quedaba sin efecto, siendo inclusive que no ha presentado ante dicho organismo nada adicional, estando solo a los trámites realizados antes de la audiencia con la Defensoría;</w:t>
      </w:r>
    </w:p>
    <w:p w:rsidRPr="00A44D78" w:rsidR="00A44D78" w:rsidP="00A44D78" w:rsidRDefault="00A44D78" w14:paraId="48809334"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A44D78" w:rsidR="00A44D78" w:rsidP="00A44D78" w:rsidRDefault="00A44D78" w14:paraId="079C0C08" w14:textId="77777777">
      <w:pPr>
        <w:suppressAutoHyphens/>
        <w:spacing w:after="0" w:line="240" w:lineRule="auto"/>
        <w:jc w:val="both"/>
        <w:rPr>
          <w:rFonts w:ascii="Times New Roman" w:hAnsi="Times New Roman" w:cs="Times New Roman"/>
          <w:bCs/>
          <w:sz w:val="24"/>
          <w:szCs w:val="24"/>
          <w:lang w:val="es-ES"/>
        </w:rPr>
      </w:pPr>
      <w:r w:rsidRPr="00A44D78">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w:t>
      </w:r>
    </w:p>
    <w:p w:rsidRPr="00A44D78" w:rsidR="00A44D78" w:rsidP="00A44D78" w:rsidRDefault="00A44D78" w14:paraId="08865618"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A44D78" w:rsidR="00A44D78" w:rsidP="00A44D78" w:rsidRDefault="00A44D78" w14:paraId="24A17943"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A44D78">
        <w:rPr>
          <w:rFonts w:ascii="Times New Roman" w:hAnsi="Times New Roman" w:eastAsia="Times New Roman" w:cs="Times New Roman"/>
          <w:b/>
          <w:bCs/>
          <w:sz w:val="24"/>
          <w:szCs w:val="24"/>
          <w:lang w:val="es-MX" w:eastAsia="ar-SA"/>
        </w:rPr>
        <w:t>Considerando:</w:t>
      </w:r>
    </w:p>
    <w:p w:rsidRPr="00A44D78" w:rsidR="00A44D78" w:rsidP="00A44D78" w:rsidRDefault="00A44D78" w14:paraId="61B5CF10" w14:textId="77777777">
      <w:pPr>
        <w:suppressAutoHyphens/>
        <w:spacing w:after="0" w:line="240" w:lineRule="auto"/>
        <w:jc w:val="both"/>
        <w:rPr>
          <w:rFonts w:ascii="Times New Roman" w:hAnsi="Times New Roman" w:eastAsia="Times New Roman" w:cs="Times New Roman"/>
          <w:sz w:val="24"/>
          <w:szCs w:val="24"/>
          <w:lang w:val="es-ES" w:eastAsia="ar-SA"/>
        </w:rPr>
      </w:pPr>
    </w:p>
    <w:p w:rsidRPr="00A44D78" w:rsidR="00A44D78" w:rsidP="00A44D78" w:rsidRDefault="00A44D78" w14:paraId="16D57CD8" w14:textId="77777777">
      <w:pPr>
        <w:spacing w:after="0" w:line="240" w:lineRule="auto"/>
        <w:jc w:val="both"/>
        <w:rPr>
          <w:rFonts w:ascii="Times New Roman" w:hAnsi="Times New Roman" w:cs="Times New Roman"/>
          <w:sz w:val="24"/>
          <w:szCs w:val="24"/>
          <w:lang w:val="es-PE"/>
        </w:rPr>
      </w:pPr>
      <w:r w:rsidRPr="00A44D78">
        <w:rPr>
          <w:rFonts w:ascii="Times New Roman" w:hAnsi="Times New Roman" w:cs="Times New Roman"/>
          <w:b/>
          <w:sz w:val="24"/>
          <w:szCs w:val="24"/>
          <w:u w:val="single"/>
          <w:lang w:val="es-PE"/>
        </w:rPr>
        <w:t>Primero</w:t>
      </w:r>
      <w:r w:rsidRPr="00A44D78">
        <w:rPr>
          <w:rFonts w:ascii="Times New Roman" w:hAnsi="Times New Roman" w:cs="Times New Roman"/>
          <w:b/>
          <w:sz w:val="24"/>
          <w:szCs w:val="24"/>
          <w:lang w:val="es-PE"/>
        </w:rPr>
        <w:t>:</w:t>
      </w:r>
      <w:r w:rsidRPr="00A44D78">
        <w:rPr>
          <w:rFonts w:ascii="Times New Roman" w:hAnsi="Times New Roman" w:cs="Times New Roman"/>
          <w:sz w:val="24"/>
          <w:szCs w:val="24"/>
          <w:lang w:val="es-PE"/>
        </w:rPr>
        <w:t xml:space="preserve"> El Reglamento de la DEFASEG </w:t>
      </w:r>
      <w:r w:rsidRPr="00A44D78">
        <w:rPr>
          <w:rFonts w:ascii="Times New Roman" w:hAnsi="Times New Roman" w:eastAsia="Arial Unicode MS" w:cs="Times New Roman"/>
          <w:sz w:val="24"/>
          <w:szCs w:val="24"/>
          <w:lang w:val="es-PE"/>
        </w:rPr>
        <w:t xml:space="preserve">(http://www.defaseg.com.pe/reglamento), en su artículo 10, </w:t>
      </w:r>
      <w:r w:rsidRPr="00A44D78">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w:t>
      </w:r>
      <w:r w:rsidRPr="00A44D78">
        <w:rPr>
          <w:rFonts w:ascii="Times New Roman" w:hAnsi="Times New Roman" w:cs="Times New Roman"/>
          <w:sz w:val="24"/>
          <w:szCs w:val="24"/>
          <w:lang w:val="es-PE"/>
        </w:rPr>
        <w:lastRenderedPageBreak/>
        <w:t xml:space="preserve">complementaria, el artículo 11 del indicado reglamento dispone que, el </w:t>
      </w:r>
      <w:r w:rsidRPr="00A44D78">
        <w:rPr>
          <w:rFonts w:ascii="Times New Roman" w:hAnsi="Times New Roman" w:cs="Times New Roman"/>
          <w:sz w:val="24"/>
          <w:szCs w:val="24"/>
          <w:lang w:val="es-ES"/>
        </w:rPr>
        <w:t>usuario de seguro recurre en forma voluntaria a la Defensoría, siendo que la presentación de una reclamación n</w:t>
      </w:r>
      <w:r w:rsidRPr="00A44D78">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A44D78">
        <w:rPr>
          <w:rFonts w:ascii="Times New Roman" w:hAnsi="Times New Roman" w:cs="Times New Roman"/>
          <w:sz w:val="24"/>
          <w:szCs w:val="24"/>
          <w:lang w:val="es-PE"/>
        </w:rPr>
        <w:t>De acuerdo a</w:t>
      </w:r>
      <w:proofErr w:type="gramEnd"/>
      <w:r w:rsidRPr="00A44D78">
        <w:rPr>
          <w:rFonts w:ascii="Times New Roman" w:hAnsi="Times New Roman" w:cs="Times New Roman"/>
          <w:sz w:val="24"/>
          <w:szCs w:val="24"/>
          <w:lang w:val="es-PE"/>
        </w:rPr>
        <w:t xml:space="preserve"> lo anterior, si el asegurado no se encuentra conforme con lo resuelto, esto último no limita la posibilidad de poder recurrir a las instancias correspondientes, a diferencia de la aseguradora que sí queda comprometida con lo resuelto por la DEFASEG.</w:t>
      </w:r>
    </w:p>
    <w:p w:rsidRPr="00A44D78" w:rsidR="00A44D78" w:rsidP="00A44D78" w:rsidRDefault="00A44D78" w14:paraId="172330C1" w14:textId="77777777">
      <w:pPr>
        <w:spacing w:after="0" w:line="240" w:lineRule="auto"/>
        <w:jc w:val="both"/>
        <w:rPr>
          <w:rFonts w:ascii="Times New Roman" w:hAnsi="Times New Roman" w:cs="Times New Roman"/>
          <w:sz w:val="24"/>
          <w:szCs w:val="24"/>
          <w:lang w:val="es-PE"/>
        </w:rPr>
      </w:pPr>
    </w:p>
    <w:p w:rsidRPr="00A44D78" w:rsidR="00A44D78" w:rsidP="00A44D78" w:rsidRDefault="00A44D78" w14:paraId="3C121E20" w14:textId="77777777">
      <w:pPr>
        <w:tabs>
          <w:tab w:val="left" w:pos="0"/>
          <w:tab w:val="left" w:pos="2160"/>
        </w:tabs>
        <w:spacing w:after="0" w:line="240" w:lineRule="auto"/>
        <w:jc w:val="both"/>
        <w:rPr>
          <w:rFonts w:ascii="Times New Roman" w:hAnsi="Times New Roman" w:cs="Times New Roman"/>
          <w:sz w:val="24"/>
          <w:szCs w:val="24"/>
          <w:lang w:val="es-PE"/>
        </w:rPr>
      </w:pPr>
      <w:r w:rsidRPr="00A44D78">
        <w:rPr>
          <w:rFonts w:ascii="Times New Roman" w:hAnsi="Times New Roman" w:cs="Times New Roman"/>
          <w:b/>
          <w:sz w:val="24"/>
          <w:szCs w:val="24"/>
          <w:u w:val="single"/>
          <w:lang w:val="es-PE"/>
        </w:rPr>
        <w:t>Segundo</w:t>
      </w:r>
      <w:r w:rsidRPr="00A44D78">
        <w:rPr>
          <w:rFonts w:ascii="Times New Roman" w:hAnsi="Times New Roman" w:cs="Times New Roman"/>
          <w:b/>
          <w:sz w:val="24"/>
          <w:szCs w:val="24"/>
          <w:lang w:val="es-PE"/>
        </w:rPr>
        <w:t xml:space="preserve">: </w:t>
      </w:r>
      <w:r w:rsidRPr="00A44D78">
        <w:rPr>
          <w:rFonts w:ascii="Times New Roman" w:hAnsi="Times New Roman" w:cs="Times New Roman"/>
          <w:bCs/>
          <w:sz w:val="24"/>
          <w:szCs w:val="24"/>
          <w:lang w:val="es-PE"/>
        </w:rPr>
        <w:t>Asimismo, el artículo 10 del Reglamento establece, entre otros aspectos y de manera particular que,</w:t>
      </w:r>
      <w:r w:rsidRPr="00A44D78">
        <w:rPr>
          <w:rFonts w:ascii="Times New Roman" w:hAnsi="Times New Roman" w:cs="Times New Roman"/>
          <w:sz w:val="24"/>
          <w:szCs w:val="24"/>
          <w:lang w:val="es-PE"/>
        </w:rPr>
        <w:t xml:space="preserve"> </w:t>
      </w:r>
      <w:r w:rsidRPr="00A44D78">
        <w:rPr>
          <w:rFonts w:ascii="Times New Roman" w:hAnsi="Times New Roman" w:cs="Times New Roman"/>
          <w:i/>
          <w:iCs/>
          <w:sz w:val="24"/>
          <w:szCs w:val="24"/>
          <w:lang w:val="es-PE"/>
        </w:rPr>
        <w:t xml:space="preserve">“La sola presentación del reclamo y, en su momento, la absolución del trámite de traslado del </w:t>
      </w:r>
      <w:proofErr w:type="gramStart"/>
      <w:r w:rsidRPr="00A44D78">
        <w:rPr>
          <w:rFonts w:ascii="Times New Roman" w:hAnsi="Times New Roman" w:cs="Times New Roman"/>
          <w:i/>
          <w:iCs/>
          <w:sz w:val="24"/>
          <w:szCs w:val="24"/>
          <w:lang w:val="es-PE"/>
        </w:rPr>
        <w:t>mismo,</w:t>
      </w:r>
      <w:proofErr w:type="gramEnd"/>
      <w:r w:rsidRPr="00A44D78">
        <w:rPr>
          <w:rFonts w:ascii="Times New Roman" w:hAnsi="Times New Roman" w:cs="Times New Roman"/>
          <w:i/>
          <w:iCs/>
          <w:sz w:val="24"/>
          <w:szCs w:val="24"/>
          <w:lang w:val="es-PE"/>
        </w:rPr>
        <w:t xml:space="preserve"> implica un automático e incondicional sometimiento a las disposiciones de este reglamento”</w:t>
      </w:r>
      <w:r w:rsidRPr="00A44D78">
        <w:rPr>
          <w:rFonts w:ascii="Times New Roman" w:hAnsi="Times New Roman" w:cs="Times New Roman"/>
          <w:sz w:val="24"/>
          <w:szCs w:val="24"/>
          <w:lang w:val="es-PE"/>
        </w:rPr>
        <w:t>.</w:t>
      </w:r>
    </w:p>
    <w:p w:rsidRPr="00A44D78" w:rsidR="00A44D78" w:rsidP="00A44D78" w:rsidRDefault="00A44D78" w14:paraId="1E1A8C71" w14:textId="77777777">
      <w:pPr>
        <w:tabs>
          <w:tab w:val="left" w:pos="0"/>
          <w:tab w:val="left" w:pos="2160"/>
        </w:tabs>
        <w:spacing w:after="0" w:line="240" w:lineRule="auto"/>
        <w:jc w:val="both"/>
        <w:rPr>
          <w:rFonts w:ascii="Times New Roman" w:hAnsi="Times New Roman" w:cs="Times New Roman"/>
          <w:b/>
          <w:sz w:val="24"/>
          <w:szCs w:val="24"/>
          <w:u w:val="single"/>
          <w:lang w:val="es-PE"/>
        </w:rPr>
      </w:pPr>
    </w:p>
    <w:p w:rsidRPr="00A44D78" w:rsidR="00A44D78" w:rsidP="00A44D78" w:rsidRDefault="00A44D78" w14:paraId="7B8A8438" w14:textId="77777777">
      <w:pPr>
        <w:tabs>
          <w:tab w:val="left" w:pos="0"/>
          <w:tab w:val="left" w:pos="2160"/>
        </w:tabs>
        <w:spacing w:after="0" w:line="240" w:lineRule="auto"/>
        <w:jc w:val="both"/>
        <w:rPr>
          <w:rFonts w:ascii="Times New Roman" w:hAnsi="Times New Roman" w:cs="Times New Roman"/>
          <w:bCs/>
          <w:sz w:val="24"/>
          <w:szCs w:val="24"/>
          <w:lang w:val="es-PE"/>
        </w:rPr>
      </w:pPr>
      <w:r w:rsidRPr="00A44D78">
        <w:rPr>
          <w:rFonts w:ascii="Times New Roman" w:hAnsi="Times New Roman" w:cs="Times New Roman"/>
          <w:b/>
          <w:sz w:val="24"/>
          <w:szCs w:val="24"/>
          <w:u w:val="single"/>
          <w:lang w:val="es-PE"/>
        </w:rPr>
        <w:t>Tercero</w:t>
      </w:r>
      <w:r w:rsidRPr="00A44D78">
        <w:rPr>
          <w:rFonts w:ascii="Times New Roman" w:hAnsi="Times New Roman" w:cs="Times New Roman"/>
          <w:b/>
          <w:sz w:val="24"/>
          <w:szCs w:val="24"/>
          <w:lang w:val="es-PE"/>
        </w:rPr>
        <w:t xml:space="preserve">: </w:t>
      </w:r>
      <w:r w:rsidRPr="00A44D78">
        <w:rPr>
          <w:rFonts w:ascii="Times New Roman" w:hAnsi="Times New Roman" w:cs="Times New Roman"/>
          <w:bCs/>
          <w:sz w:val="24"/>
          <w:szCs w:val="24"/>
          <w:lang w:val="es-PE"/>
        </w:rPr>
        <w:t>El artículo 11 del Reglamento establece lo siguiente:</w:t>
      </w:r>
    </w:p>
    <w:p w:rsidRPr="00A44D78" w:rsidR="00A44D78" w:rsidP="00A44D78" w:rsidRDefault="00A44D78" w14:paraId="0BFF48E4" w14:textId="77777777">
      <w:pPr>
        <w:tabs>
          <w:tab w:val="left" w:pos="0"/>
          <w:tab w:val="left" w:pos="2160"/>
        </w:tabs>
        <w:spacing w:after="0" w:line="240" w:lineRule="auto"/>
        <w:jc w:val="both"/>
        <w:rPr>
          <w:rFonts w:ascii="Times New Roman" w:hAnsi="Times New Roman" w:cs="Times New Roman"/>
          <w:sz w:val="24"/>
          <w:szCs w:val="24"/>
          <w:lang w:val="es-PE"/>
        </w:rPr>
      </w:pPr>
    </w:p>
    <w:p w:rsidRPr="00A44D78" w:rsidR="00A44D78" w:rsidP="00A44D78" w:rsidRDefault="00A44D78" w14:paraId="5B9BFFB5" w14:textId="77777777">
      <w:pPr>
        <w:spacing w:after="0" w:line="240" w:lineRule="auto"/>
        <w:ind w:left="709"/>
        <w:jc w:val="both"/>
        <w:rPr>
          <w:rFonts w:ascii="Times New Roman" w:hAnsi="Times New Roman" w:cs="Times New Roman"/>
          <w:i/>
          <w:iCs/>
          <w:sz w:val="24"/>
          <w:szCs w:val="24"/>
          <w:lang w:val="es-PE"/>
        </w:rPr>
      </w:pPr>
      <w:r w:rsidRPr="00A44D78">
        <w:rPr>
          <w:rFonts w:ascii="Times New Roman" w:hAnsi="Times New Roman" w:cs="Times New Roman"/>
          <w:i/>
          <w:iCs/>
          <w:sz w:val="24"/>
          <w:szCs w:val="24"/>
          <w:lang w:val="es-PE"/>
        </w:rPr>
        <w:t xml:space="preserve">“El usuario de seguro recurre en forma voluntaria a la Defensoría. La presentación de un reclamo en esta vía no limita su derecho a recurrir posteriormente ante el órgano administrativo o jurisdiccional que considere pertinente; sin embargo, </w:t>
      </w:r>
      <w:r w:rsidRPr="00A44D78">
        <w:rPr>
          <w:rFonts w:ascii="Times New Roman" w:hAnsi="Times New Roman" w:cs="Times New Roman"/>
          <w:b/>
          <w:bCs/>
          <w:i/>
          <w:iCs/>
          <w:sz w:val="24"/>
          <w:szCs w:val="24"/>
          <w:lang w:val="es-PE"/>
        </w:rPr>
        <w:t>si la materia controvertida está siendo conocida por otra instancia a iniciativa de cualquiera de las partes o de oficio, sea esta una instancia administrativa, judicial, conciliatoria, arbitral o del Ministerio Público antes de que la Defensoría emita su decisión, ésta se abstendrá de decidir y archivará definitivamente el caso, salvo que la parte que accionó en otra vía, acredite haberse desistido de su reclamo ante dichas instancias.</w:t>
      </w:r>
    </w:p>
    <w:p w:rsidRPr="00A44D78" w:rsidR="00A44D78" w:rsidP="00A44D78" w:rsidRDefault="00A44D78" w14:paraId="0AADBB64" w14:textId="77777777">
      <w:pPr>
        <w:spacing w:after="0" w:line="240" w:lineRule="auto"/>
        <w:ind w:left="709"/>
        <w:jc w:val="both"/>
        <w:rPr>
          <w:rFonts w:ascii="Times New Roman" w:hAnsi="Times New Roman" w:cs="Times New Roman"/>
          <w:i/>
          <w:iCs/>
          <w:color w:val="2E74B5" w:themeColor="accent1" w:themeShade="BF"/>
          <w:sz w:val="24"/>
          <w:szCs w:val="24"/>
          <w:lang w:val="es-PE"/>
        </w:rPr>
      </w:pPr>
    </w:p>
    <w:p w:rsidRPr="00A44D78" w:rsidR="00A44D78" w:rsidP="00A44D78" w:rsidRDefault="00A44D78" w14:paraId="45FAAFBD" w14:textId="77777777">
      <w:pPr>
        <w:spacing w:after="0" w:line="240" w:lineRule="auto"/>
        <w:ind w:left="709"/>
        <w:jc w:val="both"/>
        <w:rPr>
          <w:rFonts w:ascii="Times New Roman" w:hAnsi="Times New Roman" w:cs="Times New Roman"/>
          <w:i/>
          <w:iCs/>
          <w:sz w:val="24"/>
          <w:szCs w:val="24"/>
          <w:lang w:val="es-PE"/>
        </w:rPr>
      </w:pPr>
      <w:r w:rsidRPr="00A44D78">
        <w:rPr>
          <w:rFonts w:ascii="Times New Roman" w:hAnsi="Times New Roman" w:cs="Times New Roman"/>
          <w:i/>
          <w:iCs/>
          <w:sz w:val="24"/>
          <w:szCs w:val="24"/>
          <w:lang w:val="es-PE"/>
        </w:rPr>
        <w:t xml:space="preserve">El reclamo tampoco procede cuando previamente haya sido resuelto en forma definitiva en una instancia administrativa, judicial, conciliatoria, arbitral o del Ministerio Público. </w:t>
      </w:r>
    </w:p>
    <w:p w:rsidRPr="00A44D78" w:rsidR="00A44D78" w:rsidP="00A44D78" w:rsidRDefault="00A44D78" w14:paraId="3D34B948" w14:textId="77777777">
      <w:pPr>
        <w:spacing w:after="0" w:line="240" w:lineRule="auto"/>
        <w:ind w:left="709"/>
        <w:jc w:val="both"/>
        <w:rPr>
          <w:rFonts w:ascii="Times New Roman" w:hAnsi="Times New Roman" w:cs="Times New Roman"/>
          <w:i/>
          <w:iCs/>
          <w:sz w:val="24"/>
          <w:szCs w:val="24"/>
          <w:lang w:val="es-PE"/>
        </w:rPr>
      </w:pPr>
    </w:p>
    <w:p w:rsidRPr="00A44D78" w:rsidR="00A44D78" w:rsidP="00A44D78" w:rsidRDefault="00A44D78" w14:paraId="2AB4CDE8" w14:textId="77777777">
      <w:pPr>
        <w:spacing w:after="0" w:line="240" w:lineRule="auto"/>
        <w:ind w:left="709"/>
        <w:jc w:val="both"/>
        <w:rPr>
          <w:rFonts w:ascii="Times New Roman" w:hAnsi="Times New Roman" w:cs="Times New Roman"/>
          <w:sz w:val="24"/>
          <w:szCs w:val="24"/>
          <w:lang w:val="es-PE"/>
        </w:rPr>
      </w:pPr>
      <w:r w:rsidRPr="00A44D78">
        <w:rPr>
          <w:rFonts w:ascii="Times New Roman" w:hAnsi="Times New Roman" w:cs="Times New Roman"/>
          <w:i/>
          <w:iCs/>
          <w:sz w:val="24"/>
          <w:szCs w:val="24"/>
          <w:lang w:val="es-PE"/>
        </w:rPr>
        <w:t xml:space="preserve">Las empresas de seguros deberán indicar, en forma clara y visible, en las cartas de rechazo que están sujetas al ámbito de competencia de la Defensoría”.  </w:t>
      </w:r>
      <w:r w:rsidRPr="00A44D78">
        <w:rPr>
          <w:rFonts w:ascii="Times New Roman" w:hAnsi="Times New Roman" w:cs="Times New Roman"/>
          <w:sz w:val="24"/>
          <w:szCs w:val="24"/>
          <w:lang w:val="es-PE"/>
        </w:rPr>
        <w:t>Lo destacado es nuestro.</w:t>
      </w:r>
    </w:p>
    <w:p w:rsidRPr="00A44D78" w:rsidR="00A44D78" w:rsidP="00A44D78" w:rsidRDefault="00A44D78" w14:paraId="754C1372" w14:textId="77777777">
      <w:pPr>
        <w:tabs>
          <w:tab w:val="left" w:pos="0"/>
          <w:tab w:val="left" w:pos="2160"/>
        </w:tabs>
        <w:spacing w:after="0" w:line="240" w:lineRule="auto"/>
        <w:ind w:left="709"/>
        <w:jc w:val="both"/>
        <w:rPr>
          <w:rFonts w:ascii="Times New Roman" w:hAnsi="Times New Roman" w:cs="Times New Roman"/>
          <w:bCs/>
          <w:i/>
          <w:iCs/>
          <w:sz w:val="24"/>
          <w:szCs w:val="24"/>
          <w:lang w:val="es-PE"/>
        </w:rPr>
      </w:pPr>
    </w:p>
    <w:p w:rsidRPr="00A44D78" w:rsidR="00A44D78" w:rsidP="00A44D78" w:rsidRDefault="00A44D78" w14:paraId="0292F846" w14:textId="07BF8380">
      <w:pPr>
        <w:tabs>
          <w:tab w:val="left" w:pos="0"/>
          <w:tab w:val="left" w:pos="2160"/>
        </w:tabs>
        <w:spacing w:after="0" w:line="240" w:lineRule="auto"/>
        <w:jc w:val="both"/>
        <w:rPr>
          <w:rFonts w:ascii="Times New Roman" w:hAnsi="Times New Roman" w:cs="Times New Roman"/>
          <w:sz w:val="24"/>
          <w:szCs w:val="24"/>
          <w:lang w:val="es-PE"/>
        </w:rPr>
      </w:pPr>
      <w:r w:rsidRPr="61814DC9" w:rsidR="00A44D78">
        <w:rPr>
          <w:rFonts w:ascii="Times New Roman" w:hAnsi="Times New Roman" w:cs="Times New Roman"/>
          <w:b w:val="1"/>
          <w:bCs w:val="1"/>
          <w:sz w:val="24"/>
          <w:szCs w:val="24"/>
          <w:u w:val="single"/>
          <w:lang w:val="es-PE"/>
        </w:rPr>
        <w:t>Cuarto</w:t>
      </w:r>
      <w:r w:rsidRPr="61814DC9" w:rsidR="00A44D78">
        <w:rPr>
          <w:rFonts w:ascii="Times New Roman" w:hAnsi="Times New Roman" w:cs="Times New Roman"/>
          <w:b w:val="1"/>
          <w:bCs w:val="1"/>
          <w:sz w:val="24"/>
          <w:szCs w:val="24"/>
          <w:lang w:val="es-PE"/>
        </w:rPr>
        <w:t xml:space="preserve">: </w:t>
      </w:r>
      <w:r w:rsidRPr="61814DC9" w:rsidR="00A44D78">
        <w:rPr>
          <w:rFonts w:ascii="Times New Roman" w:hAnsi="Times New Roman" w:cs="Times New Roman"/>
          <w:sz w:val="24"/>
          <w:szCs w:val="24"/>
          <w:lang w:val="es-PE"/>
        </w:rPr>
        <w:t xml:space="preserve">Atendiendo a lo establecido en el artículo 11 del Reglamento y al hecho que se encuentra actualmente en trámite una denuncia promovida por el reclamante sobre los mismos hechos y materias sometidos al conocimiento y decisión de esta Defensoría (expediente Nro. </w:t>
      </w:r>
      <w:r w:rsidRPr="61814DC9" w:rsidR="00A44D78">
        <w:rPr>
          <w:rFonts w:ascii="Times New Roman" w:hAnsi="Times New Roman" w:cs="Times New Roman"/>
          <w:sz w:val="24"/>
          <w:szCs w:val="24"/>
          <w:lang w:val="es-PE"/>
        </w:rPr>
        <w:t xml:space="preserve">0100-2022/CPC-INDECOPI-AQP), según ha sido acreditado por </w:t>
      </w:r>
      <w:r w:rsidRPr="61814DC9" w:rsidR="57B40A38">
        <w:rPr>
          <w:rFonts w:ascii="Times New Roman" w:hAnsi="Times New Roman" w:cs="Times New Roman"/>
          <w:sz w:val="24"/>
          <w:szCs w:val="24"/>
          <w:lang w:val="es-PE"/>
        </w:rPr>
        <w:t>..................................</w:t>
      </w:r>
      <w:r w:rsidRPr="61814DC9" w:rsidR="00A44D78">
        <w:rPr>
          <w:rFonts w:ascii="Times New Roman" w:hAnsi="Times New Roman" w:cs="Times New Roman"/>
          <w:sz w:val="24"/>
          <w:szCs w:val="24"/>
          <w:lang w:val="es-PE"/>
        </w:rPr>
        <w:t>, y aceptado por el propio reclamante, debe concluirse que esta Defensoría carece de competencia para conocer de la reclamación, por lo que es nulo, careciendo de valor y efectos, lo resuelto en su oportunidad y a lo cual se contrae el recurso de impugnación interpuesto por la aseguradora, por lo que corresponde declarar concluido el proceso sin pronunciamiento sobre el fondo.  Conforme a ello, carece de sentido pronunciarse sobre la impugnación de la vista.</w:t>
      </w:r>
    </w:p>
    <w:p w:rsidRPr="00A44D78" w:rsidR="00A44D78" w:rsidP="00A44D78" w:rsidRDefault="00A44D78" w14:paraId="5B4B52A5" w14:textId="77777777">
      <w:pPr>
        <w:tabs>
          <w:tab w:val="left" w:pos="0"/>
          <w:tab w:val="left" w:pos="2160"/>
        </w:tabs>
        <w:spacing w:after="0" w:line="240" w:lineRule="auto"/>
        <w:jc w:val="both"/>
        <w:rPr>
          <w:rFonts w:ascii="Times New Roman" w:hAnsi="Times New Roman" w:cs="Times New Roman"/>
          <w:sz w:val="24"/>
          <w:szCs w:val="24"/>
          <w:lang w:val="es-PE"/>
        </w:rPr>
      </w:pPr>
    </w:p>
    <w:p w:rsidRPr="00A44D78" w:rsidR="00A44D78" w:rsidP="00A44D78" w:rsidRDefault="00A44D78" w14:paraId="73AE6D24" w14:textId="2CDC8BBC">
      <w:pPr>
        <w:tabs>
          <w:tab w:val="left" w:pos="0"/>
          <w:tab w:val="left" w:pos="2160"/>
        </w:tabs>
        <w:spacing w:after="0" w:line="240" w:lineRule="auto"/>
        <w:jc w:val="both"/>
        <w:rPr>
          <w:rFonts w:ascii="Times New Roman" w:hAnsi="Times New Roman" w:cs="Times New Roman"/>
          <w:sz w:val="24"/>
          <w:szCs w:val="24"/>
          <w:lang w:val="es-PE"/>
        </w:rPr>
      </w:pPr>
      <w:r w:rsidRPr="61814DC9" w:rsidR="00A44D78">
        <w:rPr>
          <w:rFonts w:ascii="Times New Roman" w:hAnsi="Times New Roman" w:cs="Times New Roman"/>
          <w:sz w:val="24"/>
          <w:szCs w:val="24"/>
          <w:lang w:val="es-PE"/>
        </w:rPr>
        <w:t xml:space="preserve">Sin perjuicio de lo anterior, que es un tema objetivo, siendo que la notificación de la referida denuncia en sede administrativa contra </w:t>
      </w:r>
      <w:r w:rsidRPr="61814DC9" w:rsidR="57B40A38">
        <w:rPr>
          <w:rFonts w:ascii="Times New Roman" w:hAnsi="Times New Roman" w:cs="Times New Roman"/>
          <w:sz w:val="24"/>
          <w:szCs w:val="24"/>
          <w:lang w:val="es-PE"/>
        </w:rPr>
        <w:t>..................................</w:t>
      </w:r>
      <w:r w:rsidRPr="61814DC9" w:rsidR="00A44D78">
        <w:rPr>
          <w:rFonts w:ascii="Times New Roman" w:hAnsi="Times New Roman" w:cs="Times New Roman"/>
          <w:sz w:val="24"/>
          <w:szCs w:val="24"/>
          <w:lang w:val="es-PE"/>
        </w:rPr>
        <w:t xml:space="preserve"> fue con fecha 27 de mayo de 2022, respecto a una denuncia presentada con fecha 25 de marzo de 2022, se invoca a la aseguradora que cuide de adoptar las medidas de organización interna adecuadas y suficientes para que la información que presente respecto de sus descargos, sea oportuna, completa y actualizada, evitando situaciones como la ocurrida en el presente caso, porque de haber informado con la </w:t>
      </w:r>
      <w:r w:rsidRPr="61814DC9" w:rsidR="00A44D78">
        <w:rPr>
          <w:rFonts w:ascii="Times New Roman" w:hAnsi="Times New Roman" w:cs="Times New Roman"/>
          <w:sz w:val="24"/>
          <w:szCs w:val="24"/>
          <w:lang w:val="es-PE"/>
        </w:rPr>
        <w:t>inmediatez pertinente sobre la denuncia administrativa recibida, esta Defensoría no se hubiese pronunciado sobre la reclamación, redireccionando sus esfuerzos y tiempo a resolver otras reclamaciones.</w:t>
      </w:r>
    </w:p>
    <w:p w:rsidRPr="00A44D78" w:rsidR="00A44D78" w:rsidP="00A44D78" w:rsidRDefault="00A44D78" w14:paraId="059DEFD3" w14:textId="77777777">
      <w:pPr>
        <w:tabs>
          <w:tab w:val="left" w:pos="0"/>
          <w:tab w:val="left" w:pos="2160"/>
        </w:tabs>
        <w:spacing w:after="0" w:line="240" w:lineRule="auto"/>
        <w:jc w:val="both"/>
        <w:rPr>
          <w:rFonts w:ascii="Times New Roman" w:hAnsi="Times New Roman" w:cs="Times New Roman"/>
          <w:sz w:val="24"/>
          <w:szCs w:val="24"/>
          <w:lang w:val="es-PE"/>
        </w:rPr>
      </w:pPr>
    </w:p>
    <w:p w:rsidRPr="00A44D78" w:rsidR="00A44D78" w:rsidP="00A44D78" w:rsidRDefault="00A44D78" w14:paraId="17061AF1" w14:textId="77777777">
      <w:pPr>
        <w:tabs>
          <w:tab w:val="left" w:pos="0"/>
          <w:tab w:val="left" w:pos="2160"/>
        </w:tabs>
        <w:spacing w:after="0" w:line="240" w:lineRule="auto"/>
        <w:jc w:val="both"/>
        <w:rPr>
          <w:rFonts w:ascii="Times New Roman" w:hAnsi="Times New Roman" w:cs="Times New Roman"/>
          <w:sz w:val="24"/>
          <w:szCs w:val="24"/>
          <w:lang w:val="es-PE"/>
        </w:rPr>
      </w:pPr>
      <w:r w:rsidRPr="00A44D78">
        <w:rPr>
          <w:rFonts w:ascii="Times New Roman" w:hAnsi="Times New Roman" w:cs="Times New Roman"/>
          <w:sz w:val="24"/>
          <w:szCs w:val="24"/>
          <w:lang w:val="es-PE"/>
        </w:rPr>
        <w:t>Por último, se deja expresa constancia que, sobre este asunto de la denuncia administrativa en trámite, sobre la cual el reclamante no se ha desistido como hubiese correspondido en todo caso para mantener la competencia de la DEFASEG, es irrelevante su renuncia escrita de solicitar el pago indemnizatorio por una suma superior a US$ 50,000, comunicada en su oportunidad a este colegiado, porque un tema es la competencia en función a la cuantía reclamada y otra, muy distinta, es la competencia por la materia, al margen de la suma involucrada.</w:t>
      </w:r>
    </w:p>
    <w:p w:rsidRPr="00A44D78" w:rsidR="00A44D78" w:rsidP="00A44D78" w:rsidRDefault="00A44D78" w14:paraId="6044463F" w14:textId="77777777">
      <w:pPr>
        <w:spacing w:after="0" w:line="240" w:lineRule="auto"/>
        <w:jc w:val="both"/>
        <w:rPr>
          <w:rFonts w:ascii="Times New Roman" w:hAnsi="Times New Roman" w:eastAsia="Times New Roman" w:cs="Times New Roman"/>
          <w:sz w:val="24"/>
          <w:szCs w:val="24"/>
          <w:lang w:val="es-PE" w:eastAsia="ar-SA"/>
        </w:rPr>
      </w:pPr>
    </w:p>
    <w:p w:rsidRPr="00A44D78" w:rsidR="00A44D78" w:rsidP="00A44D78" w:rsidRDefault="00A44D78" w14:paraId="3647CFA8" w14:textId="77777777">
      <w:pPr>
        <w:spacing w:after="0" w:line="240" w:lineRule="auto"/>
        <w:jc w:val="both"/>
        <w:rPr>
          <w:rFonts w:ascii="Times New Roman" w:hAnsi="Times New Roman" w:cs="Times New Roman"/>
          <w:b/>
          <w:bCs/>
          <w:sz w:val="24"/>
          <w:szCs w:val="24"/>
          <w:lang w:val="es-PE"/>
        </w:rPr>
      </w:pPr>
      <w:r w:rsidRPr="00A44D78">
        <w:rPr>
          <w:rFonts w:ascii="Times New Roman" w:hAnsi="Times New Roman" w:cs="Times New Roman"/>
          <w:b/>
          <w:bCs/>
          <w:sz w:val="24"/>
          <w:szCs w:val="24"/>
          <w:lang w:val="es-PE"/>
        </w:rPr>
        <w:t>Atendiendo a lo expresado, conforme a su reglamento, esta Defensoría resuelve:</w:t>
      </w:r>
    </w:p>
    <w:p w:rsidRPr="00A44D78" w:rsidR="00A44D78" w:rsidP="00A44D78" w:rsidRDefault="00A44D78" w14:paraId="7BF621AA" w14:textId="77777777">
      <w:pPr>
        <w:spacing w:after="0" w:line="240" w:lineRule="auto"/>
        <w:jc w:val="both"/>
        <w:rPr>
          <w:rFonts w:ascii="Times New Roman" w:hAnsi="Times New Roman" w:eastAsia="Arial Unicode MS" w:cs="Times New Roman"/>
          <w:sz w:val="24"/>
          <w:szCs w:val="24"/>
          <w:lang w:val="es-PE"/>
        </w:rPr>
      </w:pPr>
    </w:p>
    <w:p w:rsidRPr="00A44D78" w:rsidR="00A44D78" w:rsidP="00A44D78" w:rsidRDefault="00A44D78" w14:paraId="2C767B75" w14:textId="77777777">
      <w:pPr>
        <w:spacing w:after="0" w:line="240" w:lineRule="auto"/>
        <w:jc w:val="both"/>
        <w:rPr>
          <w:rFonts w:ascii="Times New Roman" w:hAnsi="Times New Roman" w:eastAsia="Times New Roman" w:cs="Times New Roman"/>
          <w:sz w:val="24"/>
          <w:szCs w:val="24"/>
          <w:lang w:val="es-ES" w:eastAsia="ar-SA"/>
        </w:rPr>
      </w:pPr>
      <w:r w:rsidRPr="00A44D78">
        <w:rPr>
          <w:rFonts w:ascii="Times New Roman" w:hAnsi="Times New Roman" w:eastAsia="Arial Unicode MS" w:cs="Times New Roman"/>
          <w:b/>
          <w:sz w:val="24"/>
          <w:szCs w:val="24"/>
          <w:lang w:val="es-PE"/>
        </w:rPr>
        <w:t xml:space="preserve">Declarar NULA </w:t>
      </w:r>
      <w:r w:rsidRPr="00A44D78">
        <w:rPr>
          <w:rFonts w:ascii="Times New Roman" w:hAnsi="Times New Roman" w:eastAsia="Times New Roman" w:cs="Times New Roman"/>
          <w:b/>
          <w:sz w:val="24"/>
          <w:szCs w:val="24"/>
          <w:lang w:val="es-ES" w:eastAsia="ar-SA"/>
        </w:rPr>
        <w:t xml:space="preserve">la Resolución Nro. 117/22, de fecha 31 de mayo de 2022, disponiéndose el inmediato archivamiento definitivo del expediente sobre la reclamación, sin pronunciamiento sobre el fondo, </w:t>
      </w:r>
      <w:r w:rsidRPr="00A44D78">
        <w:rPr>
          <w:rFonts w:ascii="Times New Roman" w:hAnsi="Times New Roman" w:eastAsia="Times New Roman" w:cs="Times New Roman"/>
          <w:sz w:val="24"/>
          <w:szCs w:val="24"/>
          <w:lang w:val="es-ES" w:eastAsia="ar-SA"/>
        </w:rPr>
        <w:t>dejándose a salvo el derecho del reclamante de recurrir a las instancias pertinentes, o proseguir con las mismas, para hacer valer su derecho.</w:t>
      </w:r>
    </w:p>
    <w:p w:rsidRPr="00A44D78" w:rsidR="00F6061C" w:rsidP="00C173A8" w:rsidRDefault="00F6061C" w14:paraId="7AF49280" w14:textId="77777777">
      <w:pPr>
        <w:spacing w:after="0" w:line="240" w:lineRule="auto"/>
        <w:jc w:val="both"/>
        <w:rPr>
          <w:rFonts w:ascii="Times New Roman" w:hAnsi="Times New Roman" w:eastAsia="Times New Roman" w:cs="Times New Roman"/>
          <w:sz w:val="24"/>
          <w:szCs w:val="24"/>
          <w:lang w:val="es-ES" w:eastAsia="ar-SA"/>
        </w:rPr>
      </w:pPr>
    </w:p>
    <w:p w:rsidRPr="00A44D78" w:rsidR="00C173A8" w:rsidP="00092C2E" w:rsidRDefault="00C173A8" w14:paraId="21EFD7D3" w14:textId="429D5A9D">
      <w:pPr>
        <w:suppressAutoHyphens/>
        <w:spacing w:after="0" w:line="240" w:lineRule="auto"/>
        <w:jc w:val="right"/>
        <w:outlineLvl w:val="0"/>
        <w:rPr>
          <w:rFonts w:ascii="Times New Roman" w:hAnsi="Times New Roman" w:eastAsia="Arial Unicode MS" w:cs="Times New Roman"/>
          <w:sz w:val="24"/>
          <w:szCs w:val="24"/>
          <w:lang w:val="es-PE" w:eastAsia="ar-SA"/>
        </w:rPr>
      </w:pPr>
      <w:r w:rsidRPr="00A44D78">
        <w:rPr>
          <w:rFonts w:ascii="Times New Roman" w:hAnsi="Times New Roman" w:eastAsia="Arial Unicode MS" w:cs="Times New Roman"/>
          <w:sz w:val="24"/>
          <w:szCs w:val="24"/>
          <w:lang w:val="es-PE" w:eastAsia="ar-SA"/>
        </w:rPr>
        <w:t xml:space="preserve">Lima, </w:t>
      </w:r>
      <w:r w:rsidRPr="00A44D78" w:rsidR="00E72889">
        <w:rPr>
          <w:rFonts w:ascii="Times New Roman" w:hAnsi="Times New Roman" w:eastAsia="Arial Unicode MS" w:cs="Times New Roman"/>
          <w:sz w:val="24"/>
          <w:szCs w:val="24"/>
          <w:lang w:val="es-PE" w:eastAsia="ar-SA"/>
        </w:rPr>
        <w:t xml:space="preserve">04 </w:t>
      </w:r>
      <w:r w:rsidRPr="00A44D78">
        <w:rPr>
          <w:rFonts w:ascii="Times New Roman" w:hAnsi="Times New Roman" w:eastAsia="Arial Unicode MS" w:cs="Times New Roman"/>
          <w:sz w:val="24"/>
          <w:szCs w:val="24"/>
          <w:lang w:val="es-PE" w:eastAsia="ar-SA"/>
        </w:rPr>
        <w:t xml:space="preserve">de </w:t>
      </w:r>
      <w:r w:rsidRPr="00A44D78" w:rsidR="006E5783">
        <w:rPr>
          <w:rFonts w:ascii="Times New Roman" w:hAnsi="Times New Roman" w:eastAsia="Arial Unicode MS" w:cs="Times New Roman"/>
          <w:sz w:val="24"/>
          <w:szCs w:val="24"/>
          <w:lang w:val="es-PE" w:eastAsia="ar-SA"/>
        </w:rPr>
        <w:t>ju</w:t>
      </w:r>
      <w:r w:rsidRPr="00A44D78" w:rsidR="00E72889">
        <w:rPr>
          <w:rFonts w:ascii="Times New Roman" w:hAnsi="Times New Roman" w:eastAsia="Arial Unicode MS" w:cs="Times New Roman"/>
          <w:sz w:val="24"/>
          <w:szCs w:val="24"/>
          <w:lang w:val="es-PE" w:eastAsia="ar-SA"/>
        </w:rPr>
        <w:t>l</w:t>
      </w:r>
      <w:r w:rsidRPr="00A44D78" w:rsidR="006E5783">
        <w:rPr>
          <w:rFonts w:ascii="Times New Roman" w:hAnsi="Times New Roman" w:eastAsia="Arial Unicode MS" w:cs="Times New Roman"/>
          <w:sz w:val="24"/>
          <w:szCs w:val="24"/>
          <w:lang w:val="es-PE" w:eastAsia="ar-SA"/>
        </w:rPr>
        <w:t>io</w:t>
      </w:r>
      <w:r w:rsidRPr="00A44D78">
        <w:rPr>
          <w:rFonts w:ascii="Times New Roman" w:hAnsi="Times New Roman" w:eastAsia="Arial Unicode MS" w:cs="Times New Roman"/>
          <w:sz w:val="24"/>
          <w:szCs w:val="24"/>
          <w:lang w:val="es-PE" w:eastAsia="ar-SA"/>
        </w:rPr>
        <w:t xml:space="preserve"> de 2022</w:t>
      </w:r>
      <w:r w:rsidRPr="00A44D78">
        <w:rPr>
          <w:rFonts w:ascii="Times New Roman" w:hAnsi="Times New Roman" w:eastAsia="Times New Roman" w:cs="Times New Roman"/>
          <w:sz w:val="24"/>
          <w:szCs w:val="24"/>
          <w:lang w:val="es-PE" w:eastAsia="ar-SA"/>
        </w:rPr>
        <w:t xml:space="preserve"> </w:t>
      </w:r>
    </w:p>
    <w:p w:rsidRPr="00A44D78"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A44D78"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A44D78">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A44D78"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A44D78"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A44D78">
        <w:rPr>
          <w:rFonts w:ascii="Times New Roman" w:hAnsi="Times New Roman" w:cs="Times New Roman"/>
          <w:b/>
          <w:bCs/>
          <w:sz w:val="24"/>
          <w:szCs w:val="24"/>
          <w:lang w:val="es-PE"/>
        </w:rPr>
        <w:t xml:space="preserve">Marco Antonio Ortega Piana – </w:t>
      </w:r>
      <w:proofErr w:type="gramStart"/>
      <w:r w:rsidRPr="00A44D78">
        <w:rPr>
          <w:rFonts w:ascii="Times New Roman" w:hAnsi="Times New Roman" w:cs="Times New Roman"/>
          <w:b/>
          <w:bCs/>
          <w:sz w:val="24"/>
          <w:szCs w:val="24"/>
          <w:lang w:val="es-PE"/>
        </w:rPr>
        <w:t>Presidente</w:t>
      </w:r>
      <w:proofErr w:type="gramEnd"/>
    </w:p>
    <w:p w:rsidRPr="00A44D78"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A44D78">
        <w:rPr>
          <w:rFonts w:ascii="Times New Roman" w:hAnsi="Times New Roman" w:cs="Times New Roman"/>
          <w:b/>
          <w:bCs/>
          <w:sz w:val="24"/>
          <w:szCs w:val="24"/>
          <w:lang w:val="es-PE"/>
        </w:rPr>
        <w:t xml:space="preserve">María Eugenia Valdez Fernández Baca – </w:t>
      </w:r>
      <w:r w:rsidRPr="00A44D78" w:rsidR="001B1998">
        <w:rPr>
          <w:rFonts w:ascii="Times New Roman" w:hAnsi="Times New Roman" w:cs="Times New Roman"/>
          <w:b/>
          <w:bCs/>
          <w:sz w:val="24"/>
          <w:szCs w:val="24"/>
          <w:lang w:val="es-PE"/>
        </w:rPr>
        <w:t>Vocal</w:t>
      </w:r>
    </w:p>
    <w:p w:rsidRPr="00A44D78"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A44D78">
        <w:rPr>
          <w:rFonts w:ascii="Times New Roman" w:hAnsi="Times New Roman" w:cs="Times New Roman"/>
          <w:b/>
          <w:bCs/>
          <w:sz w:val="24"/>
          <w:szCs w:val="24"/>
          <w:lang w:val="es-PE"/>
        </w:rPr>
        <w:t xml:space="preserve">Rolando Eyzaguirre </w:t>
      </w:r>
      <w:proofErr w:type="spellStart"/>
      <w:r w:rsidRPr="00A44D78">
        <w:rPr>
          <w:rFonts w:ascii="Times New Roman" w:hAnsi="Times New Roman" w:cs="Times New Roman"/>
          <w:b/>
          <w:bCs/>
          <w:sz w:val="24"/>
          <w:szCs w:val="24"/>
          <w:lang w:val="es-PE"/>
        </w:rPr>
        <w:t>Maccan</w:t>
      </w:r>
      <w:proofErr w:type="spellEnd"/>
      <w:r w:rsidRPr="00A44D78">
        <w:rPr>
          <w:rFonts w:ascii="Times New Roman" w:hAnsi="Times New Roman" w:cs="Times New Roman"/>
          <w:b/>
          <w:bCs/>
          <w:sz w:val="24"/>
          <w:szCs w:val="24"/>
          <w:lang w:val="es-PE"/>
        </w:rPr>
        <w:t xml:space="preserve"> - Vocal</w:t>
      </w:r>
    </w:p>
    <w:p w:rsidRPr="00A44D78"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A44D78">
        <w:rPr>
          <w:rFonts w:ascii="Times New Roman" w:hAnsi="Times New Roman" w:cs="Times New Roman"/>
          <w:b/>
          <w:bCs/>
          <w:sz w:val="24"/>
          <w:szCs w:val="24"/>
          <w:lang w:val="es-PE"/>
        </w:rPr>
        <w:t>Gonzalo Abad del Busto – Vocal</w:t>
      </w:r>
    </w:p>
    <w:p w:rsidRPr="0091323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913230"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913230"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03302" w:rsidP="00784355" w:rsidRDefault="00303302" w14:paraId="6797B1D5" w14:textId="77777777">
      <w:pPr>
        <w:spacing w:after="0" w:line="240" w:lineRule="auto"/>
      </w:pPr>
      <w:r>
        <w:separator/>
      </w:r>
    </w:p>
  </w:endnote>
  <w:endnote w:type="continuationSeparator" w:id="0">
    <w:p w:rsidR="00303302" w:rsidP="00784355" w:rsidRDefault="00303302" w14:paraId="0671311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03302" w:rsidP="00784355" w:rsidRDefault="00303302" w14:paraId="04BF4869" w14:textId="77777777">
      <w:pPr>
        <w:spacing w:after="0" w:line="240" w:lineRule="auto"/>
      </w:pPr>
      <w:r>
        <w:separator/>
      </w:r>
    </w:p>
  </w:footnote>
  <w:footnote w:type="continuationSeparator" w:id="0">
    <w:p w:rsidR="00303302" w:rsidP="00784355" w:rsidRDefault="00303302" w14:paraId="58A0910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2"/>
  </w:num>
  <w:num w:numId="3" w16cid:durableId="760956054">
    <w:abstractNumId w:val="8"/>
  </w:num>
  <w:num w:numId="4" w16cid:durableId="1079518208">
    <w:abstractNumId w:val="7"/>
  </w:num>
  <w:num w:numId="5" w16cid:durableId="1198003566">
    <w:abstractNumId w:val="10"/>
  </w:num>
  <w:num w:numId="6" w16cid:durableId="1607540339">
    <w:abstractNumId w:val="0"/>
  </w:num>
  <w:num w:numId="7" w16cid:durableId="1490902120">
    <w:abstractNumId w:val="14"/>
  </w:num>
  <w:num w:numId="8" w16cid:durableId="615214413">
    <w:abstractNumId w:val="15"/>
  </w:num>
  <w:num w:numId="9" w16cid:durableId="10181194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B86"/>
    <w:rsid w:val="0004480C"/>
    <w:rsid w:val="00050563"/>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92C2E"/>
    <w:rsid w:val="0009634E"/>
    <w:rsid w:val="000A5666"/>
    <w:rsid w:val="000A5CAA"/>
    <w:rsid w:val="000B19A0"/>
    <w:rsid w:val="000B58D8"/>
    <w:rsid w:val="000C0734"/>
    <w:rsid w:val="000C3D6F"/>
    <w:rsid w:val="000D7664"/>
    <w:rsid w:val="000F6340"/>
    <w:rsid w:val="0011308C"/>
    <w:rsid w:val="001211EB"/>
    <w:rsid w:val="001230C6"/>
    <w:rsid w:val="001233F2"/>
    <w:rsid w:val="00125B9B"/>
    <w:rsid w:val="001320DF"/>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726E"/>
    <w:rsid w:val="002C1B87"/>
    <w:rsid w:val="002C2A0F"/>
    <w:rsid w:val="002D0DB0"/>
    <w:rsid w:val="002D2DFA"/>
    <w:rsid w:val="002D3B01"/>
    <w:rsid w:val="002E1221"/>
    <w:rsid w:val="002E17F9"/>
    <w:rsid w:val="002E72CC"/>
    <w:rsid w:val="002F09CA"/>
    <w:rsid w:val="002F35F0"/>
    <w:rsid w:val="002F376A"/>
    <w:rsid w:val="00303302"/>
    <w:rsid w:val="003045E3"/>
    <w:rsid w:val="00311A83"/>
    <w:rsid w:val="0032132E"/>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4684"/>
    <w:rsid w:val="003D4687"/>
    <w:rsid w:val="003E0CC2"/>
    <w:rsid w:val="003E450C"/>
    <w:rsid w:val="003F0C97"/>
    <w:rsid w:val="003F1149"/>
    <w:rsid w:val="003F1B5F"/>
    <w:rsid w:val="003F3726"/>
    <w:rsid w:val="003F6B30"/>
    <w:rsid w:val="00403814"/>
    <w:rsid w:val="004049B9"/>
    <w:rsid w:val="00407045"/>
    <w:rsid w:val="00413C3F"/>
    <w:rsid w:val="00415B14"/>
    <w:rsid w:val="00417E23"/>
    <w:rsid w:val="004201E5"/>
    <w:rsid w:val="00425F75"/>
    <w:rsid w:val="00434D9C"/>
    <w:rsid w:val="00440BC2"/>
    <w:rsid w:val="00444232"/>
    <w:rsid w:val="00447FE4"/>
    <w:rsid w:val="00460C30"/>
    <w:rsid w:val="00465FB9"/>
    <w:rsid w:val="00466302"/>
    <w:rsid w:val="0047370C"/>
    <w:rsid w:val="0047522D"/>
    <w:rsid w:val="00476BA1"/>
    <w:rsid w:val="00477C29"/>
    <w:rsid w:val="00490F9F"/>
    <w:rsid w:val="00496A1A"/>
    <w:rsid w:val="004A3E25"/>
    <w:rsid w:val="004B51ED"/>
    <w:rsid w:val="004C43FC"/>
    <w:rsid w:val="004C51EC"/>
    <w:rsid w:val="004C5A91"/>
    <w:rsid w:val="004E65DD"/>
    <w:rsid w:val="004F549E"/>
    <w:rsid w:val="005009EF"/>
    <w:rsid w:val="00504C79"/>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72D92"/>
    <w:rsid w:val="005818E3"/>
    <w:rsid w:val="005824EF"/>
    <w:rsid w:val="00582D26"/>
    <w:rsid w:val="0058358B"/>
    <w:rsid w:val="00583A87"/>
    <w:rsid w:val="00585D65"/>
    <w:rsid w:val="005948EF"/>
    <w:rsid w:val="00597430"/>
    <w:rsid w:val="005A0B70"/>
    <w:rsid w:val="005A5A2C"/>
    <w:rsid w:val="005A782D"/>
    <w:rsid w:val="005B22E6"/>
    <w:rsid w:val="005B2924"/>
    <w:rsid w:val="005B3A2D"/>
    <w:rsid w:val="005B54CD"/>
    <w:rsid w:val="005C524E"/>
    <w:rsid w:val="005C5AB9"/>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9304A"/>
    <w:rsid w:val="00697D6C"/>
    <w:rsid w:val="006B5CAE"/>
    <w:rsid w:val="006C1A65"/>
    <w:rsid w:val="006C29A7"/>
    <w:rsid w:val="006C6261"/>
    <w:rsid w:val="006D2BA9"/>
    <w:rsid w:val="006D397E"/>
    <w:rsid w:val="006E2366"/>
    <w:rsid w:val="006E4547"/>
    <w:rsid w:val="006E5783"/>
    <w:rsid w:val="006F31C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80A"/>
    <w:rsid w:val="00724C9A"/>
    <w:rsid w:val="007261FD"/>
    <w:rsid w:val="00726BD2"/>
    <w:rsid w:val="007300C4"/>
    <w:rsid w:val="00743305"/>
    <w:rsid w:val="007434BA"/>
    <w:rsid w:val="00744447"/>
    <w:rsid w:val="00754DAC"/>
    <w:rsid w:val="00757955"/>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5917"/>
    <w:rsid w:val="007F0419"/>
    <w:rsid w:val="007F14C0"/>
    <w:rsid w:val="007F6BA4"/>
    <w:rsid w:val="007F74F1"/>
    <w:rsid w:val="008010D0"/>
    <w:rsid w:val="008020A1"/>
    <w:rsid w:val="0080509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D270F"/>
    <w:rsid w:val="008D67A4"/>
    <w:rsid w:val="008D6AFE"/>
    <w:rsid w:val="008D6DDF"/>
    <w:rsid w:val="008F1161"/>
    <w:rsid w:val="008F479E"/>
    <w:rsid w:val="008F708B"/>
    <w:rsid w:val="008F7C83"/>
    <w:rsid w:val="009011F1"/>
    <w:rsid w:val="00905938"/>
    <w:rsid w:val="00907E44"/>
    <w:rsid w:val="009127A6"/>
    <w:rsid w:val="00913230"/>
    <w:rsid w:val="0091528B"/>
    <w:rsid w:val="009157B1"/>
    <w:rsid w:val="00917CAF"/>
    <w:rsid w:val="009225DD"/>
    <w:rsid w:val="009272D7"/>
    <w:rsid w:val="0093065E"/>
    <w:rsid w:val="00933532"/>
    <w:rsid w:val="00943343"/>
    <w:rsid w:val="00943DA4"/>
    <w:rsid w:val="00946694"/>
    <w:rsid w:val="00951B99"/>
    <w:rsid w:val="00955C03"/>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9F3B93"/>
    <w:rsid w:val="00A02270"/>
    <w:rsid w:val="00A0362B"/>
    <w:rsid w:val="00A04A06"/>
    <w:rsid w:val="00A077D2"/>
    <w:rsid w:val="00A160AD"/>
    <w:rsid w:val="00A16942"/>
    <w:rsid w:val="00A17A72"/>
    <w:rsid w:val="00A244A1"/>
    <w:rsid w:val="00A25F51"/>
    <w:rsid w:val="00A30393"/>
    <w:rsid w:val="00A32246"/>
    <w:rsid w:val="00A328C0"/>
    <w:rsid w:val="00A3714C"/>
    <w:rsid w:val="00A427D6"/>
    <w:rsid w:val="00A446D0"/>
    <w:rsid w:val="00A44D78"/>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C7"/>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683"/>
    <w:rsid w:val="00B93C7A"/>
    <w:rsid w:val="00B956C4"/>
    <w:rsid w:val="00BA0192"/>
    <w:rsid w:val="00BB2152"/>
    <w:rsid w:val="00BB2BE0"/>
    <w:rsid w:val="00BB405B"/>
    <w:rsid w:val="00BB40EE"/>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55D6"/>
    <w:rsid w:val="00CF78D3"/>
    <w:rsid w:val="00D01EFF"/>
    <w:rsid w:val="00D10B27"/>
    <w:rsid w:val="00D12CFF"/>
    <w:rsid w:val="00D156AF"/>
    <w:rsid w:val="00D16367"/>
    <w:rsid w:val="00D2092C"/>
    <w:rsid w:val="00D22DC3"/>
    <w:rsid w:val="00D248C5"/>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0C5F"/>
    <w:rsid w:val="00E22EBE"/>
    <w:rsid w:val="00E25348"/>
    <w:rsid w:val="00E25D54"/>
    <w:rsid w:val="00E30E76"/>
    <w:rsid w:val="00E341F5"/>
    <w:rsid w:val="00E37E67"/>
    <w:rsid w:val="00E43D94"/>
    <w:rsid w:val="00E531B9"/>
    <w:rsid w:val="00E53BC5"/>
    <w:rsid w:val="00E57869"/>
    <w:rsid w:val="00E61DBC"/>
    <w:rsid w:val="00E63B37"/>
    <w:rsid w:val="00E64057"/>
    <w:rsid w:val="00E66AFF"/>
    <w:rsid w:val="00E6771C"/>
    <w:rsid w:val="00E70381"/>
    <w:rsid w:val="00E70F8F"/>
    <w:rsid w:val="00E72889"/>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D2CA3"/>
    <w:rsid w:val="00FE38F0"/>
    <w:rsid w:val="00FE43A9"/>
    <w:rsid w:val="00FF03CE"/>
    <w:rsid w:val="00FF41F3"/>
    <w:rsid w:val="0D6B0FBC"/>
    <w:rsid w:val="3125BE29"/>
    <w:rsid w:val="3F335107"/>
    <w:rsid w:val="57B40A38"/>
    <w:rsid w:val="61814DC9"/>
    <w:rsid w:val="6F66B493"/>
    <w:rsid w:val="7E07F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136848315">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CEC9B217-802B-4086-AB65-ACE69FEB656C}"/>
</file>

<file path=customXml/itemProps3.xml><?xml version="1.0" encoding="utf-8"?>
<ds:datastoreItem xmlns:ds="http://schemas.openxmlformats.org/officeDocument/2006/customXml" ds:itemID="{79329C10-2A59-4B15-BEC3-258E1E9F9B7D}"/>
</file>

<file path=customXml/itemProps4.xml><?xml version="1.0" encoding="utf-8"?>
<ds:datastoreItem xmlns:ds="http://schemas.openxmlformats.org/officeDocument/2006/customXml" ds:itemID="{397E22F2-F002-4D7A-9ECA-E5D974F249C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149</cp:revision>
  <cp:lastPrinted>2022-07-04T17:01:00Z</cp:lastPrinted>
  <dcterms:created xsi:type="dcterms:W3CDTF">2020-12-18T20:17:00Z</dcterms:created>
  <dcterms:modified xsi:type="dcterms:W3CDTF">2025-11-27T20:27:04Z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