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87A1B" w:rsidR="00B10F71" w:rsidP="00041B86" w:rsidRDefault="00201C0D" w14:paraId="51974F0B" w14:textId="1AD3D79F">
      <w:pPr>
        <w:spacing w:after="0" w:line="240" w:lineRule="auto"/>
        <w:jc w:val="center"/>
        <w:rPr>
          <w:rFonts w:ascii="Times New Roman" w:hAnsi="Times New Roman" w:cs="Times New Roman"/>
          <w:b/>
          <w:sz w:val="24"/>
          <w:szCs w:val="24"/>
          <w:lang w:val="es-PE" w:eastAsia="ar-SA"/>
        </w:rPr>
      </w:pPr>
      <w:r w:rsidRPr="00687A1B">
        <w:rPr>
          <w:rFonts w:ascii="Times New Roman" w:hAnsi="Times New Roman" w:cs="Times New Roman"/>
          <w:b/>
          <w:sz w:val="24"/>
          <w:szCs w:val="24"/>
          <w:lang w:val="es-PE" w:eastAsia="ar-SA"/>
        </w:rPr>
        <w:t xml:space="preserve">RESOLUCIÓN DE RECURSO IMPUGNATIVO </w:t>
      </w:r>
      <w:proofErr w:type="spellStart"/>
      <w:r w:rsidRPr="00687A1B" w:rsidR="00707C99">
        <w:rPr>
          <w:rFonts w:ascii="Times New Roman" w:hAnsi="Times New Roman" w:cs="Times New Roman"/>
          <w:b/>
          <w:sz w:val="24"/>
          <w:szCs w:val="24"/>
          <w:lang w:val="es-PE" w:eastAsia="ar-SA"/>
        </w:rPr>
        <w:t>N°</w:t>
      </w:r>
      <w:proofErr w:type="spellEnd"/>
      <w:r w:rsidRPr="00687A1B" w:rsidR="00707C99">
        <w:rPr>
          <w:rFonts w:ascii="Times New Roman" w:hAnsi="Times New Roman" w:cs="Times New Roman"/>
          <w:b/>
          <w:sz w:val="24"/>
          <w:szCs w:val="24"/>
          <w:lang w:val="es-PE" w:eastAsia="ar-SA"/>
        </w:rPr>
        <w:t xml:space="preserve"> </w:t>
      </w:r>
      <w:r w:rsidRPr="00687A1B" w:rsidR="00C671F5">
        <w:rPr>
          <w:rFonts w:ascii="Times New Roman" w:hAnsi="Times New Roman" w:cs="Times New Roman"/>
          <w:b/>
          <w:sz w:val="24"/>
          <w:szCs w:val="24"/>
          <w:lang w:val="es-PE" w:eastAsia="ar-SA"/>
        </w:rPr>
        <w:t>0</w:t>
      </w:r>
      <w:r w:rsidRPr="00687A1B" w:rsidR="00B93683">
        <w:rPr>
          <w:rFonts w:ascii="Times New Roman" w:hAnsi="Times New Roman" w:cs="Times New Roman"/>
          <w:b/>
          <w:sz w:val="24"/>
          <w:szCs w:val="24"/>
          <w:lang w:val="es-PE" w:eastAsia="ar-SA"/>
        </w:rPr>
        <w:t>4</w:t>
      </w:r>
      <w:r w:rsidRPr="00687A1B" w:rsidR="006A6332">
        <w:rPr>
          <w:rFonts w:ascii="Times New Roman" w:hAnsi="Times New Roman" w:cs="Times New Roman"/>
          <w:b/>
          <w:sz w:val="24"/>
          <w:szCs w:val="24"/>
          <w:lang w:val="es-PE" w:eastAsia="ar-SA"/>
        </w:rPr>
        <w:t>5</w:t>
      </w:r>
      <w:r w:rsidRPr="00687A1B" w:rsidR="00C671F5">
        <w:rPr>
          <w:rFonts w:ascii="Times New Roman" w:hAnsi="Times New Roman" w:cs="Times New Roman"/>
          <w:b/>
          <w:sz w:val="24"/>
          <w:szCs w:val="24"/>
          <w:lang w:val="es-PE" w:eastAsia="ar-SA"/>
        </w:rPr>
        <w:t>/2</w:t>
      </w:r>
      <w:r w:rsidRPr="00687A1B" w:rsidR="00B93C7A">
        <w:rPr>
          <w:rFonts w:ascii="Times New Roman" w:hAnsi="Times New Roman" w:cs="Times New Roman"/>
          <w:b/>
          <w:sz w:val="24"/>
          <w:szCs w:val="24"/>
          <w:lang w:val="es-PE" w:eastAsia="ar-SA"/>
        </w:rPr>
        <w:t>2</w:t>
      </w:r>
    </w:p>
    <w:p w:rsidRPr="00687A1B" w:rsidR="00C173A8" w:rsidP="00C173A8" w:rsidRDefault="00C173A8" w14:paraId="301E1FA3" w14:textId="617C5C7A">
      <w:pPr>
        <w:spacing w:after="0" w:line="240" w:lineRule="auto"/>
        <w:jc w:val="both"/>
        <w:rPr>
          <w:rFonts w:ascii="Times New Roman" w:hAnsi="Times New Roman" w:cs="Times New Roman"/>
          <w:b/>
          <w:sz w:val="24"/>
          <w:szCs w:val="24"/>
          <w:lang w:val="es-PE"/>
        </w:rPr>
      </w:pPr>
    </w:p>
    <w:p w:rsidRPr="00687A1B" w:rsidR="00D14B84" w:rsidP="00687A1B" w:rsidRDefault="00D14B84" w14:paraId="643F6BC5" w14:textId="4B507E40">
      <w:pPr>
        <w:suppressAutoHyphens/>
        <w:jc w:val="both"/>
        <w:outlineLvl w:val="0"/>
        <w:rPr>
          <w:rFonts w:ascii="Times New Roman" w:hAnsi="Times New Roman" w:eastAsia="Times New Roman" w:cs="Times New Roman"/>
          <w:b/>
          <w:bCs/>
          <w:sz w:val="24"/>
          <w:szCs w:val="24"/>
          <w:lang w:val="es-MX" w:eastAsia="ar-SA"/>
        </w:rPr>
      </w:pPr>
      <w:r w:rsidRPr="00687A1B">
        <w:rPr>
          <w:rFonts w:ascii="Times New Roman" w:hAnsi="Times New Roman" w:eastAsia="Times New Roman" w:cs="Times New Roman"/>
          <w:b/>
          <w:bCs/>
          <w:sz w:val="24"/>
          <w:szCs w:val="24"/>
          <w:lang w:val="es-MX" w:eastAsia="ar-SA"/>
        </w:rPr>
        <w:t xml:space="preserve">Vistos:  </w:t>
      </w:r>
    </w:p>
    <w:p w:rsidRPr="00687A1B" w:rsidR="00D14B84" w:rsidP="00D14B84" w:rsidRDefault="00D14B84" w14:paraId="2261B691" w14:textId="26CB5CF5">
      <w:pPr>
        <w:tabs>
          <w:tab w:val="left" w:pos="708"/>
          <w:tab w:val="left" w:pos="1416"/>
          <w:tab w:val="left" w:pos="2160"/>
          <w:tab w:val="left" w:pos="2977"/>
          <w:tab w:val="left" w:pos="4248"/>
          <w:tab w:val="left" w:pos="4956"/>
          <w:tab w:val="left" w:pos="5664"/>
          <w:tab w:val="left" w:pos="6372"/>
          <w:tab w:val="left" w:pos="7125"/>
        </w:tabs>
        <w:jc w:val="both"/>
        <w:rPr>
          <w:rFonts w:ascii="Times New Roman" w:hAnsi="Times New Roman" w:eastAsia="Arial Unicode MS" w:cs="Times New Roman"/>
          <w:sz w:val="24"/>
          <w:szCs w:val="24"/>
          <w:lang w:val="es-PE"/>
        </w:rPr>
      </w:pPr>
      <w:r w:rsidRPr="0D83CB35" w:rsidR="00D14B84">
        <w:rPr>
          <w:rFonts w:ascii="Times New Roman" w:hAnsi="Times New Roman" w:eastAsia="Times New Roman" w:cs="Times New Roman"/>
          <w:sz w:val="24"/>
          <w:szCs w:val="24"/>
          <w:lang w:val="es-ES" w:eastAsia="ar-SA"/>
        </w:rPr>
        <w:t xml:space="preserve">El recurso de impugnación presentado por don </w:t>
      </w:r>
      <w:r w:rsidRPr="0D83CB35" w:rsidR="26105977">
        <w:rPr>
          <w:rFonts w:ascii="Times New Roman" w:hAnsi="Times New Roman" w:eastAsia="Times New Roman" w:cs="Times New Roman"/>
          <w:sz w:val="24"/>
          <w:szCs w:val="24"/>
          <w:lang w:val="es-ES" w:eastAsia="ar-SA"/>
        </w:rPr>
        <w:t>......................................................</w:t>
      </w:r>
      <w:r w:rsidRPr="0D83CB35" w:rsidR="00D14B84">
        <w:rPr>
          <w:rFonts w:ascii="Times New Roman" w:hAnsi="Times New Roman" w:eastAsia="Times New Roman" w:cs="Times New Roman"/>
          <w:sz w:val="24"/>
          <w:szCs w:val="24"/>
          <w:lang w:val="es-ES" w:eastAsia="ar-SA"/>
        </w:rPr>
        <w:t xml:space="preserve"> respecto de la Resolución </w:t>
      </w:r>
      <w:r w:rsidRPr="0D83CB35" w:rsidR="00D14B84">
        <w:rPr>
          <w:rFonts w:ascii="Times New Roman" w:hAnsi="Times New Roman" w:eastAsia="Times New Roman" w:cs="Times New Roman"/>
          <w:sz w:val="24"/>
          <w:szCs w:val="24"/>
          <w:lang w:val="es-ES" w:eastAsia="ar-SA"/>
        </w:rPr>
        <w:t>Nº</w:t>
      </w:r>
      <w:r w:rsidRPr="0D83CB35" w:rsidR="00D14B84">
        <w:rPr>
          <w:rFonts w:ascii="Times New Roman" w:hAnsi="Times New Roman" w:eastAsia="Times New Roman" w:cs="Times New Roman"/>
          <w:sz w:val="24"/>
          <w:szCs w:val="24"/>
          <w:lang w:val="es-ES" w:eastAsia="ar-SA"/>
        </w:rPr>
        <w:t xml:space="preserve"> 102/22, que declaró INFUNDADA la </w:t>
      </w:r>
      <w:r w:rsidRPr="0D83CB35" w:rsidR="00D14B84">
        <w:rPr>
          <w:rFonts w:ascii="Times New Roman" w:hAnsi="Times New Roman" w:eastAsia="Arial Unicode MS" w:cs="Times New Roman"/>
          <w:sz w:val="24"/>
          <w:szCs w:val="24"/>
          <w:lang w:val="es-PE"/>
        </w:rPr>
        <w:t>la reclamación interpuesta</w:t>
      </w:r>
      <w:bookmarkStart w:name="OLE_LINK2" w:id="0"/>
      <w:r w:rsidRPr="0D83CB35" w:rsidR="00D14B84">
        <w:rPr>
          <w:rFonts w:ascii="Times New Roman" w:hAnsi="Times New Roman" w:eastAsia="Arial Unicode MS" w:cs="Times New Roman"/>
          <w:sz w:val="24"/>
          <w:szCs w:val="24"/>
          <w:lang w:val="es-PE"/>
        </w:rPr>
        <w:t xml:space="preserve"> contra </w:t>
      </w:r>
      <w:r w:rsidRPr="0D83CB35" w:rsidR="57AAC949">
        <w:rPr>
          <w:rFonts w:ascii="Times New Roman" w:hAnsi="Times New Roman" w:eastAsia="Arial Unicode MS" w:cs="Times New Roman"/>
          <w:sz w:val="24"/>
          <w:szCs w:val="24"/>
          <w:lang w:val="es-PE"/>
        </w:rPr>
        <w:t>..........................................</w:t>
      </w:r>
      <w:r w:rsidRPr="0D83CB35" w:rsidR="00D14B84">
        <w:rPr>
          <w:rFonts w:ascii="Times New Roman" w:hAnsi="Times New Roman" w:eastAsia="Arial Unicode MS" w:cs="Times New Roman"/>
          <w:sz w:val="24"/>
          <w:szCs w:val="24"/>
          <w:lang w:val="es-PE"/>
        </w:rPr>
        <w:t xml:space="preserve"> respecto del seguro vehicular </w:t>
      </w:r>
      <w:r w:rsidRPr="0D83CB35" w:rsidR="00D14B84">
        <w:rPr>
          <w:rFonts w:ascii="Times New Roman" w:hAnsi="Times New Roman" w:eastAsia="Arial Unicode MS" w:cs="Times New Roman"/>
          <w:sz w:val="24"/>
          <w:szCs w:val="24"/>
          <w:lang w:val="es-PE"/>
        </w:rPr>
        <w:t>Nº</w:t>
      </w:r>
      <w:r w:rsidRPr="0D83CB35" w:rsidR="00D14B84">
        <w:rPr>
          <w:rFonts w:ascii="Times New Roman" w:hAnsi="Times New Roman" w:eastAsia="Arial Unicode MS" w:cs="Times New Roman"/>
          <w:sz w:val="24"/>
          <w:szCs w:val="24"/>
          <w:lang w:val="es-PE"/>
        </w:rPr>
        <w:t xml:space="preserve"> </w:t>
      </w:r>
      <w:r w:rsidRPr="0D83CB35" w:rsidR="0523F637">
        <w:rPr>
          <w:rFonts w:ascii="Times New Roman" w:hAnsi="Times New Roman" w:eastAsia="Arial Unicode MS" w:cs="Times New Roman"/>
          <w:sz w:val="24"/>
          <w:szCs w:val="24"/>
          <w:lang w:val="es-PE"/>
        </w:rPr>
        <w:t>...........................</w:t>
      </w:r>
      <w:r w:rsidRPr="0D83CB35" w:rsidR="00D14B84">
        <w:rPr>
          <w:rFonts w:ascii="Times New Roman" w:hAnsi="Times New Roman" w:eastAsia="Arial Unicode MS" w:cs="Times New Roman"/>
          <w:sz w:val="24"/>
          <w:szCs w:val="24"/>
          <w:lang w:val="es-PE"/>
        </w:rPr>
        <w:t xml:space="preserve">. </w:t>
      </w:r>
    </w:p>
    <w:bookmarkEnd w:id="0"/>
    <w:p w:rsidRPr="00687A1B" w:rsidR="00D14B84" w:rsidP="00D14B84" w:rsidRDefault="00D14B84" w14:paraId="19A58B41" w14:textId="77777777">
      <w:pPr>
        <w:pStyle w:val="Default"/>
        <w:jc w:val="both"/>
        <w:rPr>
          <w:rFonts w:ascii="Times New Roman" w:hAnsi="Times New Roman" w:cs="Times New Roman"/>
          <w:bCs/>
          <w:lang w:val="es-MX" w:eastAsia="ar-SA"/>
        </w:rPr>
      </w:pPr>
      <w:r w:rsidRPr="00687A1B">
        <w:rPr>
          <w:rFonts w:ascii="Times New Roman" w:hAnsi="Times New Roman" w:cs="Times New Roman"/>
          <w:bCs/>
          <w:lang w:val="es-MX" w:eastAsia="ar-SA"/>
        </w:rPr>
        <w:t>Que, a través del señalado recurso, la recurrente discrepa de lo resulto pues considera resumidamente lo siguiente: (i) que el plazo de dos años debe computarse desde que se recibió la carta notarial y no desde que se recibió el correo electrónico, por cuanto en este último caso no existe un acuse de recibo; ya que de lo contrario la aseguradora no habría enviado una carta notarial; (</w:t>
      </w:r>
      <w:proofErr w:type="spellStart"/>
      <w:r w:rsidRPr="00687A1B">
        <w:rPr>
          <w:rFonts w:ascii="Times New Roman" w:hAnsi="Times New Roman" w:cs="Times New Roman"/>
          <w:bCs/>
          <w:lang w:val="es-MX" w:eastAsia="ar-SA"/>
        </w:rPr>
        <w:t>ii</w:t>
      </w:r>
      <w:proofErr w:type="spellEnd"/>
      <w:r w:rsidRPr="00687A1B">
        <w:rPr>
          <w:rFonts w:ascii="Times New Roman" w:hAnsi="Times New Roman" w:cs="Times New Roman"/>
          <w:bCs/>
          <w:lang w:val="es-MX" w:eastAsia="ar-SA"/>
        </w:rPr>
        <w:t>) que en ningún extremo de la póliza se establece que su persona otorgó consentimiento para que le notifiquen el rechazo de cobertura por correo electrónico; (</w:t>
      </w:r>
      <w:proofErr w:type="spellStart"/>
      <w:r w:rsidRPr="00687A1B">
        <w:rPr>
          <w:rFonts w:ascii="Times New Roman" w:hAnsi="Times New Roman" w:cs="Times New Roman"/>
          <w:bCs/>
          <w:lang w:val="es-MX" w:eastAsia="ar-SA"/>
        </w:rPr>
        <w:t>iii</w:t>
      </w:r>
      <w:proofErr w:type="spellEnd"/>
      <w:r w:rsidRPr="00687A1B">
        <w:rPr>
          <w:rFonts w:ascii="Times New Roman" w:hAnsi="Times New Roman" w:cs="Times New Roman"/>
          <w:bCs/>
          <w:lang w:val="es-MX" w:eastAsia="ar-SA"/>
        </w:rPr>
        <w:t>) que desde que empezó la pandemia se dictaron diversos dispositivos legales para suspender los plazos de los procedimientos administrativos seguidos ante entidades públicas y privadas, lo que también debería considerarse para este caso</w:t>
      </w:r>
    </w:p>
    <w:p w:rsidRPr="00687A1B" w:rsidR="00D14B84" w:rsidP="00D14B84" w:rsidRDefault="00D14B84" w14:paraId="7EDC0763" w14:textId="77777777">
      <w:pPr>
        <w:pStyle w:val="Default"/>
        <w:jc w:val="both"/>
        <w:rPr>
          <w:rFonts w:ascii="Times New Roman" w:hAnsi="Times New Roman" w:cs="Times New Roman"/>
          <w:bCs/>
          <w:lang w:val="es-MX" w:eastAsia="ar-SA"/>
        </w:rPr>
      </w:pPr>
    </w:p>
    <w:p w:rsidRPr="00687A1B" w:rsidR="00D14B84" w:rsidP="00D14B84" w:rsidRDefault="00D14B84" w14:paraId="5C78AE01" w14:textId="77638063">
      <w:pPr>
        <w:suppressAutoHyphens/>
        <w:jc w:val="both"/>
        <w:rPr>
          <w:rFonts w:ascii="Times New Roman" w:hAnsi="Times New Roman" w:eastAsia="Times New Roman" w:cs="Times New Roman"/>
          <w:bCs/>
          <w:sz w:val="24"/>
          <w:szCs w:val="24"/>
          <w:lang w:val="es-MX" w:eastAsia="ar-SA"/>
        </w:rPr>
      </w:pPr>
      <w:r w:rsidRPr="00687A1B">
        <w:rPr>
          <w:rFonts w:ascii="Times New Roman" w:hAnsi="Times New Roman" w:eastAsia="Times New Roman" w:cs="Times New Roman"/>
          <w:bCs/>
          <w:sz w:val="24"/>
          <w:szCs w:val="24"/>
          <w:lang w:val="es-MX" w:eastAsia="ar-SA"/>
        </w:rPr>
        <w:t>Que, habiéndose corrido traslado de la señalada impugnación, la aseguradora señaló resumidamente lo siguiente: (i) que el reglamento de la DEFASEG no establece que tenga que existir un acuse de recibo tal como erróneamente sostiene el reclamante; (</w:t>
      </w:r>
      <w:proofErr w:type="spellStart"/>
      <w:r w:rsidRPr="00687A1B">
        <w:rPr>
          <w:rFonts w:ascii="Times New Roman" w:hAnsi="Times New Roman" w:eastAsia="Times New Roman" w:cs="Times New Roman"/>
          <w:bCs/>
          <w:sz w:val="24"/>
          <w:szCs w:val="24"/>
          <w:lang w:val="es-MX" w:eastAsia="ar-SA"/>
        </w:rPr>
        <w:t>ii</w:t>
      </w:r>
      <w:proofErr w:type="spellEnd"/>
      <w:r w:rsidRPr="00687A1B">
        <w:rPr>
          <w:rFonts w:ascii="Times New Roman" w:hAnsi="Times New Roman" w:eastAsia="Times New Roman" w:cs="Times New Roman"/>
          <w:bCs/>
          <w:sz w:val="24"/>
          <w:szCs w:val="24"/>
          <w:lang w:val="es-MX" w:eastAsia="ar-SA"/>
        </w:rPr>
        <w:t>) que no existe una formalidad específica para comunicar un rechazo de cobertura, siendo válidos los canales establecidos en la póliza, en consecuencia el correo electrónico brindado por el reclamante era un medio válido que fue proporcionado por el mismo en la contratación del seguro; (</w:t>
      </w:r>
      <w:proofErr w:type="spellStart"/>
      <w:r w:rsidRPr="00687A1B">
        <w:rPr>
          <w:rFonts w:ascii="Times New Roman" w:hAnsi="Times New Roman" w:eastAsia="Times New Roman" w:cs="Times New Roman"/>
          <w:bCs/>
          <w:sz w:val="24"/>
          <w:szCs w:val="24"/>
          <w:lang w:val="es-MX" w:eastAsia="ar-SA"/>
        </w:rPr>
        <w:t>iii</w:t>
      </w:r>
      <w:proofErr w:type="spellEnd"/>
      <w:r w:rsidRPr="00687A1B">
        <w:rPr>
          <w:rFonts w:ascii="Times New Roman" w:hAnsi="Times New Roman" w:eastAsia="Times New Roman" w:cs="Times New Roman"/>
          <w:bCs/>
          <w:sz w:val="24"/>
          <w:szCs w:val="24"/>
          <w:lang w:val="es-MX" w:eastAsia="ar-SA"/>
        </w:rPr>
        <w:t>) que sí existió una autorización en la póliza para que se use al correo electrónico como medio directo de comunicación entre las partes, tanto en el artículo 27 como en las condiciones particulares de la póliza que adjunta; (</w:t>
      </w:r>
      <w:proofErr w:type="spellStart"/>
      <w:r w:rsidRPr="00687A1B">
        <w:rPr>
          <w:rFonts w:ascii="Times New Roman" w:hAnsi="Times New Roman" w:eastAsia="Times New Roman" w:cs="Times New Roman"/>
          <w:bCs/>
          <w:sz w:val="24"/>
          <w:szCs w:val="24"/>
          <w:lang w:val="es-MX" w:eastAsia="ar-SA"/>
        </w:rPr>
        <w:t>iv</w:t>
      </w:r>
      <w:proofErr w:type="spellEnd"/>
      <w:r w:rsidRPr="00687A1B">
        <w:rPr>
          <w:rFonts w:ascii="Times New Roman" w:hAnsi="Times New Roman" w:eastAsia="Times New Roman" w:cs="Times New Roman"/>
          <w:bCs/>
          <w:sz w:val="24"/>
          <w:szCs w:val="24"/>
          <w:lang w:val="es-MX" w:eastAsia="ar-SA"/>
        </w:rPr>
        <w:t xml:space="preserve">) que los plazos de suspensión no se aplican a la DEFASEG en la medida que es una institución privada. </w:t>
      </w:r>
    </w:p>
    <w:p w:rsidRPr="00687A1B" w:rsidR="00D14B84" w:rsidP="00D14B84" w:rsidRDefault="00D14B84" w14:paraId="6188A01F" w14:textId="6FCDD1CD">
      <w:pPr>
        <w:suppressAutoHyphens/>
        <w:jc w:val="both"/>
        <w:rPr>
          <w:rFonts w:ascii="Times New Roman" w:hAnsi="Times New Roman" w:eastAsia="Times New Roman" w:cs="Times New Roman"/>
          <w:bCs/>
          <w:sz w:val="24"/>
          <w:szCs w:val="24"/>
          <w:lang w:val="es-MX" w:eastAsia="ar-SA"/>
        </w:rPr>
      </w:pPr>
      <w:r w:rsidRPr="00687A1B">
        <w:rPr>
          <w:rFonts w:ascii="Times New Roman" w:hAnsi="Times New Roman" w:eastAsia="Times New Roman" w:cs="Times New Roman"/>
          <w:b/>
          <w:bCs/>
          <w:sz w:val="24"/>
          <w:szCs w:val="24"/>
          <w:lang w:val="es-MX" w:eastAsia="ar-SA"/>
        </w:rPr>
        <w:t>Considerando:</w:t>
      </w:r>
    </w:p>
    <w:p w:rsidRPr="00687A1B" w:rsidR="00D14B84" w:rsidP="00D14B84" w:rsidRDefault="00D14B84" w14:paraId="5173B667" w14:textId="77777777">
      <w:pPr>
        <w:jc w:val="both"/>
        <w:rPr>
          <w:rFonts w:ascii="Times New Roman" w:hAnsi="Times New Roman" w:cs="Times New Roman"/>
          <w:bCs/>
          <w:sz w:val="24"/>
          <w:szCs w:val="24"/>
          <w:lang w:val="es-PE"/>
        </w:rPr>
      </w:pPr>
      <w:r w:rsidRPr="00687A1B">
        <w:rPr>
          <w:rFonts w:ascii="Times New Roman" w:hAnsi="Times New Roman" w:cs="Times New Roman"/>
          <w:b/>
          <w:sz w:val="24"/>
          <w:szCs w:val="24"/>
          <w:u w:val="single"/>
          <w:lang w:val="es-PE"/>
        </w:rPr>
        <w:t>Primero</w:t>
      </w:r>
      <w:r w:rsidRPr="00687A1B">
        <w:rPr>
          <w:rFonts w:ascii="Times New Roman" w:hAnsi="Times New Roman" w:cs="Times New Roman"/>
          <w:b/>
          <w:sz w:val="24"/>
          <w:szCs w:val="24"/>
          <w:lang w:val="es-PE"/>
        </w:rPr>
        <w:t>:</w:t>
      </w:r>
      <w:r w:rsidRPr="00687A1B">
        <w:rPr>
          <w:rFonts w:ascii="Times New Roman" w:hAnsi="Times New Roman" w:cs="Times New Roman"/>
          <w:sz w:val="24"/>
          <w:szCs w:val="24"/>
          <w:lang w:val="es-PE"/>
        </w:rPr>
        <w:t xml:space="preserve"> El Reglamento de la DEFASEG </w:t>
      </w:r>
      <w:r w:rsidRPr="00687A1B">
        <w:rPr>
          <w:rFonts w:ascii="Times New Roman" w:hAnsi="Times New Roman" w:eastAsia="Arial Unicode MS" w:cs="Times New Roman"/>
          <w:sz w:val="24"/>
          <w:szCs w:val="24"/>
          <w:lang w:val="es-PE"/>
        </w:rPr>
        <w:t>(</w:t>
      </w:r>
      <w:hyperlink w:history="1" r:id="rId8">
        <w:r w:rsidRPr="00687A1B">
          <w:rPr>
            <w:rStyle w:val="Hipervnculo"/>
            <w:rFonts w:ascii="Times New Roman" w:hAnsi="Times New Roman" w:eastAsia="Arial Unicode MS" w:cs="Times New Roman"/>
            <w:sz w:val="24"/>
            <w:szCs w:val="24"/>
            <w:lang w:val="es-PE"/>
          </w:rPr>
          <w:t>http://www.defaseg.com.pe/reglamento</w:t>
        </w:r>
      </w:hyperlink>
      <w:r w:rsidRPr="00687A1B">
        <w:rPr>
          <w:rFonts w:ascii="Times New Roman" w:hAnsi="Times New Roman" w:eastAsia="Arial Unicode MS" w:cs="Times New Roman"/>
          <w:sz w:val="24"/>
          <w:szCs w:val="24"/>
          <w:lang w:val="es-PE"/>
        </w:rPr>
        <w:t xml:space="preserve">) </w:t>
      </w:r>
      <w:r w:rsidRPr="00687A1B">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w:t>
      </w:r>
      <w:r w:rsidRPr="00687A1B">
        <w:rPr>
          <w:rFonts w:ascii="Times New Roman" w:hAnsi="Times New Roman" w:cs="Times New Roman"/>
          <w:bCs/>
          <w:sz w:val="24"/>
          <w:szCs w:val="24"/>
          <w:lang w:val="es-PE"/>
        </w:rPr>
        <w:t>Conforme a ello, en el caso concreto, al interponer el recurso de impugnación el reclamante ha ejercido formalmente su derecho a contradecir lo resuelto por la Defensoría.</w:t>
      </w:r>
    </w:p>
    <w:p w:rsidRPr="00687A1B" w:rsidR="00D14B84" w:rsidP="00D14B84" w:rsidRDefault="00D14B84" w14:paraId="5F2971E5" w14:textId="77777777">
      <w:pPr>
        <w:jc w:val="both"/>
        <w:rPr>
          <w:rFonts w:ascii="Times New Roman" w:hAnsi="Times New Roman" w:cs="Times New Roman"/>
          <w:sz w:val="24"/>
          <w:szCs w:val="24"/>
          <w:lang w:val="es-PE"/>
        </w:rPr>
      </w:pPr>
    </w:p>
    <w:p w:rsidRPr="00687A1B" w:rsidR="00D14B84" w:rsidP="00D14B84" w:rsidRDefault="00D14B84" w14:paraId="1DDF162C" w14:textId="7815DF3D">
      <w:pPr>
        <w:jc w:val="both"/>
        <w:rPr>
          <w:rFonts w:ascii="Times New Roman" w:hAnsi="Times New Roman" w:cs="Times New Roman"/>
          <w:sz w:val="24"/>
          <w:szCs w:val="24"/>
          <w:lang w:val="es-PE"/>
        </w:rPr>
      </w:pPr>
      <w:r w:rsidRPr="00687A1B">
        <w:rPr>
          <w:rFonts w:ascii="Times New Roman" w:hAnsi="Times New Roman" w:cs="Times New Roman"/>
          <w:sz w:val="24"/>
          <w:szCs w:val="24"/>
          <w:lang w:val="es-PE"/>
        </w:rPr>
        <w:t xml:space="preserve">Cabe señalar </w:t>
      </w:r>
      <w:proofErr w:type="gramStart"/>
      <w:r w:rsidRPr="00687A1B">
        <w:rPr>
          <w:rFonts w:ascii="Times New Roman" w:hAnsi="Times New Roman" w:cs="Times New Roman"/>
          <w:sz w:val="24"/>
          <w:szCs w:val="24"/>
          <w:lang w:val="es-PE"/>
        </w:rPr>
        <w:t>que</w:t>
      </w:r>
      <w:proofErr w:type="gramEnd"/>
      <w:r w:rsidRPr="00687A1B">
        <w:rPr>
          <w:rFonts w:ascii="Times New Roman" w:hAnsi="Times New Roman" w:cs="Times New Roman"/>
          <w:sz w:val="24"/>
          <w:szCs w:val="24"/>
          <w:lang w:val="es-PE"/>
        </w:rPr>
        <w:t xml:space="preserve"> de manera complementaria, el reglamento dispone que, el </w:t>
      </w:r>
      <w:r w:rsidRPr="00687A1B">
        <w:rPr>
          <w:rFonts w:ascii="Times New Roman" w:hAnsi="Times New Roman" w:cs="Times New Roman"/>
          <w:sz w:val="24"/>
          <w:szCs w:val="24"/>
          <w:lang w:val="es-ES"/>
        </w:rPr>
        <w:t>usuario de seguro recurre en forma voluntaria a la Defensoría, siendo que la presentación de una reclamación n</w:t>
      </w:r>
      <w:r w:rsidRPr="00687A1B">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687A1B">
        <w:rPr>
          <w:rFonts w:ascii="Times New Roman" w:hAnsi="Times New Roman" w:cs="Times New Roman"/>
          <w:sz w:val="24"/>
          <w:szCs w:val="24"/>
          <w:lang w:val="es-PE"/>
        </w:rPr>
        <w:t>De acuerdo a</w:t>
      </w:r>
      <w:proofErr w:type="gramEnd"/>
      <w:r w:rsidRPr="00687A1B">
        <w:rPr>
          <w:rFonts w:ascii="Times New Roman" w:hAnsi="Times New Roman" w:cs="Times New Roman"/>
          <w:sz w:val="24"/>
          <w:szCs w:val="24"/>
          <w:lang w:val="es-PE"/>
        </w:rPr>
        <w:t xml:space="preserve"> lo anterior, si el reclamante no se encuentra conforme con lo resuelto, esto último no limita la posibilidad de poder recurrir a las instancias correspondientes, a diferencia de la aseguradora que sí queda comprometida con lo resuelto por la DEFASEG.</w:t>
      </w:r>
    </w:p>
    <w:p w:rsidRPr="00687A1B" w:rsidR="00D14B84" w:rsidP="00D14B84" w:rsidRDefault="00D14B84" w14:paraId="60249FFA" w14:textId="0EE39D38">
      <w:pPr>
        <w:tabs>
          <w:tab w:val="left" w:pos="0"/>
          <w:tab w:val="left" w:pos="2160"/>
        </w:tabs>
        <w:jc w:val="both"/>
        <w:rPr>
          <w:rFonts w:ascii="Times New Roman" w:hAnsi="Times New Roman" w:cs="Times New Roman"/>
          <w:sz w:val="24"/>
          <w:szCs w:val="24"/>
          <w:lang w:val="es-ES"/>
        </w:rPr>
      </w:pPr>
      <w:r w:rsidRPr="00687A1B">
        <w:rPr>
          <w:rFonts w:ascii="Times New Roman" w:hAnsi="Times New Roman" w:cs="Times New Roman"/>
          <w:b/>
          <w:sz w:val="24"/>
          <w:szCs w:val="24"/>
          <w:u w:val="single"/>
          <w:lang w:val="es-PE"/>
        </w:rPr>
        <w:lastRenderedPageBreak/>
        <w:t>Segundo</w:t>
      </w:r>
      <w:r w:rsidRPr="00687A1B">
        <w:rPr>
          <w:rFonts w:ascii="Times New Roman" w:hAnsi="Times New Roman" w:cs="Times New Roman"/>
          <w:b/>
          <w:sz w:val="24"/>
          <w:szCs w:val="24"/>
          <w:lang w:val="es-PE"/>
        </w:rPr>
        <w:t>:</w:t>
      </w:r>
      <w:r w:rsidRPr="00687A1B">
        <w:rPr>
          <w:rFonts w:ascii="Times New Roman" w:hAnsi="Times New Roman" w:cs="Times New Roman"/>
          <w:sz w:val="24"/>
          <w:szCs w:val="24"/>
          <w:lang w:val="es-PE"/>
        </w:rPr>
        <w:t xml:space="preserve"> Atendiendo a los fundamentos de la impugnación interpuesta, se advierte que el reclamante insiste en sus argumentos ya analizados, </w:t>
      </w:r>
      <w:r w:rsidRPr="00687A1B">
        <w:rPr>
          <w:rFonts w:ascii="Times New Roman" w:hAnsi="Times New Roman" w:cs="Times New Roman"/>
          <w:bCs/>
          <w:sz w:val="24"/>
          <w:szCs w:val="24"/>
          <w:lang w:val="es-PE"/>
        </w:rPr>
        <w:t xml:space="preserve">de manera que el </w:t>
      </w:r>
      <w:r w:rsidRPr="00687A1B">
        <w:rPr>
          <w:rFonts w:ascii="Times New Roman" w:hAnsi="Times New Roman" w:cs="Times New Roman"/>
          <w:sz w:val="24"/>
          <w:szCs w:val="24"/>
          <w:lang w:val="es-ES"/>
        </w:rPr>
        <w:t>recurso impugnativo interpuesto puede ser categorizado, por su contenido mismo, como una solicitud de revisión general, sustentada exclusivamente en el criterio del reclamante, que esta Defensoría respeta pero no comparte,  sin aportar medio probatorio que permita efectivamente concluir que este colegiado incurrió en error o vicio al momento de resolver. En efecto, de la lectura del recurso impugnativo se aprecia dicha disconformidad, descalificando lo resuelto por la DEFASEG por el solo hecho que no se han recogido los argumentos del reclamante, añadiendo que debería tomarse en consideración que existieron normas que suspendieron los plazos administrativos, lo que debería considerarse en este caso.</w:t>
      </w:r>
    </w:p>
    <w:p w:rsidRPr="00687A1B" w:rsidR="00D14B84" w:rsidP="00D14B84" w:rsidRDefault="00D14B84" w14:paraId="1D9053A0" w14:textId="7486EBDC">
      <w:pPr>
        <w:tabs>
          <w:tab w:val="left" w:pos="0"/>
          <w:tab w:val="left" w:pos="2160"/>
        </w:tabs>
        <w:jc w:val="both"/>
        <w:rPr>
          <w:rFonts w:ascii="Times New Roman" w:hAnsi="Times New Roman" w:cs="Times New Roman"/>
          <w:sz w:val="24"/>
          <w:szCs w:val="24"/>
          <w:lang w:val="es-ES"/>
        </w:rPr>
      </w:pPr>
      <w:r w:rsidRPr="00687A1B">
        <w:rPr>
          <w:rFonts w:ascii="Times New Roman" w:hAnsi="Times New Roman" w:cs="Times New Roman"/>
          <w:sz w:val="24"/>
          <w:szCs w:val="24"/>
          <w:lang w:val="es-ES"/>
        </w:rPr>
        <w:t xml:space="preserve">Sobre dicho último extremo, este colegiado reitera que la DEFASEG es una instancia de autorregulación privada que se rige por su reglamento conforme se menciona en el siguiente considerando. </w:t>
      </w:r>
    </w:p>
    <w:p w:rsidRPr="00687A1B" w:rsidR="00D14B84" w:rsidP="00D14B84" w:rsidRDefault="00D14B84" w14:paraId="1DB0BC19" w14:textId="2578C6F3">
      <w:pPr>
        <w:tabs>
          <w:tab w:val="left" w:pos="0"/>
          <w:tab w:val="left" w:pos="2160"/>
        </w:tabs>
        <w:jc w:val="both"/>
        <w:rPr>
          <w:rFonts w:ascii="Times New Roman" w:hAnsi="Times New Roman" w:cs="Times New Roman"/>
          <w:sz w:val="24"/>
          <w:szCs w:val="24"/>
          <w:lang w:val="es-ES"/>
        </w:rPr>
      </w:pPr>
      <w:r w:rsidRPr="00687A1B">
        <w:rPr>
          <w:rFonts w:ascii="Times New Roman" w:hAnsi="Times New Roman" w:cs="Times New Roman"/>
          <w:b/>
          <w:bCs/>
          <w:sz w:val="24"/>
          <w:szCs w:val="24"/>
          <w:u w:val="single"/>
          <w:lang w:val="es-PE"/>
        </w:rPr>
        <w:t>Tercero:</w:t>
      </w:r>
      <w:r w:rsidRPr="00687A1B">
        <w:rPr>
          <w:rFonts w:ascii="Times New Roman" w:hAnsi="Times New Roman" w:cs="Times New Roman"/>
          <w:sz w:val="24"/>
          <w:szCs w:val="24"/>
          <w:lang w:val="es-PE"/>
        </w:rPr>
        <w:t xml:space="preserve">  L</w:t>
      </w:r>
      <w:r w:rsidRPr="00687A1B">
        <w:rPr>
          <w:rFonts w:ascii="Times New Roman" w:hAnsi="Times New Roman" w:cs="Times New Roman"/>
          <w:sz w:val="24"/>
          <w:szCs w:val="24"/>
          <w:lang w:val="es-419"/>
        </w:rPr>
        <w:t>a Defensoría del Asegurado es una entidad privada y por ende no constituye una instancia administrativa regida por la ley del procedimiento administrativo general. La Defensoría se rige por su propio reglamento (</w:t>
      </w:r>
      <w:hyperlink w:history="1" r:id="rId9">
        <w:r w:rsidRPr="00687A1B">
          <w:rPr>
            <w:rStyle w:val="Hipervnculo"/>
            <w:rFonts w:ascii="Times New Roman" w:hAnsi="Times New Roman" w:cs="Times New Roman"/>
            <w:sz w:val="24"/>
            <w:szCs w:val="24"/>
            <w:lang w:val="es-419"/>
          </w:rPr>
          <w:t>http://www.defaseg.com.pe/reglamento.html</w:t>
        </w:r>
      </w:hyperlink>
      <w:r w:rsidRPr="00687A1B">
        <w:rPr>
          <w:rFonts w:ascii="Times New Roman" w:hAnsi="Times New Roman" w:cs="Times New Roman"/>
          <w:sz w:val="24"/>
          <w:szCs w:val="24"/>
          <w:lang w:val="es-419"/>
        </w:rPr>
        <w:t xml:space="preserve"> ), de acuerdo al cual </w:t>
      </w:r>
      <w:r w:rsidRPr="00687A1B">
        <w:rPr>
          <w:rFonts w:ascii="Times New Roman" w:hAnsi="Times New Roman" w:cs="Times New Roman"/>
          <w:sz w:val="24"/>
          <w:szCs w:val="24"/>
          <w:lang w:val="es-ES"/>
        </w:rPr>
        <w:t>el sometimiento voluntario de controversias en materia de seguros ante esta Defensoría, no afecta el derecho a la tutela jurisdiccional del asegurado, toda vez que lo resuelto por esta Defensoría no afecta su derecho a iniciar procesos ante las instancias que considere pertinentes, sin que sea necesario que se revoque previamente la resolución emitida, en tanto las resoluciones que expide esta Defensoría no son vinculantes para el asegurado o reclamante cuando éstas son desfavorables para los mismos, ya que son únicamente vinculantes para las aseguradoras cuando el fallo es favorable para el asegurado.</w:t>
      </w:r>
    </w:p>
    <w:p w:rsidRPr="00687A1B" w:rsidR="00D14B84" w:rsidP="00D14B84" w:rsidRDefault="00D14B84" w14:paraId="7099F9FB" w14:textId="793700C1">
      <w:pPr>
        <w:tabs>
          <w:tab w:val="left" w:pos="2160"/>
        </w:tabs>
        <w:jc w:val="both"/>
        <w:rPr>
          <w:rFonts w:ascii="Times New Roman" w:hAnsi="Times New Roman" w:cs="Times New Roman"/>
          <w:sz w:val="24"/>
          <w:szCs w:val="24"/>
          <w:lang w:val="es-ES"/>
        </w:rPr>
      </w:pPr>
      <w:r w:rsidRPr="00687A1B">
        <w:rPr>
          <w:rFonts w:ascii="Times New Roman" w:hAnsi="Times New Roman" w:cs="Times New Roman"/>
          <w:sz w:val="24"/>
          <w:szCs w:val="24"/>
          <w:lang w:val="es-ES"/>
        </w:rPr>
        <w:t>En atención a las consideraciones precedentes, ratificando el análisis y conclusión contenidos en la resolución recurrida, este colegiado aprecia que no existe mérito, argumento ni prueba que justifique revocar la resolución recurrida; por lo tanto, conforme a su reglamente este colegiado</w:t>
      </w:r>
    </w:p>
    <w:p w:rsidRPr="00687A1B" w:rsidR="00D14B84" w:rsidP="00D14B84" w:rsidRDefault="00D14B84" w14:paraId="589DDEB7" w14:textId="2314A9C9">
      <w:pPr>
        <w:jc w:val="both"/>
        <w:rPr>
          <w:rFonts w:ascii="Times New Roman" w:hAnsi="Times New Roman" w:eastAsia="Arial Unicode MS" w:cs="Times New Roman"/>
          <w:b/>
          <w:bCs/>
          <w:sz w:val="24"/>
          <w:szCs w:val="24"/>
          <w:lang w:val="es-PE"/>
        </w:rPr>
      </w:pPr>
      <w:r w:rsidRPr="00687A1B">
        <w:rPr>
          <w:rFonts w:ascii="Times New Roman" w:hAnsi="Times New Roman" w:eastAsia="Arial Unicode MS" w:cs="Times New Roman"/>
          <w:b/>
          <w:bCs/>
          <w:sz w:val="24"/>
          <w:szCs w:val="24"/>
          <w:lang w:val="es-ES"/>
        </w:rPr>
        <w:t xml:space="preserve">RESUELVE: </w:t>
      </w:r>
    </w:p>
    <w:p w:rsidRPr="00687A1B" w:rsidR="00D14B84" w:rsidP="00D14B84" w:rsidRDefault="00D14B84" w14:paraId="3B760186" w14:textId="1D0ADE20">
      <w:pPr>
        <w:jc w:val="both"/>
        <w:rPr>
          <w:rFonts w:ascii="Times New Roman" w:hAnsi="Times New Roman" w:eastAsia="Times New Roman" w:cs="Times New Roman"/>
          <w:sz w:val="24"/>
          <w:szCs w:val="24"/>
          <w:lang w:val="es-ES" w:eastAsia="ar-SA"/>
        </w:rPr>
      </w:pPr>
      <w:r w:rsidRPr="0D83CB35" w:rsidR="00D14B84">
        <w:rPr>
          <w:rFonts w:ascii="Times New Roman" w:hAnsi="Times New Roman" w:eastAsia="Arial Unicode MS" w:cs="Times New Roman"/>
          <w:b w:val="1"/>
          <w:bCs w:val="1"/>
          <w:sz w:val="24"/>
          <w:szCs w:val="24"/>
          <w:lang w:val="es-PE"/>
        </w:rPr>
        <w:t xml:space="preserve">Declarar INFUNDADO el recurso impugnativo </w:t>
      </w:r>
      <w:r w:rsidRPr="0D83CB35" w:rsidR="00D14B84">
        <w:rPr>
          <w:rFonts w:ascii="Times New Roman" w:hAnsi="Times New Roman" w:eastAsia="Arial Unicode MS" w:cs="Times New Roman"/>
          <w:sz w:val="24"/>
          <w:szCs w:val="24"/>
          <w:lang w:val="es-PE"/>
        </w:rPr>
        <w:t xml:space="preserve">interpuesto por don </w:t>
      </w:r>
      <w:r w:rsidRPr="0D83CB35" w:rsidR="26105977">
        <w:rPr>
          <w:rFonts w:ascii="Times New Roman" w:hAnsi="Times New Roman" w:eastAsia="Arial Unicode MS" w:cs="Times New Roman"/>
          <w:sz w:val="24"/>
          <w:szCs w:val="24"/>
          <w:lang w:val="es-PE"/>
        </w:rPr>
        <w:t>......................................................</w:t>
      </w:r>
      <w:r w:rsidRPr="0D83CB35" w:rsidR="00D14B84">
        <w:rPr>
          <w:rFonts w:ascii="Times New Roman" w:hAnsi="Times New Roman" w:eastAsia="Arial Unicode MS" w:cs="Times New Roman"/>
          <w:sz w:val="24"/>
          <w:szCs w:val="24"/>
          <w:lang w:val="es-PE"/>
        </w:rPr>
        <w:t xml:space="preserve"> y,</w:t>
      </w:r>
      <w:r w:rsidRPr="0D83CB35" w:rsidR="00D14B84">
        <w:rPr>
          <w:rFonts w:ascii="Times New Roman" w:hAnsi="Times New Roman" w:cs="Times New Roman"/>
          <w:sz w:val="24"/>
          <w:szCs w:val="24"/>
          <w:lang w:val="es-ES"/>
        </w:rPr>
        <w:t xml:space="preserve"> por consiguiente, ratificar</w:t>
      </w:r>
      <w:r w:rsidRPr="0D83CB35" w:rsidR="00D14B84">
        <w:rPr>
          <w:rFonts w:ascii="Times New Roman" w:hAnsi="Times New Roman" w:eastAsia="Times New Roman" w:cs="Times New Roman"/>
          <w:sz w:val="24"/>
          <w:szCs w:val="24"/>
          <w:lang w:val="es-ES" w:eastAsia="ar-SA"/>
        </w:rPr>
        <w:t xml:space="preserve"> la Resolución </w:t>
      </w:r>
      <w:r w:rsidRPr="0D83CB35" w:rsidR="00D14B84">
        <w:rPr>
          <w:rFonts w:ascii="Times New Roman" w:hAnsi="Times New Roman" w:eastAsia="Times New Roman" w:cs="Times New Roman"/>
          <w:sz w:val="24"/>
          <w:szCs w:val="24"/>
          <w:lang w:val="es-ES" w:eastAsia="ar-SA"/>
        </w:rPr>
        <w:t>Nº</w:t>
      </w:r>
      <w:r w:rsidRPr="0D83CB35" w:rsidR="00D14B84">
        <w:rPr>
          <w:rFonts w:ascii="Times New Roman" w:hAnsi="Times New Roman" w:eastAsia="Times New Roman" w:cs="Times New Roman"/>
          <w:sz w:val="24"/>
          <w:szCs w:val="24"/>
          <w:lang w:val="es-ES" w:eastAsia="ar-SA"/>
        </w:rPr>
        <w:t xml:space="preserve"> 102/</w:t>
      </w:r>
      <w:r w:rsidRPr="0D83CB35" w:rsidR="00D14B84">
        <w:rPr>
          <w:rFonts w:ascii="Times New Roman" w:hAnsi="Times New Roman" w:eastAsia="Times New Roman" w:cs="Times New Roman"/>
          <w:sz w:val="24"/>
          <w:szCs w:val="24"/>
          <w:lang w:val="es-ES" w:eastAsia="ar-SA"/>
        </w:rPr>
        <w:t>22  de</w:t>
      </w:r>
      <w:r w:rsidRPr="0D83CB35" w:rsidR="00D14B84">
        <w:rPr>
          <w:rFonts w:ascii="Times New Roman" w:hAnsi="Times New Roman" w:eastAsia="Times New Roman" w:cs="Times New Roman"/>
          <w:sz w:val="24"/>
          <w:szCs w:val="24"/>
          <w:lang w:val="es-ES" w:eastAsia="ar-SA"/>
        </w:rPr>
        <w:t xml:space="preserve"> fecha 10 de mayo de 2022 que declaró improcedente el reclamo, dejando a salvo el derecho del reclamante de recurrir ante las instancias que estime convenientes.</w:t>
      </w:r>
    </w:p>
    <w:p w:rsidRPr="00687A1B" w:rsidR="00F6061C" w:rsidP="00C173A8" w:rsidRDefault="00F6061C" w14:paraId="7AF49280" w14:textId="77777777">
      <w:pPr>
        <w:spacing w:after="0" w:line="240" w:lineRule="auto"/>
        <w:jc w:val="both"/>
        <w:rPr>
          <w:rFonts w:ascii="Times New Roman" w:hAnsi="Times New Roman" w:eastAsia="Times New Roman" w:cs="Times New Roman"/>
          <w:sz w:val="24"/>
          <w:szCs w:val="24"/>
          <w:lang w:val="es-ES" w:eastAsia="ar-SA"/>
        </w:rPr>
      </w:pPr>
    </w:p>
    <w:p w:rsidRPr="00687A1B" w:rsidR="00C173A8" w:rsidP="00092C2E" w:rsidRDefault="00C173A8" w14:paraId="21EFD7D3" w14:textId="429D5A9D">
      <w:pPr>
        <w:suppressAutoHyphens/>
        <w:spacing w:after="0" w:line="240" w:lineRule="auto"/>
        <w:jc w:val="right"/>
        <w:outlineLvl w:val="0"/>
        <w:rPr>
          <w:rFonts w:ascii="Times New Roman" w:hAnsi="Times New Roman" w:eastAsia="Arial Unicode MS" w:cs="Times New Roman"/>
          <w:sz w:val="24"/>
          <w:szCs w:val="24"/>
          <w:lang w:val="es-PE" w:eastAsia="ar-SA"/>
        </w:rPr>
      </w:pPr>
      <w:r w:rsidRPr="00687A1B">
        <w:rPr>
          <w:rFonts w:ascii="Times New Roman" w:hAnsi="Times New Roman" w:eastAsia="Arial Unicode MS" w:cs="Times New Roman"/>
          <w:sz w:val="24"/>
          <w:szCs w:val="24"/>
          <w:lang w:val="es-PE" w:eastAsia="ar-SA"/>
        </w:rPr>
        <w:t xml:space="preserve">Lima, </w:t>
      </w:r>
      <w:r w:rsidRPr="00687A1B" w:rsidR="00E72889">
        <w:rPr>
          <w:rFonts w:ascii="Times New Roman" w:hAnsi="Times New Roman" w:eastAsia="Arial Unicode MS" w:cs="Times New Roman"/>
          <w:sz w:val="24"/>
          <w:szCs w:val="24"/>
          <w:lang w:val="es-PE" w:eastAsia="ar-SA"/>
        </w:rPr>
        <w:t xml:space="preserve">04 </w:t>
      </w:r>
      <w:r w:rsidRPr="00687A1B">
        <w:rPr>
          <w:rFonts w:ascii="Times New Roman" w:hAnsi="Times New Roman" w:eastAsia="Arial Unicode MS" w:cs="Times New Roman"/>
          <w:sz w:val="24"/>
          <w:szCs w:val="24"/>
          <w:lang w:val="es-PE" w:eastAsia="ar-SA"/>
        </w:rPr>
        <w:t xml:space="preserve">de </w:t>
      </w:r>
      <w:r w:rsidRPr="00687A1B" w:rsidR="006E5783">
        <w:rPr>
          <w:rFonts w:ascii="Times New Roman" w:hAnsi="Times New Roman" w:eastAsia="Arial Unicode MS" w:cs="Times New Roman"/>
          <w:sz w:val="24"/>
          <w:szCs w:val="24"/>
          <w:lang w:val="es-PE" w:eastAsia="ar-SA"/>
        </w:rPr>
        <w:t>ju</w:t>
      </w:r>
      <w:r w:rsidRPr="00687A1B" w:rsidR="00E72889">
        <w:rPr>
          <w:rFonts w:ascii="Times New Roman" w:hAnsi="Times New Roman" w:eastAsia="Arial Unicode MS" w:cs="Times New Roman"/>
          <w:sz w:val="24"/>
          <w:szCs w:val="24"/>
          <w:lang w:val="es-PE" w:eastAsia="ar-SA"/>
        </w:rPr>
        <w:t>l</w:t>
      </w:r>
      <w:r w:rsidRPr="00687A1B" w:rsidR="006E5783">
        <w:rPr>
          <w:rFonts w:ascii="Times New Roman" w:hAnsi="Times New Roman" w:eastAsia="Arial Unicode MS" w:cs="Times New Roman"/>
          <w:sz w:val="24"/>
          <w:szCs w:val="24"/>
          <w:lang w:val="es-PE" w:eastAsia="ar-SA"/>
        </w:rPr>
        <w:t>io</w:t>
      </w:r>
      <w:r w:rsidRPr="00687A1B">
        <w:rPr>
          <w:rFonts w:ascii="Times New Roman" w:hAnsi="Times New Roman" w:eastAsia="Arial Unicode MS" w:cs="Times New Roman"/>
          <w:sz w:val="24"/>
          <w:szCs w:val="24"/>
          <w:lang w:val="es-PE" w:eastAsia="ar-SA"/>
        </w:rPr>
        <w:t xml:space="preserve"> de 2022</w:t>
      </w:r>
      <w:r w:rsidRPr="00687A1B">
        <w:rPr>
          <w:rFonts w:ascii="Times New Roman" w:hAnsi="Times New Roman" w:eastAsia="Times New Roman" w:cs="Times New Roman"/>
          <w:sz w:val="24"/>
          <w:szCs w:val="24"/>
          <w:lang w:val="es-PE" w:eastAsia="ar-SA"/>
        </w:rPr>
        <w:t xml:space="preserve"> </w:t>
      </w:r>
    </w:p>
    <w:p w:rsidRPr="00687A1B"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687A1B"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sidRPr="00687A1B">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687A1B"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Pr="00687A1B"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687A1B">
        <w:rPr>
          <w:rFonts w:ascii="Times New Roman" w:hAnsi="Times New Roman" w:cs="Times New Roman"/>
          <w:b/>
          <w:bCs/>
          <w:sz w:val="24"/>
          <w:szCs w:val="24"/>
          <w:lang w:val="es-PE"/>
        </w:rPr>
        <w:t xml:space="preserve">Marco Antonio Ortega Piana – </w:t>
      </w:r>
      <w:proofErr w:type="gramStart"/>
      <w:r w:rsidRPr="00687A1B">
        <w:rPr>
          <w:rFonts w:ascii="Times New Roman" w:hAnsi="Times New Roman" w:cs="Times New Roman"/>
          <w:b/>
          <w:bCs/>
          <w:sz w:val="24"/>
          <w:szCs w:val="24"/>
          <w:lang w:val="es-PE"/>
        </w:rPr>
        <w:t>Presidente</w:t>
      </w:r>
      <w:proofErr w:type="gramEnd"/>
    </w:p>
    <w:p w:rsidRPr="00687A1B"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687A1B">
        <w:rPr>
          <w:rFonts w:ascii="Times New Roman" w:hAnsi="Times New Roman" w:cs="Times New Roman"/>
          <w:b/>
          <w:bCs/>
          <w:sz w:val="24"/>
          <w:szCs w:val="24"/>
          <w:lang w:val="es-PE"/>
        </w:rPr>
        <w:t xml:space="preserve">María Eugenia Valdez Fernández Baca – </w:t>
      </w:r>
      <w:r w:rsidRPr="00687A1B" w:rsidR="001B1998">
        <w:rPr>
          <w:rFonts w:ascii="Times New Roman" w:hAnsi="Times New Roman" w:cs="Times New Roman"/>
          <w:b/>
          <w:bCs/>
          <w:sz w:val="24"/>
          <w:szCs w:val="24"/>
          <w:lang w:val="es-PE"/>
        </w:rPr>
        <w:t>Vocal</w:t>
      </w:r>
    </w:p>
    <w:p w:rsidRPr="00687A1B"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687A1B">
        <w:rPr>
          <w:rFonts w:ascii="Times New Roman" w:hAnsi="Times New Roman" w:cs="Times New Roman"/>
          <w:b/>
          <w:bCs/>
          <w:sz w:val="24"/>
          <w:szCs w:val="24"/>
          <w:lang w:val="es-PE"/>
        </w:rPr>
        <w:lastRenderedPageBreak/>
        <w:t xml:space="preserve">Rolando Eyzaguirre </w:t>
      </w:r>
      <w:proofErr w:type="spellStart"/>
      <w:r w:rsidRPr="00687A1B">
        <w:rPr>
          <w:rFonts w:ascii="Times New Roman" w:hAnsi="Times New Roman" w:cs="Times New Roman"/>
          <w:b/>
          <w:bCs/>
          <w:sz w:val="24"/>
          <w:szCs w:val="24"/>
          <w:lang w:val="es-PE"/>
        </w:rPr>
        <w:t>Maccan</w:t>
      </w:r>
      <w:proofErr w:type="spellEnd"/>
      <w:r w:rsidRPr="00687A1B">
        <w:rPr>
          <w:rFonts w:ascii="Times New Roman" w:hAnsi="Times New Roman" w:cs="Times New Roman"/>
          <w:b/>
          <w:bCs/>
          <w:sz w:val="24"/>
          <w:szCs w:val="24"/>
          <w:lang w:val="es-PE"/>
        </w:rPr>
        <w:t xml:space="preserve"> - Vocal</w:t>
      </w:r>
    </w:p>
    <w:p w:rsidRPr="00687A1B"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687A1B">
        <w:rPr>
          <w:rFonts w:ascii="Times New Roman" w:hAnsi="Times New Roman" w:cs="Times New Roman"/>
          <w:b/>
          <w:bCs/>
          <w:sz w:val="24"/>
          <w:szCs w:val="24"/>
          <w:lang w:val="es-PE"/>
        </w:rPr>
        <w:t>Gonzalo Abad del Busto – Vocal</w:t>
      </w:r>
    </w:p>
    <w:p w:rsidRPr="0091323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913230"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913230" w:rsidR="00C671F5" w:rsidSect="00077B6F">
      <w:headerReference w:type="default" r:id="rId10"/>
      <w:footerReference w:type="default" r:id="rId11"/>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156E0" w:rsidP="00784355" w:rsidRDefault="003156E0" w14:paraId="68CF98E4" w14:textId="77777777">
      <w:pPr>
        <w:spacing w:after="0" w:line="240" w:lineRule="auto"/>
      </w:pPr>
      <w:r>
        <w:separator/>
      </w:r>
    </w:p>
  </w:endnote>
  <w:endnote w:type="continuationSeparator" w:id="0">
    <w:p w:rsidR="003156E0" w:rsidP="00784355" w:rsidRDefault="003156E0" w14:paraId="6CF7D30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156E0" w:rsidP="00784355" w:rsidRDefault="003156E0" w14:paraId="082D70E1" w14:textId="77777777">
      <w:pPr>
        <w:spacing w:after="0" w:line="240" w:lineRule="auto"/>
      </w:pPr>
      <w:r>
        <w:separator/>
      </w:r>
    </w:p>
  </w:footnote>
  <w:footnote w:type="continuationSeparator" w:id="0">
    <w:p w:rsidR="003156E0" w:rsidP="00784355" w:rsidRDefault="003156E0" w14:paraId="68B1E1C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2"/>
  </w:num>
  <w:num w:numId="3" w16cid:durableId="760956054">
    <w:abstractNumId w:val="8"/>
  </w:num>
  <w:num w:numId="4" w16cid:durableId="1079518208">
    <w:abstractNumId w:val="7"/>
  </w:num>
  <w:num w:numId="5" w16cid:durableId="1198003566">
    <w:abstractNumId w:val="10"/>
  </w:num>
  <w:num w:numId="6" w16cid:durableId="1607540339">
    <w:abstractNumId w:val="0"/>
  </w:num>
  <w:num w:numId="7" w16cid:durableId="1490902120">
    <w:abstractNumId w:val="14"/>
  </w:num>
  <w:num w:numId="8" w16cid:durableId="615214413">
    <w:abstractNumId w:val="15"/>
  </w:num>
  <w:num w:numId="9" w16cid:durableId="10181194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9E7"/>
    <w:rsid w:val="00034DBD"/>
    <w:rsid w:val="000365E3"/>
    <w:rsid w:val="00041B86"/>
    <w:rsid w:val="0004480C"/>
    <w:rsid w:val="00050563"/>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92C2E"/>
    <w:rsid w:val="0009634E"/>
    <w:rsid w:val="000A5666"/>
    <w:rsid w:val="000A5CAA"/>
    <w:rsid w:val="000B19A0"/>
    <w:rsid w:val="000B58D8"/>
    <w:rsid w:val="000C0734"/>
    <w:rsid w:val="000C3D6F"/>
    <w:rsid w:val="000D7664"/>
    <w:rsid w:val="000F6340"/>
    <w:rsid w:val="0011308C"/>
    <w:rsid w:val="001211EB"/>
    <w:rsid w:val="001230C6"/>
    <w:rsid w:val="001233F2"/>
    <w:rsid w:val="00125B9B"/>
    <w:rsid w:val="001320DF"/>
    <w:rsid w:val="00135FD8"/>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726E"/>
    <w:rsid w:val="002C1B87"/>
    <w:rsid w:val="002C2A0F"/>
    <w:rsid w:val="002D0DB0"/>
    <w:rsid w:val="002D2DFA"/>
    <w:rsid w:val="002D3B01"/>
    <w:rsid w:val="002E1221"/>
    <w:rsid w:val="002E17F9"/>
    <w:rsid w:val="002E72CC"/>
    <w:rsid w:val="002F09CA"/>
    <w:rsid w:val="002F35F0"/>
    <w:rsid w:val="002F376A"/>
    <w:rsid w:val="00303302"/>
    <w:rsid w:val="003045E3"/>
    <w:rsid w:val="00311A83"/>
    <w:rsid w:val="003156E0"/>
    <w:rsid w:val="0032132E"/>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4684"/>
    <w:rsid w:val="003D4687"/>
    <w:rsid w:val="003E0CC2"/>
    <w:rsid w:val="003E450C"/>
    <w:rsid w:val="003F0C97"/>
    <w:rsid w:val="003F1149"/>
    <w:rsid w:val="003F1B5F"/>
    <w:rsid w:val="003F3726"/>
    <w:rsid w:val="003F6B30"/>
    <w:rsid w:val="00403814"/>
    <w:rsid w:val="004049B9"/>
    <w:rsid w:val="00407045"/>
    <w:rsid w:val="00413C3F"/>
    <w:rsid w:val="00415B14"/>
    <w:rsid w:val="00417E23"/>
    <w:rsid w:val="004201E5"/>
    <w:rsid w:val="00425F75"/>
    <w:rsid w:val="00434D9C"/>
    <w:rsid w:val="00440BC2"/>
    <w:rsid w:val="00444232"/>
    <w:rsid w:val="00447FE4"/>
    <w:rsid w:val="00460C30"/>
    <w:rsid w:val="00465FB9"/>
    <w:rsid w:val="00466302"/>
    <w:rsid w:val="0047370C"/>
    <w:rsid w:val="0047522D"/>
    <w:rsid w:val="00476BA1"/>
    <w:rsid w:val="00477C29"/>
    <w:rsid w:val="00490F9F"/>
    <w:rsid w:val="00496A1A"/>
    <w:rsid w:val="004A3E25"/>
    <w:rsid w:val="004B51ED"/>
    <w:rsid w:val="004C43FC"/>
    <w:rsid w:val="004C51EC"/>
    <w:rsid w:val="004C5A91"/>
    <w:rsid w:val="004E65DD"/>
    <w:rsid w:val="004F549E"/>
    <w:rsid w:val="005009EF"/>
    <w:rsid w:val="00504C79"/>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72D92"/>
    <w:rsid w:val="005818E3"/>
    <w:rsid w:val="005824EF"/>
    <w:rsid w:val="00582D26"/>
    <w:rsid w:val="0058358B"/>
    <w:rsid w:val="00583A87"/>
    <w:rsid w:val="00585D65"/>
    <w:rsid w:val="005948EF"/>
    <w:rsid w:val="00597430"/>
    <w:rsid w:val="005A0B70"/>
    <w:rsid w:val="005A5A2C"/>
    <w:rsid w:val="005A782D"/>
    <w:rsid w:val="005B22E6"/>
    <w:rsid w:val="005B2924"/>
    <w:rsid w:val="005B3A2D"/>
    <w:rsid w:val="005B54CD"/>
    <w:rsid w:val="005C524E"/>
    <w:rsid w:val="005C5AB9"/>
    <w:rsid w:val="005D3E09"/>
    <w:rsid w:val="005D3E68"/>
    <w:rsid w:val="005E0EC2"/>
    <w:rsid w:val="005E2CBE"/>
    <w:rsid w:val="005E43DC"/>
    <w:rsid w:val="005E4870"/>
    <w:rsid w:val="005F4C97"/>
    <w:rsid w:val="00605902"/>
    <w:rsid w:val="00606105"/>
    <w:rsid w:val="00613A39"/>
    <w:rsid w:val="00622ABC"/>
    <w:rsid w:val="00623204"/>
    <w:rsid w:val="00624034"/>
    <w:rsid w:val="006277AC"/>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87A1B"/>
    <w:rsid w:val="0069304A"/>
    <w:rsid w:val="00697D6C"/>
    <w:rsid w:val="006A6332"/>
    <w:rsid w:val="006B5CAE"/>
    <w:rsid w:val="006C1A65"/>
    <w:rsid w:val="006C29A7"/>
    <w:rsid w:val="006C6261"/>
    <w:rsid w:val="006D2BA9"/>
    <w:rsid w:val="006D397E"/>
    <w:rsid w:val="006E2366"/>
    <w:rsid w:val="006E4547"/>
    <w:rsid w:val="006E5783"/>
    <w:rsid w:val="006F31C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80A"/>
    <w:rsid w:val="00724C9A"/>
    <w:rsid w:val="007261FD"/>
    <w:rsid w:val="00726BD2"/>
    <w:rsid w:val="007300C4"/>
    <w:rsid w:val="00743305"/>
    <w:rsid w:val="007434BA"/>
    <w:rsid w:val="00744447"/>
    <w:rsid w:val="00754DAC"/>
    <w:rsid w:val="00757955"/>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5917"/>
    <w:rsid w:val="007F0419"/>
    <w:rsid w:val="007F14C0"/>
    <w:rsid w:val="007F6BA4"/>
    <w:rsid w:val="007F74F1"/>
    <w:rsid w:val="008010D0"/>
    <w:rsid w:val="008020A1"/>
    <w:rsid w:val="0080509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0998"/>
    <w:rsid w:val="00883121"/>
    <w:rsid w:val="0088392F"/>
    <w:rsid w:val="00884426"/>
    <w:rsid w:val="00886D60"/>
    <w:rsid w:val="00887814"/>
    <w:rsid w:val="008916FF"/>
    <w:rsid w:val="00891DB3"/>
    <w:rsid w:val="00895A85"/>
    <w:rsid w:val="008A1D12"/>
    <w:rsid w:val="008A3A47"/>
    <w:rsid w:val="008D270F"/>
    <w:rsid w:val="008D67A4"/>
    <w:rsid w:val="008D6AFE"/>
    <w:rsid w:val="008D6DDF"/>
    <w:rsid w:val="008F1161"/>
    <w:rsid w:val="008F479E"/>
    <w:rsid w:val="008F708B"/>
    <w:rsid w:val="008F7C83"/>
    <w:rsid w:val="009011F1"/>
    <w:rsid w:val="00905938"/>
    <w:rsid w:val="00907E44"/>
    <w:rsid w:val="009127A6"/>
    <w:rsid w:val="00913230"/>
    <w:rsid w:val="0091528B"/>
    <w:rsid w:val="009157B1"/>
    <w:rsid w:val="00917CAF"/>
    <w:rsid w:val="009225DD"/>
    <w:rsid w:val="009272D7"/>
    <w:rsid w:val="0093065E"/>
    <w:rsid w:val="00933532"/>
    <w:rsid w:val="00943343"/>
    <w:rsid w:val="00943DA4"/>
    <w:rsid w:val="00946694"/>
    <w:rsid w:val="00951B99"/>
    <w:rsid w:val="00955C03"/>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9F3B93"/>
    <w:rsid w:val="00A02270"/>
    <w:rsid w:val="00A0362B"/>
    <w:rsid w:val="00A04A06"/>
    <w:rsid w:val="00A077D2"/>
    <w:rsid w:val="00A160AD"/>
    <w:rsid w:val="00A16942"/>
    <w:rsid w:val="00A17A72"/>
    <w:rsid w:val="00A244A1"/>
    <w:rsid w:val="00A25F51"/>
    <w:rsid w:val="00A30393"/>
    <w:rsid w:val="00A32246"/>
    <w:rsid w:val="00A328C0"/>
    <w:rsid w:val="00A3714C"/>
    <w:rsid w:val="00A427D6"/>
    <w:rsid w:val="00A446D0"/>
    <w:rsid w:val="00A44D78"/>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C7"/>
    <w:rsid w:val="00B56649"/>
    <w:rsid w:val="00B618FF"/>
    <w:rsid w:val="00B625F2"/>
    <w:rsid w:val="00B663DC"/>
    <w:rsid w:val="00B710D8"/>
    <w:rsid w:val="00B73629"/>
    <w:rsid w:val="00B7466E"/>
    <w:rsid w:val="00B779BD"/>
    <w:rsid w:val="00B8021E"/>
    <w:rsid w:val="00B8028F"/>
    <w:rsid w:val="00B8087B"/>
    <w:rsid w:val="00B833BE"/>
    <w:rsid w:val="00B87B08"/>
    <w:rsid w:val="00B928FB"/>
    <w:rsid w:val="00B93683"/>
    <w:rsid w:val="00B93C7A"/>
    <w:rsid w:val="00B956C4"/>
    <w:rsid w:val="00BA0192"/>
    <w:rsid w:val="00BB2152"/>
    <w:rsid w:val="00BB2BE0"/>
    <w:rsid w:val="00BB405B"/>
    <w:rsid w:val="00BB40EE"/>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55D6"/>
    <w:rsid w:val="00CF78D3"/>
    <w:rsid w:val="00D01EFF"/>
    <w:rsid w:val="00D10B27"/>
    <w:rsid w:val="00D12CFF"/>
    <w:rsid w:val="00D14B84"/>
    <w:rsid w:val="00D156AF"/>
    <w:rsid w:val="00D16367"/>
    <w:rsid w:val="00D2092C"/>
    <w:rsid w:val="00D22DC3"/>
    <w:rsid w:val="00D248C5"/>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0C5F"/>
    <w:rsid w:val="00E22EBE"/>
    <w:rsid w:val="00E25348"/>
    <w:rsid w:val="00E25D54"/>
    <w:rsid w:val="00E30E76"/>
    <w:rsid w:val="00E341F5"/>
    <w:rsid w:val="00E37E67"/>
    <w:rsid w:val="00E43D94"/>
    <w:rsid w:val="00E531B9"/>
    <w:rsid w:val="00E53BC5"/>
    <w:rsid w:val="00E57869"/>
    <w:rsid w:val="00E61DBC"/>
    <w:rsid w:val="00E63B37"/>
    <w:rsid w:val="00E64057"/>
    <w:rsid w:val="00E66AFF"/>
    <w:rsid w:val="00E6771C"/>
    <w:rsid w:val="00E70381"/>
    <w:rsid w:val="00E70F8F"/>
    <w:rsid w:val="00E72889"/>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D2CA3"/>
    <w:rsid w:val="00FE38F0"/>
    <w:rsid w:val="00FE43A9"/>
    <w:rsid w:val="00FF03CE"/>
    <w:rsid w:val="00FF41F3"/>
    <w:rsid w:val="0523F637"/>
    <w:rsid w:val="0D83CB35"/>
    <w:rsid w:val="26105977"/>
    <w:rsid w:val="2F6E67E6"/>
    <w:rsid w:val="57AAC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56713496">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136848315">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758602148">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291087878">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defaseg.com.pe/reglamento.html"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5046B54-947C-4E8B-AEB4-756F7629B57C}"/>
</file>

<file path=customXml/itemProps3.xml><?xml version="1.0" encoding="utf-8"?>
<ds:datastoreItem xmlns:ds="http://schemas.openxmlformats.org/officeDocument/2006/customXml" ds:itemID="{3CEE0011-9F9F-4637-9C1A-96F6842389A1}"/>
</file>

<file path=customXml/itemProps4.xml><?xml version="1.0" encoding="utf-8"?>
<ds:datastoreItem xmlns:ds="http://schemas.openxmlformats.org/officeDocument/2006/customXml" ds:itemID="{1F467E86-04BC-430D-B624-1271FAD5CB5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153</cp:revision>
  <cp:lastPrinted>2022-07-04T20:31:00Z</cp:lastPrinted>
  <dcterms:created xsi:type="dcterms:W3CDTF">2020-12-18T20:17:00Z</dcterms:created>
  <dcterms:modified xsi:type="dcterms:W3CDTF">2025-11-27T20:30:57Z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