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22F63" w:rsidR="00B10F71" w:rsidP="00041B86" w:rsidRDefault="00201C0D" w14:paraId="51974F0B" w14:textId="61048A68">
      <w:pPr>
        <w:spacing w:after="0" w:line="240" w:lineRule="auto"/>
        <w:jc w:val="center"/>
        <w:rPr>
          <w:rFonts w:ascii="Times New Roman" w:hAnsi="Times New Roman" w:cs="Times New Roman"/>
          <w:b/>
          <w:sz w:val="24"/>
          <w:szCs w:val="24"/>
          <w:lang w:val="es-PE" w:eastAsia="ar-SA"/>
        </w:rPr>
      </w:pPr>
      <w:r w:rsidRPr="00722F63">
        <w:rPr>
          <w:rFonts w:ascii="Times New Roman" w:hAnsi="Times New Roman" w:cs="Times New Roman"/>
          <w:b/>
          <w:sz w:val="24"/>
          <w:szCs w:val="24"/>
          <w:lang w:val="es-PE" w:eastAsia="ar-SA"/>
        </w:rPr>
        <w:t xml:space="preserve">RESOLUCIÓN DE RECURSO IMPUGNATIVO </w:t>
      </w:r>
      <w:r w:rsidRPr="00722F63" w:rsidR="00707C99">
        <w:rPr>
          <w:rFonts w:ascii="Times New Roman" w:hAnsi="Times New Roman" w:cs="Times New Roman"/>
          <w:b/>
          <w:sz w:val="24"/>
          <w:szCs w:val="24"/>
          <w:lang w:val="es-PE" w:eastAsia="ar-SA"/>
        </w:rPr>
        <w:t xml:space="preserve">N° </w:t>
      </w:r>
      <w:r w:rsidRPr="00722F63" w:rsidR="00C671F5">
        <w:rPr>
          <w:rFonts w:ascii="Times New Roman" w:hAnsi="Times New Roman" w:cs="Times New Roman"/>
          <w:b/>
          <w:sz w:val="24"/>
          <w:szCs w:val="24"/>
          <w:lang w:val="es-PE" w:eastAsia="ar-SA"/>
        </w:rPr>
        <w:t>0</w:t>
      </w:r>
      <w:r w:rsidRPr="00722F63" w:rsidR="00B93683">
        <w:rPr>
          <w:rFonts w:ascii="Times New Roman" w:hAnsi="Times New Roman" w:cs="Times New Roman"/>
          <w:b/>
          <w:sz w:val="24"/>
          <w:szCs w:val="24"/>
          <w:lang w:val="es-PE" w:eastAsia="ar-SA"/>
        </w:rPr>
        <w:t>4</w:t>
      </w:r>
      <w:r w:rsidRPr="00722F63" w:rsidR="008F27EF">
        <w:rPr>
          <w:rFonts w:ascii="Times New Roman" w:hAnsi="Times New Roman" w:cs="Times New Roman"/>
          <w:b/>
          <w:sz w:val="24"/>
          <w:szCs w:val="24"/>
          <w:lang w:val="es-PE" w:eastAsia="ar-SA"/>
        </w:rPr>
        <w:t>9</w:t>
      </w:r>
      <w:r w:rsidRPr="00722F63" w:rsidR="00C671F5">
        <w:rPr>
          <w:rFonts w:ascii="Times New Roman" w:hAnsi="Times New Roman" w:cs="Times New Roman"/>
          <w:b/>
          <w:sz w:val="24"/>
          <w:szCs w:val="24"/>
          <w:lang w:val="es-PE" w:eastAsia="ar-SA"/>
        </w:rPr>
        <w:t>/2</w:t>
      </w:r>
      <w:r w:rsidRPr="00722F63" w:rsidR="00B93C7A">
        <w:rPr>
          <w:rFonts w:ascii="Times New Roman" w:hAnsi="Times New Roman" w:cs="Times New Roman"/>
          <w:b/>
          <w:sz w:val="24"/>
          <w:szCs w:val="24"/>
          <w:lang w:val="es-PE" w:eastAsia="ar-SA"/>
        </w:rPr>
        <w:t>2</w:t>
      </w:r>
    </w:p>
    <w:p w:rsidRPr="00722F63" w:rsidR="00722F63" w:rsidP="00722F63" w:rsidRDefault="00722F63" w14:paraId="7DB25B56" w14:textId="010F920C">
      <w:pPr>
        <w:suppressAutoHyphens/>
        <w:jc w:val="both"/>
        <w:outlineLvl w:val="0"/>
        <w:rPr>
          <w:rFonts w:ascii="Times New Roman" w:hAnsi="Times New Roman" w:eastAsia="Times New Roman" w:cs="Times New Roman"/>
          <w:b/>
          <w:bCs/>
          <w:sz w:val="24"/>
          <w:szCs w:val="24"/>
          <w:lang w:val="es-MX" w:eastAsia="ar-SA"/>
        </w:rPr>
      </w:pPr>
      <w:r w:rsidRPr="00722F63">
        <w:rPr>
          <w:rFonts w:ascii="Times New Roman" w:hAnsi="Times New Roman" w:eastAsia="Times New Roman" w:cs="Times New Roman"/>
          <w:b/>
          <w:bCs/>
          <w:sz w:val="24"/>
          <w:szCs w:val="24"/>
          <w:lang w:val="es-MX" w:eastAsia="ar-SA"/>
        </w:rPr>
        <w:t>Vistos:</w:t>
      </w:r>
    </w:p>
    <w:p w:rsidRPr="00722F63" w:rsidR="00722F63" w:rsidP="00722F63" w:rsidRDefault="00722F63" w14:paraId="0B1737B4" w14:textId="3F53CC45">
      <w:pPr>
        <w:suppressAutoHyphens/>
        <w:jc w:val="both"/>
        <w:rPr>
          <w:rFonts w:ascii="Times New Roman" w:hAnsi="Times New Roman" w:eastAsia="Times New Roman" w:cs="Times New Roman"/>
          <w:b w:val="1"/>
          <w:bCs w:val="1"/>
          <w:sz w:val="24"/>
          <w:szCs w:val="24"/>
          <w:lang w:val="es-MX" w:eastAsia="ar-SA"/>
        </w:rPr>
      </w:pPr>
      <w:r w:rsidRPr="39DF4994" w:rsidR="00722F63">
        <w:rPr>
          <w:rFonts w:ascii="Times New Roman" w:hAnsi="Times New Roman" w:eastAsia="Times New Roman" w:cs="Times New Roman"/>
          <w:sz w:val="24"/>
          <w:szCs w:val="24"/>
          <w:lang w:val="es-ES" w:eastAsia="ar-SA"/>
        </w:rPr>
        <w:t xml:space="preserve">El recurso de impugnación presentado por don </w:t>
      </w:r>
      <w:r w:rsidRPr="39DF4994" w:rsidR="343FD895">
        <w:rPr>
          <w:rFonts w:ascii="Times New Roman" w:hAnsi="Times New Roman" w:eastAsia="Times New Roman" w:cs="Times New Roman"/>
          <w:sz w:val="24"/>
          <w:szCs w:val="24"/>
          <w:lang w:val="es-ES" w:eastAsia="ar-SA"/>
        </w:rPr>
        <w:t>...........................................................</w:t>
      </w:r>
      <w:r w:rsidRPr="39DF4994" w:rsidR="00722F63">
        <w:rPr>
          <w:rFonts w:ascii="Times New Roman" w:hAnsi="Times New Roman" w:eastAsia="Times New Roman" w:cs="Times New Roman"/>
          <w:sz w:val="24"/>
          <w:szCs w:val="24"/>
          <w:lang w:val="es-ES" w:eastAsia="ar-SA"/>
        </w:rPr>
        <w:t xml:space="preserve"> respecto de la Resolución </w:t>
      </w:r>
      <w:r w:rsidRPr="39DF4994" w:rsidR="00722F63">
        <w:rPr>
          <w:rFonts w:ascii="Times New Roman" w:hAnsi="Times New Roman" w:eastAsia="Times New Roman" w:cs="Times New Roman"/>
          <w:sz w:val="24"/>
          <w:szCs w:val="24"/>
          <w:lang w:val="es-ES" w:eastAsia="ar-SA"/>
        </w:rPr>
        <w:t>Nº</w:t>
      </w:r>
      <w:r w:rsidRPr="39DF4994" w:rsidR="00722F63">
        <w:rPr>
          <w:rFonts w:ascii="Times New Roman" w:hAnsi="Times New Roman" w:eastAsia="Times New Roman" w:cs="Times New Roman"/>
          <w:sz w:val="24"/>
          <w:szCs w:val="24"/>
          <w:lang w:val="es-ES" w:eastAsia="ar-SA"/>
        </w:rPr>
        <w:t xml:space="preserve"> 129/22, de fecha 22 de junio de 2022 que declaró IMPROCEDENTE </w:t>
      </w:r>
      <w:r w:rsidRPr="39DF4994" w:rsidR="00722F63">
        <w:rPr>
          <w:rFonts w:ascii="Times New Roman" w:hAnsi="Times New Roman" w:eastAsia="Arial Unicode MS" w:cs="Times New Roman"/>
          <w:sz w:val="24"/>
          <w:szCs w:val="24"/>
          <w:lang w:val="es-PE"/>
        </w:rPr>
        <w:t>la reclamación interpuesta</w:t>
      </w:r>
      <w:bookmarkStart w:name="OLE_LINK2" w:id="0"/>
      <w:r w:rsidRPr="39DF4994" w:rsidR="00722F63">
        <w:rPr>
          <w:rFonts w:ascii="Times New Roman" w:hAnsi="Times New Roman" w:eastAsia="Arial Unicode MS" w:cs="Times New Roman"/>
          <w:sz w:val="24"/>
          <w:szCs w:val="24"/>
          <w:lang w:val="es-PE"/>
        </w:rPr>
        <w:t xml:space="preserve"> contra </w:t>
      </w:r>
      <w:r w:rsidRPr="39DF4994" w:rsidR="1884ECD8">
        <w:rPr>
          <w:rFonts w:ascii="Times New Roman" w:hAnsi="Times New Roman" w:eastAsia="Arial Unicode MS" w:cs="Times New Roman"/>
          <w:sz w:val="24"/>
          <w:szCs w:val="24"/>
          <w:lang w:val="es-PE"/>
        </w:rPr>
        <w:t>...........................................................</w:t>
      </w:r>
      <w:r w:rsidRPr="39DF4994" w:rsidR="00722F63">
        <w:rPr>
          <w:rFonts w:ascii="Times New Roman" w:hAnsi="Times New Roman" w:eastAsia="Arial Unicode MS" w:cs="Times New Roman"/>
          <w:sz w:val="24"/>
          <w:szCs w:val="24"/>
          <w:lang w:val="es-PE"/>
        </w:rPr>
        <w:t xml:space="preserve"> respecto del seguro de renta estudiantil contratada a través del colegio Cristo Rey. </w:t>
      </w:r>
    </w:p>
    <w:bookmarkEnd w:id="0"/>
    <w:p w:rsidRPr="00722F63" w:rsidR="00722F63" w:rsidP="00722F63" w:rsidRDefault="00722F63" w14:paraId="3F00154B" w14:textId="77777777">
      <w:pPr>
        <w:pStyle w:val="Default"/>
        <w:jc w:val="both"/>
        <w:rPr>
          <w:rFonts w:ascii="Times New Roman" w:hAnsi="Times New Roman" w:cs="Times New Roman"/>
          <w:bCs/>
          <w:lang w:val="es-MX" w:eastAsia="ar-SA"/>
        </w:rPr>
      </w:pPr>
      <w:r w:rsidRPr="00722F63">
        <w:rPr>
          <w:rFonts w:ascii="Times New Roman" w:hAnsi="Times New Roman" w:cs="Times New Roman"/>
          <w:bCs/>
          <w:lang w:val="es-MX" w:eastAsia="ar-SA"/>
        </w:rPr>
        <w:t>Que, el señalado recurso impugnatorio fue presento con fecha 1 de julio de 2022 a horas 23:58 por correo electrónico.</w:t>
      </w:r>
    </w:p>
    <w:p w:rsidRPr="00722F63" w:rsidR="00722F63" w:rsidP="00722F63" w:rsidRDefault="00722F63" w14:paraId="013DB804" w14:textId="77777777">
      <w:pPr>
        <w:pStyle w:val="Default"/>
        <w:jc w:val="both"/>
        <w:rPr>
          <w:rFonts w:ascii="Times New Roman" w:hAnsi="Times New Roman" w:cs="Times New Roman"/>
          <w:bCs/>
          <w:lang w:val="es-MX" w:eastAsia="ar-SA"/>
        </w:rPr>
      </w:pPr>
    </w:p>
    <w:p w:rsidRPr="00722F63" w:rsidR="00722F63" w:rsidP="00722F63" w:rsidRDefault="00722F63" w14:paraId="37C915CB" w14:textId="77777777">
      <w:pPr>
        <w:pStyle w:val="Default"/>
        <w:jc w:val="both"/>
        <w:rPr>
          <w:rFonts w:ascii="Times New Roman" w:hAnsi="Times New Roman" w:cs="Times New Roman"/>
          <w:bCs/>
          <w:lang w:val="es-ES" w:eastAsia="ar-SA"/>
        </w:rPr>
      </w:pPr>
      <w:r w:rsidRPr="00722F63">
        <w:rPr>
          <w:rFonts w:ascii="Times New Roman" w:hAnsi="Times New Roman" w:cs="Times New Roman"/>
          <w:bCs/>
          <w:lang w:val="es-MX" w:eastAsia="ar-SA"/>
        </w:rPr>
        <w:t xml:space="preserve">Que, mediante comunicación de fecha 04 de julio de 2022, la Secretaría Técnica de la Defensoría del Asegurado, informó a la recurrente, que su recurso no podía ser tramitado, ya que de acuerdo </w:t>
      </w:r>
      <w:r w:rsidRPr="00722F63">
        <w:rPr>
          <w:rFonts w:ascii="Times New Roman" w:hAnsi="Times New Roman" w:cs="Times New Roman"/>
          <w:bCs/>
          <w:lang w:val="es-ES" w:eastAsia="ar-SA"/>
        </w:rPr>
        <w:t xml:space="preserve">de acuerdo a lo dispuesto en el artículo 10° del Reglamento de la Defensoría del Asegurado, se establece un plazo de cinco (5) días hábiles para presentar el correspondiente recurso impugnatorio, siendo que en el caso de la recurrente, dicho plazo venció el 30 de junio de 2022.  </w:t>
      </w:r>
    </w:p>
    <w:p w:rsidRPr="00722F63" w:rsidR="00722F63" w:rsidP="00722F63" w:rsidRDefault="00722F63" w14:paraId="3855EA42" w14:textId="77777777">
      <w:pPr>
        <w:pStyle w:val="Default"/>
        <w:rPr>
          <w:rFonts w:ascii="Times New Roman" w:hAnsi="Times New Roman" w:cs="Times New Roman"/>
          <w:bCs/>
          <w:lang w:val="es-ES" w:eastAsia="ar-SA"/>
        </w:rPr>
      </w:pPr>
    </w:p>
    <w:p w:rsidRPr="00722F63" w:rsidR="00722F63" w:rsidP="00722F63" w:rsidRDefault="00722F63" w14:paraId="5308BF4A" w14:textId="77777777">
      <w:pPr>
        <w:pStyle w:val="Default"/>
        <w:jc w:val="both"/>
        <w:rPr>
          <w:rFonts w:ascii="Times New Roman" w:hAnsi="Times New Roman" w:cs="Times New Roman"/>
          <w:bCs/>
          <w:lang w:val="es-ES" w:eastAsia="ar-SA"/>
        </w:rPr>
      </w:pPr>
      <w:r w:rsidRPr="00722F63">
        <w:rPr>
          <w:rFonts w:ascii="Times New Roman" w:hAnsi="Times New Roman" w:cs="Times New Roman"/>
          <w:bCs/>
          <w:lang w:val="es-ES" w:eastAsia="ar-SA"/>
        </w:rPr>
        <w:t>Que, la recurrente discrepa de dicha posición por cuanto señala que el 24 de junio fue decretado día no laborable mediante D.S. 033-2022-PCM, por lo cual no se considera día hábil para el cómputo de procedimientos administrativos, por lo que el plazo habría vencido el 01 de julio de 2022.</w:t>
      </w:r>
    </w:p>
    <w:p w:rsidR="00722F63" w:rsidP="00722F63" w:rsidRDefault="00722F63" w14:paraId="74F04714" w14:textId="77777777">
      <w:pPr>
        <w:pStyle w:val="Default"/>
        <w:jc w:val="both"/>
        <w:rPr>
          <w:rFonts w:ascii="Times New Roman" w:hAnsi="Times New Roman" w:cs="Times New Roman"/>
          <w:bCs/>
          <w:lang w:val="es-ES" w:eastAsia="ar-SA"/>
        </w:rPr>
      </w:pPr>
    </w:p>
    <w:p w:rsidRPr="00722F63" w:rsidR="00722F63" w:rsidP="00722F63" w:rsidRDefault="00722F63" w14:paraId="2B528FBD" w14:textId="1E3F1408">
      <w:pPr>
        <w:pStyle w:val="Default"/>
        <w:jc w:val="both"/>
        <w:rPr>
          <w:rFonts w:ascii="Times New Roman" w:hAnsi="Times New Roman" w:cs="Times New Roman"/>
          <w:bCs/>
          <w:lang w:val="es-ES" w:eastAsia="ar-SA"/>
        </w:rPr>
      </w:pPr>
      <w:r w:rsidRPr="00722F63">
        <w:rPr>
          <w:rFonts w:ascii="Times New Roman" w:hAnsi="Times New Roman" w:cs="Times New Roman"/>
          <w:bCs/>
          <w:lang w:val="es-ES" w:eastAsia="ar-SA"/>
        </w:rPr>
        <w:t>Que en atención a dicha discrepancia, la Secretaria Técnica solicitó opinión al Colegiado, el cual considera pertinente emitir la siguiente resolución.</w:t>
      </w:r>
    </w:p>
    <w:p w:rsidRPr="00722F63" w:rsidR="00722F63" w:rsidP="00722F63" w:rsidRDefault="00722F63" w14:paraId="19611144" w14:textId="77777777">
      <w:pPr>
        <w:pStyle w:val="Default"/>
        <w:rPr>
          <w:rFonts w:ascii="Times New Roman" w:hAnsi="Times New Roman" w:cs="Times New Roman"/>
          <w:bCs/>
          <w:lang w:val="es-ES" w:eastAsia="ar-SA"/>
        </w:rPr>
      </w:pPr>
    </w:p>
    <w:p w:rsidRPr="00722F63" w:rsidR="00722F63" w:rsidP="00722F63" w:rsidRDefault="00722F63" w14:paraId="1F953126" w14:textId="77777777">
      <w:pPr>
        <w:suppressAutoHyphens/>
        <w:jc w:val="both"/>
        <w:rPr>
          <w:rFonts w:ascii="Times New Roman" w:hAnsi="Times New Roman" w:eastAsia="Times New Roman" w:cs="Times New Roman"/>
          <w:bCs/>
          <w:sz w:val="24"/>
          <w:szCs w:val="24"/>
          <w:lang w:val="es-MX" w:eastAsia="ar-SA"/>
        </w:rPr>
      </w:pPr>
      <w:r w:rsidRPr="00722F63">
        <w:rPr>
          <w:rFonts w:ascii="Times New Roman" w:hAnsi="Times New Roman" w:eastAsia="Times New Roman" w:cs="Times New Roman"/>
          <w:b/>
          <w:bCs/>
          <w:sz w:val="24"/>
          <w:szCs w:val="24"/>
          <w:lang w:val="es-MX" w:eastAsia="ar-SA"/>
        </w:rPr>
        <w:t>Considerando:</w:t>
      </w:r>
    </w:p>
    <w:p w:rsidRPr="00722F63" w:rsidR="00722F63" w:rsidP="00722F63" w:rsidRDefault="00722F63" w14:paraId="30EBAE17" w14:textId="77777777">
      <w:pPr>
        <w:jc w:val="both"/>
        <w:rPr>
          <w:rFonts w:ascii="Times New Roman" w:hAnsi="Times New Roman" w:cs="Times New Roman"/>
          <w:bCs/>
          <w:sz w:val="24"/>
          <w:szCs w:val="24"/>
          <w:lang w:val="es-PE"/>
        </w:rPr>
      </w:pPr>
      <w:r w:rsidRPr="00722F63">
        <w:rPr>
          <w:rFonts w:ascii="Times New Roman" w:hAnsi="Times New Roman" w:cs="Times New Roman"/>
          <w:b/>
          <w:sz w:val="24"/>
          <w:szCs w:val="24"/>
          <w:u w:val="single"/>
          <w:lang w:val="es-PE"/>
        </w:rPr>
        <w:t>Primero</w:t>
      </w:r>
      <w:r w:rsidRPr="00722F63">
        <w:rPr>
          <w:rFonts w:ascii="Times New Roman" w:hAnsi="Times New Roman" w:cs="Times New Roman"/>
          <w:b/>
          <w:sz w:val="24"/>
          <w:szCs w:val="24"/>
          <w:lang w:val="es-PE"/>
        </w:rPr>
        <w:t>:</w:t>
      </w:r>
      <w:r w:rsidRPr="00722F63">
        <w:rPr>
          <w:rFonts w:ascii="Times New Roman" w:hAnsi="Times New Roman" w:cs="Times New Roman"/>
          <w:sz w:val="24"/>
          <w:szCs w:val="24"/>
          <w:lang w:val="es-PE"/>
        </w:rPr>
        <w:t xml:space="preserve"> El Reglamento de la DEFASEG </w:t>
      </w:r>
      <w:r w:rsidRPr="00722F63">
        <w:rPr>
          <w:rFonts w:ascii="Times New Roman" w:hAnsi="Times New Roman" w:eastAsia="Arial Unicode MS" w:cs="Times New Roman"/>
          <w:sz w:val="24"/>
          <w:szCs w:val="24"/>
          <w:lang w:val="es-PE"/>
        </w:rPr>
        <w:t>(</w:t>
      </w:r>
      <w:hyperlink w:history="1" r:id="rId8">
        <w:r w:rsidRPr="00722F63">
          <w:rPr>
            <w:rStyle w:val="Hipervnculo"/>
            <w:rFonts w:ascii="Times New Roman" w:hAnsi="Times New Roman" w:eastAsia="Arial Unicode MS" w:cs="Times New Roman"/>
            <w:sz w:val="24"/>
            <w:szCs w:val="24"/>
            <w:lang w:val="es-PE"/>
          </w:rPr>
          <w:t>http://www.defaseg.com.pe/reglamento</w:t>
        </w:r>
      </w:hyperlink>
      <w:r w:rsidRPr="00722F63">
        <w:rPr>
          <w:rFonts w:ascii="Times New Roman" w:hAnsi="Times New Roman" w:eastAsia="Arial Unicode MS" w:cs="Times New Roman"/>
          <w:sz w:val="24"/>
          <w:szCs w:val="24"/>
          <w:lang w:val="es-PE"/>
        </w:rPr>
        <w:t xml:space="preserve">) </w:t>
      </w:r>
      <w:r w:rsidRPr="00722F63">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w:t>
      </w:r>
      <w:r w:rsidRPr="00722F63">
        <w:rPr>
          <w:rFonts w:ascii="Times New Roman" w:hAnsi="Times New Roman" w:cs="Times New Roman"/>
          <w:bCs/>
          <w:sz w:val="24"/>
          <w:szCs w:val="24"/>
          <w:lang w:val="es-PE"/>
        </w:rPr>
        <w:t>Conforme a ello, en el caso concreto, al interponer el recurso de impugnación el reclamante ha ejercido formalmente su derecho a contradecir lo resuelto por la Defensoría.</w:t>
      </w:r>
    </w:p>
    <w:p w:rsidRPr="00722F63" w:rsidR="00722F63" w:rsidP="00722F63" w:rsidRDefault="00722F63" w14:paraId="14007E67" w14:textId="77777777">
      <w:pPr>
        <w:jc w:val="both"/>
        <w:rPr>
          <w:rFonts w:ascii="Times New Roman" w:hAnsi="Times New Roman" w:cs="Times New Roman"/>
          <w:sz w:val="24"/>
          <w:szCs w:val="24"/>
          <w:lang w:val="es-PE"/>
        </w:rPr>
      </w:pPr>
      <w:r w:rsidRPr="00722F63">
        <w:rPr>
          <w:rFonts w:ascii="Times New Roman" w:hAnsi="Times New Roman" w:cs="Times New Roman"/>
          <w:sz w:val="24"/>
          <w:szCs w:val="24"/>
          <w:lang w:val="es-PE"/>
        </w:rPr>
        <w:t xml:space="preserve">No obstante, el Reglamento de la DEFASEG, establece expresamente que </w:t>
      </w:r>
      <w:r w:rsidRPr="00722F63">
        <w:rPr>
          <w:rFonts w:ascii="Times New Roman" w:hAnsi="Times New Roman" w:cs="Times New Roman"/>
          <w:i/>
          <w:iCs/>
          <w:sz w:val="24"/>
          <w:szCs w:val="24"/>
          <w:lang w:val="es-ES"/>
        </w:rPr>
        <w:t>“</w:t>
      </w:r>
      <w:r w:rsidRPr="00722F63">
        <w:rPr>
          <w:rFonts w:ascii="Times New Roman" w:hAnsi="Times New Roman" w:cs="Times New Roman"/>
          <w:i/>
          <w:iCs/>
          <w:sz w:val="24"/>
          <w:szCs w:val="24"/>
          <w:lang w:val="es-PE"/>
        </w:rPr>
        <w:t xml:space="preserve">En caso cualquiera de las partes no se encuentre conforme con la decisión adoptada, podrá impugnarla, </w:t>
      </w:r>
      <w:r w:rsidRPr="00722F63">
        <w:rPr>
          <w:rFonts w:ascii="Times New Roman" w:hAnsi="Times New Roman" w:cs="Times New Roman"/>
          <w:b/>
          <w:bCs/>
          <w:i/>
          <w:iCs/>
          <w:sz w:val="24"/>
          <w:szCs w:val="24"/>
          <w:u w:val="single"/>
          <w:lang w:val="es-PE"/>
        </w:rPr>
        <w:t>en el plazo de cinco (5) días hábiles de notificada.(…)</w:t>
      </w:r>
      <w:r w:rsidRPr="00722F63">
        <w:rPr>
          <w:rFonts w:ascii="Times New Roman" w:hAnsi="Times New Roman" w:cs="Times New Roman"/>
          <w:b/>
          <w:bCs/>
          <w:i/>
          <w:iCs/>
          <w:sz w:val="24"/>
          <w:szCs w:val="24"/>
          <w:lang w:val="es-PE"/>
        </w:rPr>
        <w:t>”</w:t>
      </w:r>
      <w:r w:rsidRPr="00722F63">
        <w:rPr>
          <w:rFonts w:ascii="Times New Roman" w:hAnsi="Times New Roman" w:cs="Times New Roman"/>
          <w:i/>
          <w:iCs/>
          <w:sz w:val="24"/>
          <w:szCs w:val="24"/>
          <w:lang w:val="es-PE"/>
        </w:rPr>
        <w:t xml:space="preserve"> </w:t>
      </w:r>
      <w:r w:rsidRPr="00722F63">
        <w:rPr>
          <w:rFonts w:ascii="Times New Roman" w:hAnsi="Times New Roman" w:cs="Times New Roman"/>
          <w:sz w:val="24"/>
          <w:szCs w:val="24"/>
          <w:lang w:val="es-PE"/>
        </w:rPr>
        <w:t>; lo que debe analizarse si se cumplió en este caso.</w:t>
      </w:r>
    </w:p>
    <w:p w:rsidRPr="00722F63" w:rsidR="00722F63" w:rsidP="00722F63" w:rsidRDefault="00722F63" w14:paraId="35410656" w14:textId="77777777">
      <w:pPr>
        <w:tabs>
          <w:tab w:val="left" w:pos="0"/>
          <w:tab w:val="left" w:pos="2160"/>
        </w:tabs>
        <w:jc w:val="both"/>
        <w:rPr>
          <w:rFonts w:ascii="Times New Roman" w:hAnsi="Times New Roman" w:cs="Times New Roman"/>
          <w:sz w:val="24"/>
          <w:szCs w:val="24"/>
          <w:lang w:val="es-ES"/>
        </w:rPr>
      </w:pPr>
      <w:r w:rsidRPr="00722F63">
        <w:rPr>
          <w:rFonts w:ascii="Times New Roman" w:hAnsi="Times New Roman" w:cs="Times New Roman"/>
          <w:b/>
          <w:sz w:val="24"/>
          <w:szCs w:val="24"/>
          <w:u w:val="single"/>
          <w:lang w:val="es-PE"/>
        </w:rPr>
        <w:t>Segundo</w:t>
      </w:r>
      <w:r w:rsidRPr="00722F63">
        <w:rPr>
          <w:rFonts w:ascii="Times New Roman" w:hAnsi="Times New Roman" w:cs="Times New Roman"/>
          <w:b/>
          <w:sz w:val="24"/>
          <w:szCs w:val="24"/>
          <w:lang w:val="es-PE"/>
        </w:rPr>
        <w:t>:</w:t>
      </w:r>
      <w:r w:rsidRPr="00722F63">
        <w:rPr>
          <w:rFonts w:ascii="Times New Roman" w:hAnsi="Times New Roman" w:cs="Times New Roman"/>
          <w:sz w:val="24"/>
          <w:szCs w:val="24"/>
          <w:lang w:val="es-PE"/>
        </w:rPr>
        <w:t xml:space="preserve"> L</w:t>
      </w:r>
      <w:r w:rsidRPr="00722F63">
        <w:rPr>
          <w:rFonts w:ascii="Times New Roman" w:hAnsi="Times New Roman" w:cs="Times New Roman"/>
          <w:sz w:val="24"/>
          <w:szCs w:val="24"/>
          <w:lang w:val="es-419"/>
        </w:rPr>
        <w:t xml:space="preserve">a Defensoría del Asegurado es una entidad privada y por ende no constituye una instancia administrativa regida por la ley del procedimiento administrativo general. La Defensoría se rige por su propio reglamento, de acuerdo al cual </w:t>
      </w:r>
      <w:r w:rsidRPr="00722F63">
        <w:rPr>
          <w:rFonts w:ascii="Times New Roman" w:hAnsi="Times New Roman" w:cs="Times New Roman"/>
          <w:sz w:val="24"/>
          <w:szCs w:val="24"/>
          <w:lang w:val="es-ES"/>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w:t>
      </w:r>
      <w:r w:rsidRPr="00722F63">
        <w:rPr>
          <w:rFonts w:ascii="Times New Roman" w:hAnsi="Times New Roman" w:cs="Times New Roman"/>
          <w:sz w:val="24"/>
          <w:szCs w:val="24"/>
          <w:lang w:val="es-ES"/>
        </w:rPr>
        <w:lastRenderedPageBreak/>
        <w:t>mismos, ya que son únicamente vinculantes para las aseguradoras cuando el fallo es favorable para el asegurado.</w:t>
      </w:r>
    </w:p>
    <w:p w:rsidRPr="00722F63" w:rsidR="00722F63" w:rsidP="00722F63" w:rsidRDefault="00722F63" w14:paraId="1246870B" w14:textId="77777777">
      <w:pPr>
        <w:tabs>
          <w:tab w:val="left" w:pos="0"/>
          <w:tab w:val="left" w:pos="2160"/>
        </w:tabs>
        <w:jc w:val="both"/>
        <w:rPr>
          <w:rFonts w:ascii="Times New Roman" w:hAnsi="Times New Roman" w:cs="Times New Roman"/>
          <w:sz w:val="24"/>
          <w:szCs w:val="24"/>
          <w:lang w:val="es-ES"/>
        </w:rPr>
      </w:pPr>
      <w:r w:rsidRPr="00722F63">
        <w:rPr>
          <w:rFonts w:ascii="Times New Roman" w:hAnsi="Times New Roman" w:cs="Times New Roman"/>
          <w:b/>
          <w:bCs/>
          <w:sz w:val="24"/>
          <w:szCs w:val="24"/>
          <w:u w:val="single"/>
          <w:lang w:val="es-ES"/>
        </w:rPr>
        <w:t>Tercero:</w:t>
      </w:r>
      <w:r w:rsidRPr="00722F63">
        <w:rPr>
          <w:rFonts w:ascii="Times New Roman" w:hAnsi="Times New Roman" w:cs="Times New Roman"/>
          <w:sz w:val="24"/>
          <w:szCs w:val="24"/>
          <w:lang w:val="es-ES"/>
        </w:rPr>
        <w:t xml:space="preserve"> Que el D.S. 033-2022-PCM 22 declaró día no laborable el 24 de junio de 2022 pero únicamente para el sector público nacional, estableciendo que las horas dejadas de laborar durante dicho día debían ser compensadas; y que para fines tributarios dichos días serían considerados hábiles. Asimismo estableció que las entidades privadas podían acogerse (o no) a dicho decreto supremo señalando la forma en que se haría efectiva la recuperación de horas dejadas de laborar.</w:t>
      </w:r>
    </w:p>
    <w:p w:rsidRPr="00722F63" w:rsidR="00722F63" w:rsidP="00722F63" w:rsidRDefault="00722F63" w14:paraId="366232F0" w14:textId="77777777">
      <w:pPr>
        <w:tabs>
          <w:tab w:val="left" w:pos="0"/>
          <w:tab w:val="left" w:pos="2160"/>
        </w:tabs>
        <w:jc w:val="both"/>
        <w:rPr>
          <w:rFonts w:ascii="Times New Roman" w:hAnsi="Times New Roman" w:cs="Times New Roman"/>
          <w:sz w:val="24"/>
          <w:szCs w:val="24"/>
          <w:lang w:val="es-ES"/>
        </w:rPr>
      </w:pPr>
      <w:r w:rsidRPr="00722F63">
        <w:rPr>
          <w:rFonts w:ascii="Times New Roman" w:hAnsi="Times New Roman" w:cs="Times New Roman"/>
          <w:sz w:val="24"/>
          <w:szCs w:val="24"/>
          <w:lang w:val="es-ES"/>
        </w:rPr>
        <w:t>Que, siendo la DEFASEG una institución privada, no se acogió a dicha posibilidad, continuando su atención regular el día 24 de junio de 2022, día en que se llevaron a cabo audiencias previamente programadas.</w:t>
      </w:r>
    </w:p>
    <w:p w:rsidRPr="00722F63" w:rsidR="00722F63" w:rsidP="00722F63" w:rsidRDefault="00722F63" w14:paraId="39ADDA68" w14:textId="77777777">
      <w:pPr>
        <w:tabs>
          <w:tab w:val="left" w:pos="0"/>
          <w:tab w:val="left" w:pos="2160"/>
        </w:tabs>
        <w:jc w:val="both"/>
        <w:rPr>
          <w:rFonts w:ascii="Times New Roman" w:hAnsi="Times New Roman" w:cs="Times New Roman"/>
          <w:sz w:val="24"/>
          <w:szCs w:val="24"/>
          <w:lang w:val="es-ES"/>
        </w:rPr>
      </w:pPr>
      <w:r w:rsidRPr="00722F63">
        <w:rPr>
          <w:rFonts w:ascii="Times New Roman" w:hAnsi="Times New Roman" w:cs="Times New Roman"/>
          <w:sz w:val="24"/>
          <w:szCs w:val="24"/>
          <w:lang w:val="es-ES"/>
        </w:rPr>
        <w:t>Que, en consecuencia, el 24 de junio de 2022 sí debe ser computado para efectos de determinar si el recurso impugnatorio se presentó dentro del plazo previsto por el reglamento de la DEFASEG, ratificándose con ello la inadmisibilidad comunicada a la recurrente por la parte de la secretaria técnica mediante correo electrónico de fecha 4 de julio de 2022.</w:t>
      </w:r>
    </w:p>
    <w:p w:rsidRPr="00722F63" w:rsidR="00722F63" w:rsidP="00722F63" w:rsidRDefault="00722F63" w14:paraId="7614A60D" w14:textId="77777777">
      <w:pPr>
        <w:tabs>
          <w:tab w:val="left" w:pos="2160"/>
        </w:tabs>
        <w:jc w:val="both"/>
        <w:rPr>
          <w:rFonts w:ascii="Times New Roman" w:hAnsi="Times New Roman" w:cs="Times New Roman"/>
          <w:sz w:val="24"/>
          <w:szCs w:val="24"/>
          <w:lang w:val="es-ES"/>
        </w:rPr>
      </w:pPr>
      <w:r w:rsidRPr="00722F63">
        <w:rPr>
          <w:rFonts w:ascii="Times New Roman" w:hAnsi="Times New Roman" w:cs="Times New Roman"/>
          <w:sz w:val="24"/>
          <w:szCs w:val="24"/>
          <w:lang w:val="es-ES"/>
        </w:rPr>
        <w:t>En atención a las consideraciones precedentes, este colegiado</w:t>
      </w:r>
    </w:p>
    <w:p w:rsidRPr="00722F63" w:rsidR="00722F63" w:rsidP="00722F63" w:rsidRDefault="00722F63" w14:paraId="7648D61A" w14:textId="77777777">
      <w:pPr>
        <w:jc w:val="both"/>
        <w:rPr>
          <w:rFonts w:ascii="Times New Roman" w:hAnsi="Times New Roman" w:eastAsia="Arial Unicode MS" w:cs="Times New Roman"/>
          <w:b/>
          <w:bCs/>
          <w:sz w:val="24"/>
          <w:szCs w:val="24"/>
          <w:lang w:val="es-PE"/>
        </w:rPr>
      </w:pPr>
      <w:r w:rsidRPr="00722F63">
        <w:rPr>
          <w:rFonts w:ascii="Times New Roman" w:hAnsi="Times New Roman" w:eastAsia="Arial Unicode MS" w:cs="Times New Roman"/>
          <w:b/>
          <w:bCs/>
          <w:sz w:val="24"/>
          <w:szCs w:val="24"/>
          <w:lang w:val="es-ES"/>
        </w:rPr>
        <w:t xml:space="preserve">RESUELVE: </w:t>
      </w:r>
    </w:p>
    <w:p w:rsidRPr="00722F63" w:rsidR="003D2FC4" w:rsidP="00722F63" w:rsidRDefault="00722F63" w14:paraId="314B4D1A" w14:textId="435072FB">
      <w:pPr>
        <w:jc w:val="both"/>
        <w:rPr>
          <w:rFonts w:ascii="Times New Roman" w:hAnsi="Times New Roman" w:eastAsia="Times New Roman" w:cs="Times New Roman"/>
          <w:sz w:val="24"/>
          <w:szCs w:val="24"/>
          <w:lang w:val="es-ES" w:eastAsia="ar-SA"/>
        </w:rPr>
      </w:pPr>
      <w:r w:rsidRPr="39DF4994" w:rsidR="00722F63">
        <w:rPr>
          <w:rFonts w:ascii="Times New Roman" w:hAnsi="Times New Roman" w:eastAsia="Arial Unicode MS" w:cs="Times New Roman"/>
          <w:sz w:val="24"/>
          <w:szCs w:val="24"/>
          <w:lang w:val="es-PE"/>
        </w:rPr>
        <w:t xml:space="preserve">Declarar </w:t>
      </w:r>
      <w:r w:rsidRPr="39DF4994" w:rsidR="00722F63">
        <w:rPr>
          <w:rFonts w:ascii="Times New Roman" w:hAnsi="Times New Roman" w:eastAsia="Arial Unicode MS" w:cs="Times New Roman"/>
          <w:b w:val="1"/>
          <w:bCs w:val="1"/>
          <w:sz w:val="24"/>
          <w:szCs w:val="24"/>
          <w:lang w:val="es-PE"/>
        </w:rPr>
        <w:t xml:space="preserve">INADMISIBLE </w:t>
      </w:r>
      <w:r w:rsidRPr="39DF4994" w:rsidR="00722F63">
        <w:rPr>
          <w:rFonts w:ascii="Times New Roman" w:hAnsi="Times New Roman" w:eastAsia="Arial Unicode MS" w:cs="Times New Roman"/>
          <w:sz w:val="24"/>
          <w:szCs w:val="24"/>
          <w:lang w:val="es-PE"/>
        </w:rPr>
        <w:t>el recurso impugnativo</w:t>
      </w:r>
      <w:r w:rsidRPr="39DF4994" w:rsidR="00722F63">
        <w:rPr>
          <w:rFonts w:ascii="Times New Roman" w:hAnsi="Times New Roman" w:eastAsia="Arial Unicode MS" w:cs="Times New Roman"/>
          <w:b w:val="1"/>
          <w:bCs w:val="1"/>
          <w:sz w:val="24"/>
          <w:szCs w:val="24"/>
          <w:lang w:val="es-PE"/>
        </w:rPr>
        <w:t xml:space="preserve"> </w:t>
      </w:r>
      <w:r w:rsidRPr="39DF4994" w:rsidR="00722F63">
        <w:rPr>
          <w:rFonts w:ascii="Times New Roman" w:hAnsi="Times New Roman" w:eastAsia="Arial Unicode MS" w:cs="Times New Roman"/>
          <w:sz w:val="24"/>
          <w:szCs w:val="24"/>
          <w:lang w:val="es-PE"/>
        </w:rPr>
        <w:t xml:space="preserve">interpuesto por doña </w:t>
      </w:r>
      <w:r w:rsidRPr="39DF4994" w:rsidR="343FD895">
        <w:rPr>
          <w:rFonts w:ascii="Times New Roman" w:hAnsi="Times New Roman" w:eastAsia="Arial Unicode MS" w:cs="Times New Roman"/>
          <w:sz w:val="24"/>
          <w:szCs w:val="24"/>
          <w:lang w:val="es-PE"/>
        </w:rPr>
        <w:t>...........................................................</w:t>
      </w:r>
      <w:r w:rsidRPr="39DF4994" w:rsidR="00722F63">
        <w:rPr>
          <w:rFonts w:ascii="Times New Roman" w:hAnsi="Times New Roman" w:eastAsia="Arial Unicode MS" w:cs="Times New Roman"/>
          <w:sz w:val="24"/>
          <w:szCs w:val="24"/>
          <w:lang w:val="es-PE"/>
        </w:rPr>
        <w:t>,</w:t>
      </w:r>
      <w:r w:rsidRPr="39DF4994" w:rsidR="00722F63">
        <w:rPr>
          <w:rFonts w:ascii="Times New Roman" w:hAnsi="Times New Roman" w:cs="Times New Roman"/>
          <w:sz w:val="24"/>
          <w:szCs w:val="24"/>
          <w:lang w:val="es-ES"/>
        </w:rPr>
        <w:t xml:space="preserve"> y por c</w:t>
      </w:r>
      <w:r w:rsidRPr="39DF4994" w:rsidR="00722F63">
        <w:rPr>
          <w:rFonts w:ascii="Times New Roman" w:hAnsi="Times New Roman" w:cs="Times New Roman"/>
          <w:sz w:val="24"/>
          <w:szCs w:val="24"/>
          <w:lang w:val="es-ES"/>
        </w:rPr>
        <w:t xml:space="preserve">onsiguiente, se ratifica </w:t>
      </w:r>
      <w:r w:rsidRPr="39DF4994" w:rsidR="00722F63">
        <w:rPr>
          <w:rFonts w:ascii="Times New Roman" w:hAnsi="Times New Roman" w:eastAsia="Times New Roman" w:cs="Times New Roman"/>
          <w:sz w:val="24"/>
          <w:szCs w:val="24"/>
          <w:lang w:val="es-ES" w:eastAsia="ar-SA"/>
        </w:rPr>
        <w:t xml:space="preserve">la Resolución </w:t>
      </w:r>
      <w:r w:rsidRPr="39DF4994" w:rsidR="00722F63">
        <w:rPr>
          <w:rFonts w:ascii="Times New Roman" w:hAnsi="Times New Roman" w:eastAsia="Times New Roman" w:cs="Times New Roman"/>
          <w:sz w:val="24"/>
          <w:szCs w:val="24"/>
          <w:lang w:val="es-ES" w:eastAsia="ar-SA"/>
        </w:rPr>
        <w:t>Nº</w:t>
      </w:r>
      <w:r w:rsidRPr="39DF4994" w:rsidR="00722F63">
        <w:rPr>
          <w:rFonts w:ascii="Times New Roman" w:hAnsi="Times New Roman" w:eastAsia="Times New Roman" w:cs="Times New Roman"/>
          <w:sz w:val="24"/>
          <w:szCs w:val="24"/>
          <w:lang w:val="es-ES" w:eastAsia="ar-SA"/>
        </w:rPr>
        <w:t xml:space="preserve"> 129/</w:t>
      </w:r>
      <w:r w:rsidRPr="39DF4994" w:rsidR="00722F63">
        <w:rPr>
          <w:rFonts w:ascii="Times New Roman" w:hAnsi="Times New Roman" w:eastAsia="Times New Roman" w:cs="Times New Roman"/>
          <w:sz w:val="24"/>
          <w:szCs w:val="24"/>
          <w:lang w:val="es-ES" w:eastAsia="ar-SA"/>
        </w:rPr>
        <w:t>22  de</w:t>
      </w:r>
      <w:r w:rsidRPr="39DF4994" w:rsidR="00722F63">
        <w:rPr>
          <w:rFonts w:ascii="Times New Roman" w:hAnsi="Times New Roman" w:eastAsia="Times New Roman" w:cs="Times New Roman"/>
          <w:sz w:val="24"/>
          <w:szCs w:val="24"/>
          <w:lang w:val="es-ES" w:eastAsia="ar-SA"/>
        </w:rPr>
        <w:t xml:space="preserve"> fecha 22 de junio de 2022 que declaró improcedente el reclamo, dejando a salvo el derecho de la reclamante de recurrir ante las instancias que estime convenientes.</w:t>
      </w:r>
    </w:p>
    <w:p w:rsidRPr="00722F63" w:rsidR="00C173A8" w:rsidP="00092C2E" w:rsidRDefault="00C173A8" w14:paraId="21EFD7D3" w14:textId="293474A2">
      <w:pPr>
        <w:suppressAutoHyphens/>
        <w:spacing w:after="0" w:line="240" w:lineRule="auto"/>
        <w:jc w:val="right"/>
        <w:outlineLvl w:val="0"/>
        <w:rPr>
          <w:rFonts w:ascii="Times New Roman" w:hAnsi="Times New Roman" w:eastAsia="Arial Unicode MS" w:cs="Times New Roman"/>
          <w:sz w:val="24"/>
          <w:szCs w:val="24"/>
          <w:lang w:val="es-PE" w:eastAsia="ar-SA"/>
        </w:rPr>
      </w:pPr>
      <w:r w:rsidRPr="00722F63">
        <w:rPr>
          <w:rFonts w:ascii="Times New Roman" w:hAnsi="Times New Roman" w:eastAsia="Arial Unicode MS" w:cs="Times New Roman"/>
          <w:sz w:val="24"/>
          <w:szCs w:val="24"/>
          <w:lang w:val="es-PE" w:eastAsia="ar-SA"/>
        </w:rPr>
        <w:t xml:space="preserve">Lima, </w:t>
      </w:r>
      <w:r w:rsidRPr="00722F63" w:rsidR="00E41D03">
        <w:rPr>
          <w:rFonts w:ascii="Times New Roman" w:hAnsi="Times New Roman" w:eastAsia="Arial Unicode MS" w:cs="Times New Roman"/>
          <w:sz w:val="24"/>
          <w:szCs w:val="24"/>
          <w:lang w:val="es-PE" w:eastAsia="ar-SA"/>
        </w:rPr>
        <w:t>1</w:t>
      </w:r>
      <w:r w:rsidRPr="00722F63" w:rsidR="008F27EF">
        <w:rPr>
          <w:rFonts w:ascii="Times New Roman" w:hAnsi="Times New Roman" w:eastAsia="Arial Unicode MS" w:cs="Times New Roman"/>
          <w:sz w:val="24"/>
          <w:szCs w:val="24"/>
          <w:lang w:val="es-PE" w:eastAsia="ar-SA"/>
        </w:rPr>
        <w:t>4</w:t>
      </w:r>
      <w:r w:rsidRPr="00722F63" w:rsidR="00E72889">
        <w:rPr>
          <w:rFonts w:ascii="Times New Roman" w:hAnsi="Times New Roman" w:eastAsia="Arial Unicode MS" w:cs="Times New Roman"/>
          <w:sz w:val="24"/>
          <w:szCs w:val="24"/>
          <w:lang w:val="es-PE" w:eastAsia="ar-SA"/>
        </w:rPr>
        <w:t xml:space="preserve"> </w:t>
      </w:r>
      <w:r w:rsidRPr="00722F63">
        <w:rPr>
          <w:rFonts w:ascii="Times New Roman" w:hAnsi="Times New Roman" w:eastAsia="Arial Unicode MS" w:cs="Times New Roman"/>
          <w:sz w:val="24"/>
          <w:szCs w:val="24"/>
          <w:lang w:val="es-PE" w:eastAsia="ar-SA"/>
        </w:rPr>
        <w:t xml:space="preserve">de </w:t>
      </w:r>
      <w:r w:rsidRPr="00722F63" w:rsidR="006E5783">
        <w:rPr>
          <w:rFonts w:ascii="Times New Roman" w:hAnsi="Times New Roman" w:eastAsia="Arial Unicode MS" w:cs="Times New Roman"/>
          <w:sz w:val="24"/>
          <w:szCs w:val="24"/>
          <w:lang w:val="es-PE" w:eastAsia="ar-SA"/>
        </w:rPr>
        <w:t>ju</w:t>
      </w:r>
      <w:r w:rsidRPr="00722F63" w:rsidR="00E72889">
        <w:rPr>
          <w:rFonts w:ascii="Times New Roman" w:hAnsi="Times New Roman" w:eastAsia="Arial Unicode MS" w:cs="Times New Roman"/>
          <w:sz w:val="24"/>
          <w:szCs w:val="24"/>
          <w:lang w:val="es-PE" w:eastAsia="ar-SA"/>
        </w:rPr>
        <w:t>l</w:t>
      </w:r>
      <w:r w:rsidRPr="00722F63" w:rsidR="006E5783">
        <w:rPr>
          <w:rFonts w:ascii="Times New Roman" w:hAnsi="Times New Roman" w:eastAsia="Arial Unicode MS" w:cs="Times New Roman"/>
          <w:sz w:val="24"/>
          <w:szCs w:val="24"/>
          <w:lang w:val="es-PE" w:eastAsia="ar-SA"/>
        </w:rPr>
        <w:t>io</w:t>
      </w:r>
      <w:r w:rsidRPr="00722F63">
        <w:rPr>
          <w:rFonts w:ascii="Times New Roman" w:hAnsi="Times New Roman" w:eastAsia="Arial Unicode MS" w:cs="Times New Roman"/>
          <w:sz w:val="24"/>
          <w:szCs w:val="24"/>
          <w:lang w:val="es-PE" w:eastAsia="ar-SA"/>
        </w:rPr>
        <w:t xml:space="preserve"> de 2022</w:t>
      </w:r>
      <w:r w:rsidRPr="00722F63">
        <w:rPr>
          <w:rFonts w:ascii="Times New Roman" w:hAnsi="Times New Roman" w:eastAsia="Times New Roman" w:cs="Times New Roman"/>
          <w:sz w:val="24"/>
          <w:szCs w:val="24"/>
          <w:lang w:val="es-PE" w:eastAsia="ar-SA"/>
        </w:rPr>
        <w:t xml:space="preserve"> </w:t>
      </w:r>
    </w:p>
    <w:p w:rsidRPr="00722F63"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22F63"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722F6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22F63"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722F63"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722F63">
        <w:rPr>
          <w:rFonts w:ascii="Times New Roman" w:hAnsi="Times New Roman" w:cs="Times New Roman"/>
          <w:b/>
          <w:bCs/>
          <w:sz w:val="24"/>
          <w:szCs w:val="24"/>
          <w:lang w:val="es-PE"/>
        </w:rPr>
        <w:t>Marco Antonio Ortega Piana – Presidente</w:t>
      </w:r>
    </w:p>
    <w:p w:rsidRPr="00722F63"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722F63">
        <w:rPr>
          <w:rFonts w:ascii="Times New Roman" w:hAnsi="Times New Roman" w:cs="Times New Roman"/>
          <w:b/>
          <w:bCs/>
          <w:sz w:val="24"/>
          <w:szCs w:val="24"/>
          <w:lang w:val="es-PE"/>
        </w:rPr>
        <w:t xml:space="preserve">María Eugenia Valdez Fernández Baca – </w:t>
      </w:r>
      <w:r w:rsidRPr="00722F63" w:rsidR="001B1998">
        <w:rPr>
          <w:rFonts w:ascii="Times New Roman" w:hAnsi="Times New Roman" w:cs="Times New Roman"/>
          <w:b/>
          <w:bCs/>
          <w:sz w:val="24"/>
          <w:szCs w:val="24"/>
          <w:lang w:val="es-PE"/>
        </w:rPr>
        <w:t>Vocal</w:t>
      </w:r>
    </w:p>
    <w:p w:rsidRPr="00722F63"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722F63">
        <w:rPr>
          <w:rFonts w:ascii="Times New Roman" w:hAnsi="Times New Roman" w:cs="Times New Roman"/>
          <w:b/>
          <w:bCs/>
          <w:sz w:val="24"/>
          <w:szCs w:val="24"/>
          <w:lang w:val="es-PE"/>
        </w:rPr>
        <w:t>Rolando Eyzaguirre Maccan - Vocal</w:t>
      </w:r>
    </w:p>
    <w:p w:rsidRPr="00722F63"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722F63">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3393" w:rsidP="00784355" w:rsidRDefault="00CF3393" w14:paraId="022890AA" w14:textId="77777777">
      <w:pPr>
        <w:spacing w:after="0" w:line="240" w:lineRule="auto"/>
      </w:pPr>
      <w:r>
        <w:separator/>
      </w:r>
    </w:p>
  </w:endnote>
  <w:endnote w:type="continuationSeparator" w:id="0">
    <w:p w:rsidR="00CF3393" w:rsidP="00784355" w:rsidRDefault="00CF3393" w14:paraId="3469D3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3393" w:rsidP="00784355" w:rsidRDefault="00CF3393" w14:paraId="53D2C5FC" w14:textId="77777777">
      <w:pPr>
        <w:spacing w:after="0" w:line="240" w:lineRule="auto"/>
      </w:pPr>
      <w:r>
        <w:separator/>
      </w:r>
    </w:p>
  </w:footnote>
  <w:footnote w:type="continuationSeparator" w:id="0">
    <w:p w:rsidR="00CF3393" w:rsidP="00784355" w:rsidRDefault="00CF3393" w14:paraId="69AB7B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3D63"/>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27EF"/>
    <w:rsid w:val="008F479E"/>
    <w:rsid w:val="008F708B"/>
    <w:rsid w:val="008F7C83"/>
    <w:rsid w:val="009011F1"/>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1884ECD8"/>
    <w:rsid w:val="343FD895"/>
    <w:rsid w:val="39DF4994"/>
    <w:rsid w:val="6E129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F27993E-E1B8-48F4-B0CF-9C4B905F9BF3}"/>
</file>

<file path=customXml/itemProps3.xml><?xml version="1.0" encoding="utf-8"?>
<ds:datastoreItem xmlns:ds="http://schemas.openxmlformats.org/officeDocument/2006/customXml" ds:itemID="{938B80EB-9CD0-467A-92AC-BDA6FFA4BEDF}"/>
</file>

<file path=customXml/itemProps4.xml><?xml version="1.0" encoding="utf-8"?>
<ds:datastoreItem xmlns:ds="http://schemas.openxmlformats.org/officeDocument/2006/customXml" ds:itemID="{385059DC-F6B7-47E3-A7FB-AFCAF08B8B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168</cp:revision>
  <cp:lastPrinted>2022-07-14T21:46:00Z</cp:lastPrinted>
  <dcterms:created xsi:type="dcterms:W3CDTF">2020-12-18T20:17:00Z</dcterms:created>
  <dcterms:modified xsi:type="dcterms:W3CDTF">2025-11-27T20:50:51Z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