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0308F" w:rsidR="00B10F71" w:rsidP="00041B86" w:rsidRDefault="00201C0D" w14:paraId="51974F0B" w14:textId="6200CA80">
      <w:pPr>
        <w:spacing w:after="0" w:line="240" w:lineRule="auto"/>
        <w:jc w:val="center"/>
        <w:rPr>
          <w:rFonts w:ascii="Times New Roman" w:hAnsi="Times New Roman" w:cs="Times New Roman"/>
          <w:b/>
          <w:sz w:val="24"/>
          <w:szCs w:val="24"/>
          <w:lang w:val="es-PE" w:eastAsia="ar-SA"/>
        </w:rPr>
      </w:pPr>
      <w:r w:rsidRPr="0090308F">
        <w:rPr>
          <w:rFonts w:ascii="Times New Roman" w:hAnsi="Times New Roman" w:cs="Times New Roman"/>
          <w:b/>
          <w:sz w:val="24"/>
          <w:szCs w:val="24"/>
          <w:lang w:val="es-PE" w:eastAsia="ar-SA"/>
        </w:rPr>
        <w:t xml:space="preserve">RESOLUCIÓN DE RECURSO IMPUGNATIVO </w:t>
      </w:r>
      <w:proofErr w:type="spellStart"/>
      <w:r w:rsidRPr="0090308F" w:rsidR="00707C99">
        <w:rPr>
          <w:rFonts w:ascii="Times New Roman" w:hAnsi="Times New Roman" w:cs="Times New Roman"/>
          <w:b/>
          <w:sz w:val="24"/>
          <w:szCs w:val="24"/>
          <w:lang w:val="es-PE" w:eastAsia="ar-SA"/>
        </w:rPr>
        <w:t>N°</w:t>
      </w:r>
      <w:proofErr w:type="spellEnd"/>
      <w:r w:rsidRPr="0090308F" w:rsidR="00707C99">
        <w:rPr>
          <w:rFonts w:ascii="Times New Roman" w:hAnsi="Times New Roman" w:cs="Times New Roman"/>
          <w:b/>
          <w:sz w:val="24"/>
          <w:szCs w:val="24"/>
          <w:lang w:val="es-PE" w:eastAsia="ar-SA"/>
        </w:rPr>
        <w:t xml:space="preserve"> </w:t>
      </w:r>
      <w:r w:rsidRPr="0090308F" w:rsidR="00C671F5">
        <w:rPr>
          <w:rFonts w:ascii="Times New Roman" w:hAnsi="Times New Roman" w:cs="Times New Roman"/>
          <w:b/>
          <w:sz w:val="24"/>
          <w:szCs w:val="24"/>
          <w:lang w:val="es-PE" w:eastAsia="ar-SA"/>
        </w:rPr>
        <w:t>0</w:t>
      </w:r>
      <w:r w:rsidRPr="0090308F" w:rsidR="00A200ED">
        <w:rPr>
          <w:rFonts w:ascii="Times New Roman" w:hAnsi="Times New Roman" w:cs="Times New Roman"/>
          <w:b/>
          <w:sz w:val="24"/>
          <w:szCs w:val="24"/>
          <w:lang w:val="es-PE" w:eastAsia="ar-SA"/>
        </w:rPr>
        <w:t>50</w:t>
      </w:r>
      <w:r w:rsidRPr="0090308F" w:rsidR="00C671F5">
        <w:rPr>
          <w:rFonts w:ascii="Times New Roman" w:hAnsi="Times New Roman" w:cs="Times New Roman"/>
          <w:b/>
          <w:sz w:val="24"/>
          <w:szCs w:val="24"/>
          <w:lang w:val="es-PE" w:eastAsia="ar-SA"/>
        </w:rPr>
        <w:t>/2</w:t>
      </w:r>
      <w:r w:rsidRPr="0090308F" w:rsidR="00B93C7A">
        <w:rPr>
          <w:rFonts w:ascii="Times New Roman" w:hAnsi="Times New Roman" w:cs="Times New Roman"/>
          <w:b/>
          <w:sz w:val="24"/>
          <w:szCs w:val="24"/>
          <w:lang w:val="es-PE" w:eastAsia="ar-SA"/>
        </w:rPr>
        <w:t>2</w:t>
      </w:r>
    </w:p>
    <w:p w:rsidRPr="0090308F" w:rsidR="0090308F" w:rsidP="0090308F" w:rsidRDefault="0090308F" w14:paraId="03D8450F"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90308F">
        <w:rPr>
          <w:rFonts w:ascii="Times New Roman" w:hAnsi="Times New Roman" w:eastAsia="Times New Roman" w:cs="Times New Roman"/>
          <w:b/>
          <w:bCs/>
          <w:sz w:val="24"/>
          <w:szCs w:val="24"/>
          <w:lang w:val="es-MX" w:eastAsia="ar-SA"/>
        </w:rPr>
        <w:t>Vistos:</w:t>
      </w:r>
    </w:p>
    <w:p w:rsidRPr="0090308F" w:rsidR="0090308F" w:rsidP="0090308F" w:rsidRDefault="0090308F" w14:paraId="1ADDF338"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90308F">
        <w:rPr>
          <w:rFonts w:ascii="Times New Roman" w:hAnsi="Times New Roman" w:eastAsia="Times New Roman" w:cs="Times New Roman"/>
          <w:b/>
          <w:bCs/>
          <w:sz w:val="24"/>
          <w:szCs w:val="24"/>
          <w:lang w:val="es-MX" w:eastAsia="ar-SA"/>
        </w:rPr>
        <w:t xml:space="preserve">   </w:t>
      </w:r>
    </w:p>
    <w:p w:rsidRPr="0090308F" w:rsidR="0090308F" w:rsidP="0090308F" w:rsidRDefault="0090308F" w14:paraId="4FC8699C" w14:textId="1E41CFB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1C1A30FD" w:rsidR="0090308F">
        <w:rPr>
          <w:rFonts w:ascii="Times New Roman" w:hAnsi="Times New Roman" w:eastAsia="Times New Roman" w:cs="Times New Roman"/>
          <w:sz w:val="24"/>
          <w:szCs w:val="24"/>
          <w:lang w:val="es-ES" w:eastAsia="ar-SA"/>
        </w:rPr>
        <w:t>El recurso de impugnación presentado con fecha 30 de mayo de 2022 por</w:t>
      </w:r>
      <w:r w:rsidRPr="1C1A30FD" w:rsidR="0090308F">
        <w:rPr>
          <w:rFonts w:ascii="Times New Roman" w:hAnsi="Times New Roman" w:cs="Times New Roman"/>
          <w:sz w:val="24"/>
          <w:szCs w:val="24"/>
          <w:lang w:val="es-ES"/>
        </w:rPr>
        <w:t xml:space="preserve"> </w:t>
      </w:r>
      <w:r w:rsidRPr="1C1A30FD" w:rsidR="18ACE126">
        <w:rPr>
          <w:rFonts w:ascii="Times New Roman" w:hAnsi="Times New Roman" w:cs="Times New Roman"/>
          <w:sz w:val="24"/>
          <w:szCs w:val="24"/>
          <w:lang w:val="es-ES"/>
        </w:rPr>
        <w:t>...................................</w:t>
      </w:r>
      <w:r w:rsidRPr="1C1A30FD" w:rsidR="0090308F">
        <w:rPr>
          <w:rFonts w:ascii="Times New Roman" w:hAnsi="Times New Roman" w:cs="Times New Roman"/>
          <w:sz w:val="24"/>
          <w:szCs w:val="24"/>
          <w:lang w:val="es-ES"/>
        </w:rPr>
        <w:t xml:space="preserve">, </w:t>
      </w:r>
      <w:r w:rsidRPr="1C1A30FD" w:rsidR="0090308F">
        <w:rPr>
          <w:rFonts w:ascii="Times New Roman" w:hAnsi="Times New Roman" w:eastAsia="Times New Roman" w:cs="Times New Roman"/>
          <w:sz w:val="24"/>
          <w:szCs w:val="24"/>
          <w:lang w:val="es-ES" w:eastAsia="ar-SA"/>
        </w:rPr>
        <w:t xml:space="preserve">respecto de la Resolución Nro. 107/22, de fecha 16 de mayo de 2022, emitida por esta Defensoría del Asegurado (DEFASEG), que declaró FUNDADA </w:t>
      </w:r>
      <w:r w:rsidRPr="1C1A30FD" w:rsidR="0090308F">
        <w:rPr>
          <w:rFonts w:ascii="Times New Roman" w:hAnsi="Times New Roman" w:eastAsia="Arial Unicode MS" w:cs="Times New Roman"/>
          <w:sz w:val="24"/>
          <w:szCs w:val="24"/>
          <w:lang w:val="es-PE"/>
        </w:rPr>
        <w:t xml:space="preserve">la reclamación interpuesta por doña </w:t>
      </w:r>
      <w:r w:rsidRPr="1C1A30FD" w:rsidR="1A47D81C">
        <w:rPr>
          <w:rFonts w:ascii="Times New Roman" w:hAnsi="Times New Roman" w:eastAsia="Times New Roman" w:cs="Times New Roman"/>
          <w:sz w:val="24"/>
          <w:szCs w:val="24"/>
          <w:lang w:val="es-PE" w:eastAsia="es-ES"/>
        </w:rPr>
        <w:t>.................................................</w:t>
      </w:r>
      <w:r w:rsidRPr="1C1A30FD" w:rsidR="0090308F">
        <w:rPr>
          <w:rFonts w:ascii="Times New Roman" w:hAnsi="Times New Roman" w:eastAsia="Times New Roman" w:cs="Times New Roman"/>
          <w:sz w:val="24"/>
          <w:szCs w:val="24"/>
          <w:lang w:val="es-PE" w:eastAsia="es-ES"/>
        </w:rPr>
        <w:t xml:space="preserve"> </w:t>
      </w:r>
      <w:r w:rsidRPr="1C1A30FD" w:rsidR="0090308F">
        <w:rPr>
          <w:rFonts w:ascii="Times New Roman" w:hAnsi="Times New Roman" w:cs="Times New Roman"/>
          <w:sz w:val="24"/>
          <w:szCs w:val="24"/>
          <w:lang w:val="es-ES"/>
        </w:rPr>
        <w:t>sobre</w:t>
      </w:r>
      <w:r w:rsidRPr="1C1A30FD" w:rsidR="0090308F">
        <w:rPr>
          <w:rFonts w:ascii="Times New Roman" w:hAnsi="Times New Roman" w:cs="Times New Roman"/>
          <w:sz w:val="24"/>
          <w:szCs w:val="24"/>
          <w:lang w:val="es-PE"/>
        </w:rPr>
        <w:t xml:space="preserve"> </w:t>
      </w:r>
      <w:r w:rsidRPr="1C1A30FD" w:rsidR="0090308F">
        <w:rPr>
          <w:rFonts w:ascii="Times New Roman" w:hAnsi="Times New Roman" w:eastAsia="Times New Roman" w:cs="Times New Roman"/>
          <w:sz w:val="24"/>
          <w:szCs w:val="24"/>
          <w:lang w:val="es-PE" w:eastAsia="es-ES"/>
        </w:rPr>
        <w:t xml:space="preserve">otorgamiento de cobertura al siniestro que corresponde a su situación de desempleo involuntario en la cual incurrió con fecha 28 de octubre de 2021, conforme al Seguro </w:t>
      </w:r>
      <w:r w:rsidRPr="1C1A30FD" w:rsidR="0090308F">
        <w:rPr>
          <w:rFonts w:ascii="Times New Roman" w:hAnsi="Times New Roman" w:cs="Times New Roman"/>
          <w:sz w:val="24"/>
          <w:szCs w:val="24"/>
          <w:lang w:val="es-PE"/>
        </w:rPr>
        <w:t xml:space="preserve">de Desgravamen / Póliza Nro. </w:t>
      </w:r>
      <w:r w:rsidRPr="1C1A30FD" w:rsidR="5A4103A8">
        <w:rPr>
          <w:rFonts w:ascii="Times New Roman" w:hAnsi="Times New Roman" w:cs="Times New Roman"/>
          <w:sz w:val="24"/>
          <w:szCs w:val="24"/>
          <w:lang w:val="es-PE"/>
        </w:rPr>
        <w:t>..............................</w:t>
      </w:r>
      <w:r w:rsidRPr="1C1A30FD" w:rsidR="0090308F">
        <w:rPr>
          <w:rFonts w:ascii="Times New Roman" w:hAnsi="Times New Roman" w:cs="Times New Roman"/>
          <w:sz w:val="24"/>
          <w:szCs w:val="24"/>
          <w:lang w:val="es-PE"/>
        </w:rPr>
        <w:t xml:space="preserve"> (grupal);</w:t>
      </w:r>
    </w:p>
    <w:p w:rsidRPr="0090308F" w:rsidR="0090308F" w:rsidP="0090308F" w:rsidRDefault="0090308F" w14:paraId="56885D56"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90308F" w:rsidR="0090308F" w:rsidP="1C1A30FD" w:rsidRDefault="0090308F" w14:paraId="48719A03" w14:textId="108BFC29">
      <w:pPr>
        <w:suppressAutoHyphens/>
        <w:spacing w:after="0" w:line="240" w:lineRule="auto"/>
        <w:jc w:val="both"/>
        <w:rPr>
          <w:rFonts w:ascii="Times New Roman" w:hAnsi="Times New Roman" w:eastAsia="Times New Roman" w:cs="Times New Roman"/>
          <w:sz w:val="24"/>
          <w:szCs w:val="24"/>
          <w:lang w:val="es-MX" w:eastAsia="ar-SA"/>
        </w:rPr>
      </w:pPr>
      <w:r w:rsidRPr="1C1A30FD" w:rsidR="0090308F">
        <w:rPr>
          <w:rFonts w:ascii="Times New Roman" w:hAnsi="Times New Roman" w:eastAsia="Times New Roman" w:cs="Times New Roman"/>
          <w:sz w:val="24"/>
          <w:szCs w:val="24"/>
          <w:lang w:val="es-MX" w:eastAsia="ar-SA"/>
        </w:rPr>
        <w:t xml:space="preserve">Que, a través del señalado recurso, </w:t>
      </w:r>
      <w:r w:rsidRPr="1C1A30FD" w:rsidR="18ACE126">
        <w:rPr>
          <w:rFonts w:ascii="Times New Roman" w:hAnsi="Times New Roman" w:cs="Times New Roman"/>
          <w:sz w:val="24"/>
          <w:szCs w:val="24"/>
          <w:lang w:val="es-ES"/>
        </w:rPr>
        <w:t>...................................</w:t>
      </w:r>
      <w:r w:rsidRPr="1C1A30FD" w:rsidR="0090308F">
        <w:rPr>
          <w:rFonts w:ascii="Times New Roman" w:hAnsi="Times New Roman" w:cs="Times New Roman"/>
          <w:sz w:val="24"/>
          <w:szCs w:val="24"/>
          <w:lang w:val="es-ES"/>
        </w:rPr>
        <w:t xml:space="preserve"> </w:t>
      </w:r>
      <w:r w:rsidRPr="1C1A30FD" w:rsidR="0090308F">
        <w:rPr>
          <w:rFonts w:ascii="Times New Roman" w:hAnsi="Times New Roman" w:eastAsia="Times New Roman" w:cs="Times New Roman"/>
          <w:sz w:val="24"/>
          <w:szCs w:val="24"/>
          <w:lang w:val="es-MX" w:eastAsia="ar-SA"/>
        </w:rPr>
        <w:t>cuestiona lo resuelto por este colegiado, destacando que no estaba obligada a otorgar la cobertura reclamada porque desde el 19 de octubre de 2021 el seguro de desgravamen ya no contemplaba dicha cobertura, según le fue informado a la asegurada mediante carta del 4 de setiembre de 2021; conforme a ello, al 28 de octubre de 2021 era imposible otorgar la cobertura reclamada;</w:t>
      </w:r>
    </w:p>
    <w:p w:rsidRPr="0090308F" w:rsidR="0090308F" w:rsidP="0090308F" w:rsidRDefault="0090308F" w14:paraId="492E42E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0308F" w:rsidR="0090308F" w:rsidP="1C1A30FD" w:rsidRDefault="0090308F" w14:paraId="0EC95B48" w14:textId="639723FC">
      <w:pPr>
        <w:suppressAutoHyphens/>
        <w:spacing w:after="0" w:line="240" w:lineRule="auto"/>
        <w:jc w:val="both"/>
        <w:rPr>
          <w:rFonts w:ascii="Times New Roman" w:hAnsi="Times New Roman" w:eastAsia="Times New Roman" w:cs="Times New Roman"/>
          <w:sz w:val="24"/>
          <w:szCs w:val="24"/>
          <w:lang w:val="es-MX" w:eastAsia="ar-SA"/>
        </w:rPr>
      </w:pPr>
      <w:r w:rsidRPr="1C1A30FD" w:rsidR="0090308F">
        <w:rPr>
          <w:rFonts w:ascii="Times New Roman" w:hAnsi="Times New Roman" w:eastAsia="Times New Roman" w:cs="Times New Roman"/>
          <w:sz w:val="24"/>
          <w:szCs w:val="24"/>
          <w:lang w:val="es-MX" w:eastAsia="ar-SA"/>
        </w:rPr>
        <w:t xml:space="preserve">Que, habiéndose corrido traslado de la señalada impugnación, la asegurada absolvió el respectivo trámite presentando un escrito con fecha 7 de junio de 2022, en el cual más allá de reiterar hechos ya expuestos en su oportunidad, solicita que </w:t>
      </w:r>
      <w:r w:rsidRPr="1C1A30FD" w:rsidR="3CFAB7E6">
        <w:rPr>
          <w:rFonts w:ascii="Times New Roman" w:hAnsi="Times New Roman" w:eastAsia="Times New Roman" w:cs="Times New Roman"/>
          <w:sz w:val="24"/>
          <w:szCs w:val="24"/>
          <w:lang w:val="es-MX" w:eastAsia="ar-SA"/>
        </w:rPr>
        <w:t>..........................</w:t>
      </w:r>
      <w:r w:rsidRPr="1C1A30FD" w:rsidR="0090308F">
        <w:rPr>
          <w:rFonts w:ascii="Times New Roman" w:hAnsi="Times New Roman" w:eastAsia="Times New Roman" w:cs="Times New Roman"/>
          <w:sz w:val="24"/>
          <w:szCs w:val="24"/>
          <w:lang w:val="es-MX" w:eastAsia="ar-SA"/>
        </w:rPr>
        <w:t xml:space="preserve"> pague el seguro a la brevedad, atendiendo a la duración que ha llevado el proceso y a los daños patrimoniales y morales causados a la asegurada;</w:t>
      </w:r>
    </w:p>
    <w:p w:rsidRPr="0090308F" w:rsidR="0090308F" w:rsidP="0090308F" w:rsidRDefault="0090308F" w14:paraId="5DBF97F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0308F" w:rsidR="0090308F" w:rsidP="1C1A30FD" w:rsidRDefault="0090308F" w14:paraId="1A3500FF" w14:textId="776B00C3">
      <w:pPr>
        <w:suppressAutoHyphens/>
        <w:spacing w:after="0" w:line="240" w:lineRule="auto"/>
        <w:jc w:val="both"/>
        <w:rPr>
          <w:rFonts w:ascii="Times New Roman" w:hAnsi="Times New Roman" w:eastAsia="Times New Roman" w:cs="Times New Roman"/>
          <w:sz w:val="24"/>
          <w:szCs w:val="24"/>
          <w:lang w:val="es-MX" w:eastAsia="ar-SA"/>
        </w:rPr>
      </w:pPr>
      <w:r w:rsidRPr="1C1A30FD" w:rsidR="0090308F">
        <w:rPr>
          <w:rFonts w:ascii="Times New Roman" w:hAnsi="Times New Roman" w:eastAsia="Times New Roman" w:cs="Times New Roman"/>
          <w:sz w:val="24"/>
          <w:szCs w:val="24"/>
          <w:lang w:val="es-MX" w:eastAsia="ar-SA"/>
        </w:rPr>
        <w:t xml:space="preserve">Que, con fecha 14 de junio de </w:t>
      </w:r>
      <w:r w:rsidRPr="1C1A30FD" w:rsidR="0090308F">
        <w:rPr>
          <w:rFonts w:ascii="Times New Roman" w:hAnsi="Times New Roman" w:eastAsia="Times New Roman" w:cs="Times New Roman"/>
          <w:sz w:val="24"/>
          <w:szCs w:val="24"/>
          <w:lang w:val="es-MX" w:eastAsia="ar-SA"/>
        </w:rPr>
        <w:t xml:space="preserve">2022, </w:t>
      </w:r>
      <w:r w:rsidRPr="1C1A30FD" w:rsidR="18ACE126">
        <w:rPr>
          <w:rFonts w:ascii="Times New Roman" w:hAnsi="Times New Roman" w:eastAsia="Times New Roman" w:cs="Times New Roman"/>
          <w:sz w:val="24"/>
          <w:szCs w:val="24"/>
          <w:lang w:val="es-MX" w:eastAsia="ar-SA"/>
        </w:rPr>
        <w:t>...................................</w:t>
      </w:r>
      <w:r w:rsidRPr="1C1A30FD" w:rsidR="0090308F">
        <w:rPr>
          <w:rFonts w:ascii="Times New Roman" w:hAnsi="Times New Roman" w:eastAsia="Times New Roman" w:cs="Times New Roman"/>
          <w:sz w:val="24"/>
          <w:szCs w:val="24"/>
          <w:lang w:val="es-MX" w:eastAsia="ar-SA"/>
        </w:rPr>
        <w:t xml:space="preserve"> presentó un escrito adicional, atendiendo a los descargos expresados por la asegurada, sin aportar argumento complementario a lo ya expuesto en su oportunidad, ni prueba adicional;</w:t>
      </w:r>
    </w:p>
    <w:p w:rsidRPr="0090308F" w:rsidR="0090308F" w:rsidP="0090308F" w:rsidRDefault="0090308F" w14:paraId="7E74078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0308F" w:rsidR="0090308F" w:rsidP="0090308F" w:rsidRDefault="0090308F" w14:paraId="4452D962" w14:textId="77777777">
      <w:pPr>
        <w:suppressAutoHyphens/>
        <w:spacing w:after="0" w:line="240" w:lineRule="auto"/>
        <w:jc w:val="both"/>
        <w:rPr>
          <w:rFonts w:ascii="Times New Roman" w:hAnsi="Times New Roman" w:cs="Times New Roman"/>
          <w:bCs/>
          <w:sz w:val="24"/>
          <w:szCs w:val="24"/>
          <w:lang w:val="es-ES"/>
        </w:rPr>
      </w:pPr>
      <w:r w:rsidRPr="0090308F">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90308F" w:rsidR="0090308F" w:rsidP="0090308F" w:rsidRDefault="0090308F" w14:paraId="396A55C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0308F" w:rsidR="0090308F" w:rsidP="0090308F" w:rsidRDefault="0090308F" w14:paraId="3F6875BA"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90308F">
        <w:rPr>
          <w:rFonts w:ascii="Times New Roman" w:hAnsi="Times New Roman" w:eastAsia="Times New Roman" w:cs="Times New Roman"/>
          <w:b/>
          <w:bCs/>
          <w:sz w:val="24"/>
          <w:szCs w:val="24"/>
          <w:lang w:val="es-MX" w:eastAsia="ar-SA"/>
        </w:rPr>
        <w:t>Considerando:</w:t>
      </w:r>
    </w:p>
    <w:p w:rsidRPr="0090308F" w:rsidR="0090308F" w:rsidP="0090308F" w:rsidRDefault="0090308F" w14:paraId="25792548" w14:textId="77777777">
      <w:pPr>
        <w:suppressAutoHyphens/>
        <w:spacing w:after="0" w:line="240" w:lineRule="auto"/>
        <w:jc w:val="both"/>
        <w:rPr>
          <w:rFonts w:ascii="Times New Roman" w:hAnsi="Times New Roman" w:eastAsia="Times New Roman" w:cs="Times New Roman"/>
          <w:sz w:val="24"/>
          <w:szCs w:val="24"/>
          <w:lang w:val="es-ES" w:eastAsia="ar-SA"/>
        </w:rPr>
      </w:pPr>
    </w:p>
    <w:p w:rsidRPr="0090308F" w:rsidR="0090308F" w:rsidP="0090308F" w:rsidRDefault="0090308F" w14:paraId="3398044A" w14:textId="77777777">
      <w:pPr>
        <w:spacing w:after="0" w:line="240" w:lineRule="auto"/>
        <w:jc w:val="both"/>
        <w:rPr>
          <w:rFonts w:ascii="Times New Roman" w:hAnsi="Times New Roman" w:cs="Times New Roman"/>
          <w:sz w:val="24"/>
          <w:szCs w:val="24"/>
          <w:lang w:val="es-PE"/>
        </w:rPr>
      </w:pPr>
      <w:r w:rsidRPr="0090308F">
        <w:rPr>
          <w:rFonts w:ascii="Times New Roman" w:hAnsi="Times New Roman" w:cs="Times New Roman"/>
          <w:b/>
          <w:sz w:val="24"/>
          <w:szCs w:val="24"/>
          <w:u w:val="single"/>
          <w:lang w:val="es-PE"/>
        </w:rPr>
        <w:t>Primero</w:t>
      </w:r>
      <w:r w:rsidRPr="0090308F">
        <w:rPr>
          <w:rFonts w:ascii="Times New Roman" w:hAnsi="Times New Roman" w:cs="Times New Roman"/>
          <w:b/>
          <w:sz w:val="24"/>
          <w:szCs w:val="24"/>
          <w:lang w:val="es-PE"/>
        </w:rPr>
        <w:t>:</w:t>
      </w:r>
      <w:r w:rsidRPr="0090308F">
        <w:rPr>
          <w:rFonts w:ascii="Times New Roman" w:hAnsi="Times New Roman" w:cs="Times New Roman"/>
          <w:sz w:val="24"/>
          <w:szCs w:val="24"/>
          <w:lang w:val="es-PE"/>
        </w:rPr>
        <w:t xml:space="preserve"> El Reglamento de la DEFASEG </w:t>
      </w:r>
      <w:r w:rsidRPr="0090308F">
        <w:rPr>
          <w:rFonts w:ascii="Times New Roman" w:hAnsi="Times New Roman" w:eastAsia="Arial Unicode MS" w:cs="Times New Roman"/>
          <w:sz w:val="24"/>
          <w:szCs w:val="24"/>
          <w:lang w:val="es-PE"/>
        </w:rPr>
        <w:t xml:space="preserve">(http://www.defaseg.com.pe/reglamento), en su artículo 10, </w:t>
      </w:r>
      <w:r w:rsidRPr="0090308F">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90308F">
        <w:rPr>
          <w:rFonts w:ascii="Times New Roman" w:hAnsi="Times New Roman" w:cs="Times New Roman"/>
          <w:sz w:val="24"/>
          <w:szCs w:val="24"/>
          <w:lang w:val="es-ES"/>
        </w:rPr>
        <w:t>usuario de seguro recurre en forma voluntaria a la Defensoría, siendo que la presentación de una reclamación n</w:t>
      </w:r>
      <w:r w:rsidRPr="0090308F">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90308F">
        <w:rPr>
          <w:rFonts w:ascii="Times New Roman" w:hAnsi="Times New Roman" w:cs="Times New Roman"/>
          <w:sz w:val="24"/>
          <w:szCs w:val="24"/>
          <w:lang w:val="es-PE"/>
        </w:rPr>
        <w:t>De acuerdo a</w:t>
      </w:r>
      <w:proofErr w:type="gramEnd"/>
      <w:r w:rsidRPr="0090308F">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90308F" w:rsidR="0090308F" w:rsidP="0090308F" w:rsidRDefault="0090308F" w14:paraId="69E94925" w14:textId="77777777">
      <w:pPr>
        <w:spacing w:after="0" w:line="240" w:lineRule="auto"/>
        <w:jc w:val="both"/>
        <w:rPr>
          <w:rFonts w:ascii="Times New Roman" w:hAnsi="Times New Roman" w:cs="Times New Roman"/>
          <w:sz w:val="24"/>
          <w:szCs w:val="24"/>
          <w:lang w:val="es-PE"/>
        </w:rPr>
      </w:pPr>
    </w:p>
    <w:p w:rsidRPr="0090308F" w:rsidR="0090308F" w:rsidP="0090308F" w:rsidRDefault="0090308F" w14:paraId="35A80E79" w14:textId="77777777">
      <w:pPr>
        <w:tabs>
          <w:tab w:val="left" w:pos="0"/>
          <w:tab w:val="left" w:pos="2160"/>
        </w:tabs>
        <w:spacing w:after="0" w:line="240" w:lineRule="auto"/>
        <w:jc w:val="both"/>
        <w:rPr>
          <w:rFonts w:ascii="Times New Roman" w:hAnsi="Times New Roman" w:cs="Times New Roman"/>
          <w:sz w:val="24"/>
          <w:szCs w:val="24"/>
          <w:lang w:val="es-ES"/>
        </w:rPr>
      </w:pPr>
      <w:r w:rsidRPr="0090308F">
        <w:rPr>
          <w:rFonts w:ascii="Times New Roman" w:hAnsi="Times New Roman" w:cs="Times New Roman"/>
          <w:b/>
          <w:sz w:val="24"/>
          <w:szCs w:val="24"/>
          <w:u w:val="single"/>
          <w:lang w:val="es-PE"/>
        </w:rPr>
        <w:t>Segundo</w:t>
      </w:r>
      <w:r w:rsidRPr="0090308F">
        <w:rPr>
          <w:rFonts w:ascii="Times New Roman" w:hAnsi="Times New Roman" w:cs="Times New Roman"/>
          <w:b/>
          <w:sz w:val="24"/>
          <w:szCs w:val="24"/>
          <w:lang w:val="es-PE"/>
        </w:rPr>
        <w:t>:</w:t>
      </w:r>
      <w:r w:rsidRPr="0090308F">
        <w:rPr>
          <w:rFonts w:ascii="Times New Roman" w:hAnsi="Times New Roman" w:cs="Times New Roman"/>
          <w:sz w:val="24"/>
          <w:szCs w:val="24"/>
          <w:lang w:val="es-PE"/>
        </w:rPr>
        <w:t xml:space="preserve"> Atendiendo a los fundamentos de la impugnación interpuesta, se advierte finalmente que no se</w:t>
      </w:r>
      <w:r w:rsidRPr="0090308F">
        <w:rPr>
          <w:rFonts w:ascii="Times New Roman" w:hAnsi="Times New Roman" w:cs="Times New Roman"/>
          <w:bCs/>
          <w:sz w:val="24"/>
          <w:szCs w:val="24"/>
          <w:lang w:val="es-PE"/>
        </w:rPr>
        <w:t xml:space="preserve"> expone ni acredita nuevo argumento que desautorice lo resuelto, de manera que el </w:t>
      </w:r>
      <w:r w:rsidRPr="0090308F">
        <w:rPr>
          <w:rFonts w:ascii="Times New Roman" w:hAnsi="Times New Roman" w:cs="Times New Roman"/>
          <w:sz w:val="24"/>
          <w:szCs w:val="24"/>
          <w:lang w:val="es-ES"/>
        </w:rPr>
        <w:t xml:space="preserve">recurso impugnativo bien puede ser categorizado, por su contenido mismo, como una solicitud de revisión general, sustentada exclusivamente en el criterio de la asegurada, sin aportar medio </w:t>
      </w:r>
      <w:r w:rsidRPr="0090308F">
        <w:rPr>
          <w:rFonts w:ascii="Times New Roman" w:hAnsi="Times New Roman" w:cs="Times New Roman"/>
          <w:sz w:val="24"/>
          <w:szCs w:val="24"/>
          <w:lang w:val="es-ES"/>
        </w:rPr>
        <w:t>probatorio que permita efectivamente concluir que este colegiado incurrió en un error o vicio al momento de resolver.  En efecto, de la lectura del recurso impugnativo se aprecia dicha disconformidad, descalificándose lo resuelto por la DEFASEG por el solo hecho que no se ha aceptado ni se comparte los argumentos de la aseguradora.</w:t>
      </w:r>
    </w:p>
    <w:p w:rsidRPr="0090308F" w:rsidR="0090308F" w:rsidP="0090308F" w:rsidRDefault="0090308F" w14:paraId="0B3FFF5E" w14:textId="77777777">
      <w:pPr>
        <w:tabs>
          <w:tab w:val="left" w:pos="0"/>
          <w:tab w:val="left" w:pos="2160"/>
        </w:tabs>
        <w:spacing w:after="0" w:line="240" w:lineRule="auto"/>
        <w:jc w:val="both"/>
        <w:rPr>
          <w:rFonts w:ascii="Times New Roman" w:hAnsi="Times New Roman" w:cs="Times New Roman"/>
          <w:sz w:val="24"/>
          <w:szCs w:val="24"/>
          <w:lang w:val="es-ES"/>
        </w:rPr>
      </w:pPr>
    </w:p>
    <w:p w:rsidRPr="0090308F" w:rsidR="0090308F" w:rsidP="0090308F" w:rsidRDefault="0090308F" w14:paraId="31347099" w14:textId="3DB327B5">
      <w:pPr>
        <w:tabs>
          <w:tab w:val="left" w:pos="0"/>
          <w:tab w:val="left" w:pos="2160"/>
        </w:tabs>
        <w:spacing w:after="0" w:line="240" w:lineRule="auto"/>
        <w:jc w:val="both"/>
        <w:rPr>
          <w:rFonts w:ascii="Times New Roman" w:hAnsi="Times New Roman" w:cs="Times New Roman"/>
          <w:sz w:val="24"/>
          <w:szCs w:val="24"/>
          <w:lang w:val="es-ES"/>
        </w:rPr>
      </w:pPr>
      <w:r w:rsidRPr="1C1A30FD" w:rsidR="0090308F">
        <w:rPr>
          <w:rFonts w:ascii="Times New Roman" w:hAnsi="Times New Roman" w:cs="Times New Roman"/>
          <w:b w:val="1"/>
          <w:bCs w:val="1"/>
          <w:sz w:val="24"/>
          <w:szCs w:val="24"/>
          <w:u w:val="single"/>
          <w:lang w:val="es-PE"/>
        </w:rPr>
        <w:t>Tercero</w:t>
      </w:r>
      <w:r w:rsidRPr="1C1A30FD" w:rsidR="0090308F">
        <w:rPr>
          <w:rFonts w:ascii="Times New Roman" w:hAnsi="Times New Roman" w:cs="Times New Roman"/>
          <w:b w:val="1"/>
          <w:bCs w:val="1"/>
          <w:sz w:val="24"/>
          <w:szCs w:val="24"/>
          <w:lang w:val="es-PE"/>
        </w:rPr>
        <w:t xml:space="preserve">: </w:t>
      </w:r>
      <w:r w:rsidRPr="1C1A30FD" w:rsidR="0090308F">
        <w:rPr>
          <w:rFonts w:ascii="Times New Roman" w:hAnsi="Times New Roman" w:cs="Times New Roman"/>
          <w:sz w:val="24"/>
          <w:szCs w:val="24"/>
          <w:lang w:val="es-ES"/>
        </w:rPr>
        <w:t xml:space="preserve">Se deja expresa constancia que, haciendo referencia a la comunicación señalada por </w:t>
      </w:r>
      <w:r w:rsidRPr="1C1A30FD" w:rsidR="18ACE126">
        <w:rPr>
          <w:rFonts w:ascii="Times New Roman" w:hAnsi="Times New Roman" w:cs="Times New Roman"/>
          <w:sz w:val="24"/>
          <w:szCs w:val="24"/>
          <w:lang w:val="es-ES"/>
        </w:rPr>
        <w:t>...................................</w:t>
      </w:r>
      <w:r w:rsidRPr="1C1A30FD" w:rsidR="0090308F">
        <w:rPr>
          <w:rFonts w:ascii="Times New Roman" w:hAnsi="Times New Roman" w:cs="Times New Roman"/>
          <w:sz w:val="24"/>
          <w:szCs w:val="24"/>
          <w:lang w:val="es-ES"/>
        </w:rPr>
        <w:t xml:space="preserve"> en su recurso impugnativo, la resolución recurrida se sustenta en lo siguiente:</w:t>
      </w:r>
    </w:p>
    <w:p w:rsidRPr="0090308F" w:rsidR="0090308F" w:rsidP="0090308F" w:rsidRDefault="0090308F" w14:paraId="43D060F1" w14:textId="77777777">
      <w:pPr>
        <w:tabs>
          <w:tab w:val="left" w:pos="0"/>
          <w:tab w:val="left" w:pos="2160"/>
        </w:tabs>
        <w:spacing w:after="0" w:line="240" w:lineRule="auto"/>
        <w:jc w:val="both"/>
        <w:rPr>
          <w:rFonts w:ascii="Times New Roman" w:hAnsi="Times New Roman" w:cs="Times New Roman"/>
          <w:sz w:val="24"/>
          <w:szCs w:val="24"/>
          <w:lang w:val="es-ES"/>
        </w:rPr>
      </w:pPr>
    </w:p>
    <w:p w:rsidRPr="0090308F" w:rsidR="0090308F" w:rsidP="1C1A30FD" w:rsidRDefault="0090308F" w14:paraId="2C23E2B5" w14:textId="5DA9AB2F">
      <w:pPr>
        <w:tabs>
          <w:tab w:val="left" w:pos="1418"/>
          <w:tab w:val="left" w:pos="2160"/>
        </w:tabs>
        <w:spacing w:after="0" w:line="240" w:lineRule="auto"/>
        <w:ind w:left="1418" w:hanging="709"/>
        <w:jc w:val="both"/>
        <w:rPr>
          <w:rFonts w:ascii="Times New Roman" w:hAnsi="Times New Roman" w:cs="Times New Roman"/>
          <w:i w:val="1"/>
          <w:iCs w:val="1"/>
          <w:sz w:val="24"/>
          <w:szCs w:val="24"/>
          <w:lang w:val="es-PE" w:eastAsia="es-ES"/>
        </w:rPr>
      </w:pPr>
      <w:r w:rsidRPr="0090308F">
        <w:rPr>
          <w:rFonts w:ascii="Times New Roman" w:hAnsi="Times New Roman" w:cs="Times New Roman"/>
          <w:sz w:val="24"/>
          <w:szCs w:val="24"/>
          <w:lang w:val="es-PE" w:eastAsia="es-ES"/>
        </w:rPr>
        <w:tab/>
      </w:r>
      <w:r w:rsidRPr="1C1A30FD" w:rsidR="0090308F">
        <w:rPr>
          <w:rFonts w:ascii="Times New Roman" w:hAnsi="Times New Roman" w:cs="Times New Roman"/>
          <w:i w:val="1"/>
          <w:iCs w:val="1"/>
          <w:sz w:val="24"/>
          <w:szCs w:val="24"/>
          <w:lang w:val="es-PE" w:eastAsia="es-ES"/>
        </w:rPr>
        <w:t xml:space="preserve">“Por las referencias y plazos pareciera que se trata de la carta relativa a la renovación bajo nuevas condiciones, en acatamiento del artículo 7 de la Ley Nro. 29946.  No </w:t>
      </w:r>
      <w:r w:rsidRPr="1C1A30FD" w:rsidR="0090308F">
        <w:rPr>
          <w:rFonts w:ascii="Times New Roman" w:hAnsi="Times New Roman" w:cs="Times New Roman"/>
          <w:i w:val="1"/>
          <w:iCs w:val="1"/>
          <w:sz w:val="24"/>
          <w:szCs w:val="24"/>
          <w:lang w:val="es-PE" w:eastAsia="es-ES"/>
        </w:rPr>
        <w:t>obstante</w:t>
      </w:r>
      <w:r w:rsidRPr="1C1A30FD" w:rsidR="0090308F">
        <w:rPr>
          <w:rFonts w:ascii="Times New Roman" w:hAnsi="Times New Roman" w:cs="Times New Roman"/>
          <w:i w:val="1"/>
          <w:iCs w:val="1"/>
          <w:sz w:val="24"/>
          <w:szCs w:val="24"/>
          <w:lang w:val="es-PE" w:eastAsia="es-ES"/>
        </w:rPr>
        <w:t xml:space="preserve"> ello, lo cierto es que no está probado que la póliza bajo comentario fuese de renovación anual al 19 de octubre ni al 18 de noviembre, siendo más bien, </w:t>
      </w:r>
      <w:r w:rsidRPr="1C1A30FD" w:rsidR="0090308F">
        <w:rPr>
          <w:rFonts w:ascii="Times New Roman" w:hAnsi="Times New Roman" w:cs="Times New Roman"/>
          <w:i w:val="1"/>
          <w:iCs w:val="1"/>
          <w:sz w:val="24"/>
          <w:szCs w:val="24"/>
          <w:lang w:val="es-PE" w:eastAsia="es-ES"/>
        </w:rPr>
        <w:t xml:space="preserve">de acuerdo a</w:t>
      </w:r>
      <w:r w:rsidRPr="1C1A30FD" w:rsidR="0090308F">
        <w:rPr>
          <w:rFonts w:ascii="Times New Roman" w:hAnsi="Times New Roman" w:cs="Times New Roman"/>
          <w:i w:val="1"/>
          <w:iCs w:val="1"/>
          <w:sz w:val="24"/>
          <w:szCs w:val="24"/>
          <w:lang w:val="es-PE" w:eastAsia="es-ES"/>
        </w:rPr>
        <w:t xml:space="preserve"> los propios documentos presentados por la aseguradora, dicha renovación sería al 18 de mayo de cada año, según lo concluido anteriormente.  Siendo así, es más que manifiesto que la propuesta de modificación (la carta de la aseguradora da a entender que se trata de las nuevas condiciones para la renovación, acompañando inclusive el respectivo certificado) no aplicaba para la renovación por el período mayo 2021 – mayo 2022, dentro del cual se produjo el siniestro.  Y si la renovación era al 19 de octubre, debe destacarse que ello no ha sido demostrado documentalmente por la aseguradora, sobre la cual reposa la respectiva carga probatoria, pese a que se trató sobre un tema discutido en la audiencia de vista, por lo que corresponde </w:t>
      </w:r>
      <w:r w:rsidRPr="1C1A30FD" w:rsidR="0090308F">
        <w:rPr>
          <w:rFonts w:ascii="Times New Roman" w:hAnsi="Times New Roman" w:cs="Times New Roman"/>
          <w:i w:val="1"/>
          <w:iCs w:val="1"/>
          <w:sz w:val="24"/>
          <w:szCs w:val="24"/>
          <w:lang w:val="es-PE" w:eastAsia="es-ES"/>
        </w:rPr>
        <w:t xml:space="preserve">que </w:t>
      </w:r>
      <w:r w:rsidRPr="1C1A30FD" w:rsidR="18ACE126">
        <w:rPr>
          <w:rFonts w:ascii="Times New Roman" w:hAnsi="Times New Roman" w:cs="Times New Roman"/>
          <w:i w:val="1"/>
          <w:iCs w:val="1"/>
          <w:sz w:val="24"/>
          <w:szCs w:val="24"/>
          <w:lang w:val="es-PE" w:eastAsia="es-ES"/>
        </w:rPr>
        <w:t xml:space="preserve">...................................</w:t>
      </w:r>
      <w:r w:rsidRPr="1C1A30FD" w:rsidR="0090308F">
        <w:rPr>
          <w:rFonts w:ascii="Times New Roman" w:hAnsi="Times New Roman" w:cs="Times New Roman"/>
          <w:i w:val="1"/>
          <w:iCs w:val="1"/>
          <w:sz w:val="24"/>
          <w:szCs w:val="24"/>
          <w:lang w:val="es-PE" w:eastAsia="es-ES"/>
        </w:rPr>
        <w:t xml:space="preserve"> asuma las consecuencias de la omisión incurrida.</w:t>
      </w:r>
    </w:p>
    <w:p w:rsidRPr="0090308F" w:rsidR="0090308F" w:rsidP="0090308F" w:rsidRDefault="0090308F" w14:paraId="77BCF578" w14:textId="77777777">
      <w:pPr>
        <w:tabs>
          <w:tab w:val="left" w:pos="1418"/>
          <w:tab w:val="left" w:pos="2160"/>
        </w:tabs>
        <w:spacing w:after="0" w:line="240" w:lineRule="auto"/>
        <w:ind w:left="1418" w:hanging="709"/>
        <w:jc w:val="both"/>
        <w:rPr>
          <w:rFonts w:ascii="Times New Roman" w:hAnsi="Times New Roman" w:cs="Times New Roman"/>
          <w:i/>
          <w:iCs/>
          <w:sz w:val="24"/>
          <w:szCs w:val="24"/>
          <w:lang w:val="es-PE" w:eastAsia="es-ES"/>
        </w:rPr>
      </w:pPr>
    </w:p>
    <w:p w:rsidRPr="0090308F" w:rsidR="0090308F" w:rsidP="0090308F" w:rsidRDefault="0090308F" w14:paraId="2721F3E2" w14:textId="77777777">
      <w:pPr>
        <w:tabs>
          <w:tab w:val="left" w:pos="1418"/>
          <w:tab w:val="left" w:pos="2160"/>
        </w:tabs>
        <w:spacing w:after="0" w:line="240" w:lineRule="auto"/>
        <w:ind w:left="1418" w:hanging="709"/>
        <w:jc w:val="both"/>
        <w:rPr>
          <w:rFonts w:ascii="Times New Roman" w:hAnsi="Times New Roman" w:cs="Times New Roman"/>
          <w:i/>
          <w:iCs/>
          <w:sz w:val="24"/>
          <w:szCs w:val="24"/>
          <w:lang w:val="es-PE" w:eastAsia="es-ES"/>
        </w:rPr>
      </w:pPr>
      <w:r w:rsidRPr="0090308F">
        <w:rPr>
          <w:rFonts w:ascii="Times New Roman" w:hAnsi="Times New Roman" w:cs="Times New Roman"/>
          <w:i/>
          <w:iCs/>
          <w:sz w:val="24"/>
          <w:szCs w:val="24"/>
          <w:lang w:val="es-PE" w:eastAsia="es-ES"/>
        </w:rPr>
        <w:t>8.2.</w:t>
      </w:r>
      <w:r w:rsidRPr="0090308F">
        <w:rPr>
          <w:rFonts w:ascii="Times New Roman" w:hAnsi="Times New Roman" w:cs="Times New Roman"/>
          <w:i/>
          <w:iCs/>
          <w:sz w:val="24"/>
          <w:szCs w:val="24"/>
          <w:lang w:val="es-PE" w:eastAsia="es-ES"/>
        </w:rPr>
        <w:tab/>
      </w:r>
      <w:r w:rsidRPr="0090308F">
        <w:rPr>
          <w:rFonts w:ascii="Times New Roman" w:hAnsi="Times New Roman" w:cs="Times New Roman"/>
          <w:i/>
          <w:iCs/>
          <w:sz w:val="24"/>
          <w:szCs w:val="24"/>
          <w:lang w:val="es-PE" w:eastAsia="es-ES"/>
        </w:rPr>
        <w:t>El artículo 30 establece que durante la vigencia contractual la aseguradora no puede modificar los términos y condiciones el contrato sin contar con la aprobación previa y expresa del contratante, quien dispone de 30 días desde que se le comunica de la propuesta.  El silencio, en este caso, no significa aprobación tácita.  De no contarse con la necesaria aprobación expresa, se mantienen las condiciones del contrato por su plazo de vigencia.</w:t>
      </w:r>
    </w:p>
    <w:p w:rsidRPr="0090308F" w:rsidR="0090308F" w:rsidP="0090308F" w:rsidRDefault="0090308F" w14:paraId="5C95DF2B" w14:textId="77777777">
      <w:pPr>
        <w:tabs>
          <w:tab w:val="left" w:pos="1418"/>
          <w:tab w:val="left" w:pos="2160"/>
        </w:tabs>
        <w:spacing w:after="0" w:line="240" w:lineRule="auto"/>
        <w:ind w:left="1418" w:hanging="709"/>
        <w:jc w:val="both"/>
        <w:rPr>
          <w:rFonts w:ascii="Times New Roman" w:hAnsi="Times New Roman" w:cs="Times New Roman"/>
          <w:i/>
          <w:iCs/>
          <w:sz w:val="24"/>
          <w:szCs w:val="24"/>
          <w:lang w:val="es-PE" w:eastAsia="es-ES"/>
        </w:rPr>
      </w:pPr>
    </w:p>
    <w:p w:rsidRPr="0090308F" w:rsidR="0090308F" w:rsidP="1C1A30FD" w:rsidRDefault="0090308F" w14:paraId="7C9F6C0E" w14:textId="116E3C29">
      <w:pPr>
        <w:tabs>
          <w:tab w:val="left" w:pos="1418"/>
          <w:tab w:val="left" w:pos="2160"/>
        </w:tabs>
        <w:spacing w:after="0" w:line="240" w:lineRule="auto"/>
        <w:ind w:left="1418" w:hanging="709"/>
        <w:jc w:val="both"/>
        <w:rPr>
          <w:rFonts w:ascii="Times New Roman" w:hAnsi="Times New Roman" w:cs="Times New Roman"/>
          <w:i w:val="1"/>
          <w:iCs w:val="1"/>
          <w:sz w:val="24"/>
          <w:szCs w:val="24"/>
          <w:lang w:val="es-PE" w:eastAsia="es-ES"/>
        </w:rPr>
      </w:pPr>
      <w:r w:rsidRPr="0090308F">
        <w:rPr>
          <w:rFonts w:ascii="Times New Roman" w:hAnsi="Times New Roman" w:cs="Times New Roman"/>
          <w:i/>
          <w:iCs/>
          <w:sz w:val="24"/>
          <w:szCs w:val="24"/>
          <w:lang w:val="es-PE" w:eastAsia="es-ES"/>
        </w:rPr>
        <w:tab/>
      </w:r>
      <w:r w:rsidRPr="1C1A30FD" w:rsidR="0090308F">
        <w:rPr>
          <w:rFonts w:ascii="Times New Roman" w:hAnsi="Times New Roman" w:cs="Times New Roman"/>
          <w:i w:val="1"/>
          <w:iCs w:val="1"/>
          <w:sz w:val="24"/>
          <w:szCs w:val="24"/>
          <w:lang w:val="es-PE" w:eastAsia="es-ES"/>
        </w:rPr>
        <w:t xml:space="preserve">En atención a las fechas anteriormente señaladas, asumiendo que la póliza se contrató y se renueva al 18 de mayo de cada año, ésta sería aparentemente la situación relativa a la reclamación.  Así, durante la vigencia de la póliza, por el período 18 de mayo 2021 a 18 de mayo </w:t>
      </w:r>
      <w:r w:rsidRPr="1C1A30FD" w:rsidR="0090308F">
        <w:rPr>
          <w:rFonts w:ascii="Times New Roman" w:hAnsi="Times New Roman" w:cs="Times New Roman"/>
          <w:i w:val="1"/>
          <w:iCs w:val="1"/>
          <w:sz w:val="24"/>
          <w:szCs w:val="24"/>
          <w:lang w:val="es-PE" w:eastAsia="es-ES"/>
        </w:rPr>
        <w:t xml:space="preserve">2022, </w:t>
      </w:r>
      <w:r w:rsidRPr="1C1A30FD" w:rsidR="18ACE126">
        <w:rPr>
          <w:rFonts w:ascii="Times New Roman" w:hAnsi="Times New Roman" w:cs="Times New Roman"/>
          <w:i w:val="1"/>
          <w:iCs w:val="1"/>
          <w:sz w:val="24"/>
          <w:szCs w:val="24"/>
          <w:lang w:val="es-PE" w:eastAsia="es-ES"/>
        </w:rPr>
        <w:t>...................................</w:t>
      </w:r>
      <w:r w:rsidRPr="1C1A30FD" w:rsidR="0090308F">
        <w:rPr>
          <w:rFonts w:ascii="Times New Roman" w:hAnsi="Times New Roman" w:cs="Times New Roman"/>
          <w:i w:val="1"/>
          <w:iCs w:val="1"/>
          <w:sz w:val="24"/>
          <w:szCs w:val="24"/>
          <w:lang w:val="es-PE" w:eastAsia="es-ES"/>
        </w:rPr>
        <w:t xml:space="preserve"> propuso reducir las cobertu</w:t>
      </w:r>
      <w:r w:rsidRPr="1C1A30FD" w:rsidR="0090308F">
        <w:rPr>
          <w:rFonts w:ascii="Times New Roman" w:hAnsi="Times New Roman" w:cs="Times New Roman"/>
          <w:i w:val="1"/>
          <w:iCs w:val="1"/>
          <w:sz w:val="24"/>
          <w:szCs w:val="24"/>
          <w:lang w:val="es-PE" w:eastAsia="es-ES"/>
        </w:rPr>
        <w:t>ras.  S</w:t>
      </w:r>
      <w:r w:rsidRPr="1C1A30FD" w:rsidR="0090308F">
        <w:rPr>
          <w:rFonts w:ascii="Times New Roman" w:hAnsi="Times New Roman" w:cs="Times New Roman"/>
          <w:i w:val="1"/>
          <w:iCs w:val="1"/>
          <w:sz w:val="24"/>
          <w:szCs w:val="24"/>
          <w:lang w:val="es-PE" w:eastAsia="es-ES"/>
        </w:rPr>
        <w:t xml:space="preserve">iendo que </w:t>
      </w:r>
      <w:r w:rsidRPr="1C1A30FD" w:rsidR="18ACE126">
        <w:rPr>
          <w:rFonts w:ascii="Times New Roman" w:hAnsi="Times New Roman" w:cs="Times New Roman"/>
          <w:i w:val="1"/>
          <w:iCs w:val="1"/>
          <w:sz w:val="24"/>
          <w:szCs w:val="24"/>
          <w:lang w:val="es-PE" w:eastAsia="es-ES"/>
        </w:rPr>
        <w:t>...................................</w:t>
      </w:r>
      <w:r w:rsidRPr="1C1A30FD" w:rsidR="0090308F">
        <w:rPr>
          <w:rFonts w:ascii="Times New Roman" w:hAnsi="Times New Roman" w:cs="Times New Roman"/>
          <w:i w:val="1"/>
          <w:iCs w:val="1"/>
          <w:sz w:val="24"/>
          <w:szCs w:val="24"/>
          <w:lang w:val="es-PE" w:eastAsia="es-ES"/>
        </w:rPr>
        <w:t xml:space="preserve"> no ha demostrado que haya habido aceptación previa y expresa de la asegurada, debe asumirse que la pretendida modificación no operó, por lo que la póliza se mantuvo bajo los términos y condiciones bajo los cuales fue renovada anualmente en su oportunidad, lo que incluye la cobertura relativa al desempleo involuntario.</w:t>
      </w:r>
    </w:p>
    <w:p w:rsidRPr="0090308F" w:rsidR="0090308F" w:rsidP="0090308F" w:rsidRDefault="0090308F" w14:paraId="0B014375" w14:textId="77777777">
      <w:pPr>
        <w:tabs>
          <w:tab w:val="left" w:pos="1418"/>
          <w:tab w:val="left" w:pos="2160"/>
        </w:tabs>
        <w:spacing w:after="0" w:line="240" w:lineRule="auto"/>
        <w:ind w:left="1418" w:hanging="709"/>
        <w:jc w:val="both"/>
        <w:rPr>
          <w:rFonts w:ascii="Times New Roman" w:hAnsi="Times New Roman" w:cs="Times New Roman"/>
          <w:i/>
          <w:iCs/>
          <w:sz w:val="24"/>
          <w:szCs w:val="24"/>
          <w:lang w:val="es-PE" w:eastAsia="es-ES"/>
        </w:rPr>
      </w:pPr>
    </w:p>
    <w:p w:rsidRPr="0090308F" w:rsidR="0090308F" w:rsidP="0090308F" w:rsidRDefault="0090308F" w14:paraId="4A85A869" w14:textId="77777777">
      <w:pPr>
        <w:tabs>
          <w:tab w:val="left" w:pos="0"/>
          <w:tab w:val="left" w:pos="2160"/>
        </w:tabs>
        <w:spacing w:after="0" w:line="240" w:lineRule="auto"/>
        <w:ind w:left="709"/>
        <w:jc w:val="both"/>
        <w:rPr>
          <w:rFonts w:ascii="Times New Roman" w:hAnsi="Times New Roman" w:cs="Times New Roman"/>
          <w:i/>
          <w:iCs/>
          <w:sz w:val="24"/>
          <w:szCs w:val="24"/>
          <w:lang w:val="es-PE" w:eastAsia="es-ES"/>
        </w:rPr>
      </w:pPr>
      <w:r w:rsidRPr="0090308F">
        <w:rPr>
          <w:rFonts w:ascii="Times New Roman" w:hAnsi="Times New Roman" w:cs="Times New Roman"/>
          <w:i/>
          <w:iCs/>
          <w:sz w:val="24"/>
          <w:szCs w:val="24"/>
          <w:lang w:val="es-PE" w:eastAsia="es-ES"/>
        </w:rPr>
        <w:t xml:space="preserve">Resulta evidente que, si la aseguradora demuestra que la póliza se contrató, y se renueva, al 10 de octubre, en el marco de lo dispuesto en el artículo 7 de la Ley del Contrato de Seguro, la renovación habría operado bajo las nuevas condiciones, por lo que el siniestro carecía de cobertura, ello sobre la base que comunicó sobre la propuesta de modificaciones y la aseguradora no expresó su rechazo, operando el </w:t>
      </w:r>
      <w:r w:rsidRPr="0090308F">
        <w:rPr>
          <w:rFonts w:ascii="Times New Roman" w:hAnsi="Times New Roman" w:cs="Times New Roman"/>
          <w:i/>
          <w:iCs/>
          <w:sz w:val="24"/>
          <w:szCs w:val="24"/>
          <w:lang w:val="es-PE" w:eastAsia="es-ES"/>
        </w:rPr>
        <w:t>denominado “silencio positivo”.  De manera correlativa, ya no correspondería evaluar sobre la aplicabilidad del artículo 30 de la Ley del Contrato de Seguro.”</w:t>
      </w:r>
    </w:p>
    <w:p w:rsidRPr="0090308F" w:rsidR="0090308F" w:rsidP="0090308F" w:rsidRDefault="0090308F" w14:paraId="049A93DF" w14:textId="77777777">
      <w:pPr>
        <w:tabs>
          <w:tab w:val="left" w:pos="0"/>
          <w:tab w:val="left" w:pos="1418"/>
          <w:tab w:val="left" w:pos="2160"/>
        </w:tabs>
        <w:spacing w:after="0" w:line="240" w:lineRule="auto"/>
        <w:ind w:left="1418" w:hanging="709"/>
        <w:jc w:val="both"/>
        <w:rPr>
          <w:rFonts w:ascii="Times New Roman" w:hAnsi="Times New Roman" w:cs="Times New Roman"/>
          <w:sz w:val="24"/>
          <w:szCs w:val="24"/>
          <w:lang w:val="es-PE"/>
        </w:rPr>
      </w:pPr>
    </w:p>
    <w:p w:rsidRPr="0090308F" w:rsidR="0090308F" w:rsidP="0090308F" w:rsidRDefault="0090308F" w14:paraId="39278FAE" w14:textId="3F57BEEE">
      <w:pPr>
        <w:tabs>
          <w:tab w:val="left" w:pos="0"/>
          <w:tab w:val="left" w:pos="2160"/>
        </w:tabs>
        <w:spacing w:after="0" w:line="240" w:lineRule="auto"/>
        <w:jc w:val="both"/>
        <w:rPr>
          <w:rFonts w:ascii="Times New Roman" w:hAnsi="Times New Roman" w:cs="Times New Roman"/>
          <w:sz w:val="24"/>
          <w:szCs w:val="24"/>
          <w:lang w:val="es-ES"/>
        </w:rPr>
      </w:pPr>
      <w:r w:rsidRPr="1C1A30FD" w:rsidR="0090308F">
        <w:rPr>
          <w:rFonts w:ascii="Times New Roman" w:hAnsi="Times New Roman" w:cs="Times New Roman"/>
          <w:sz w:val="24"/>
          <w:szCs w:val="24"/>
          <w:lang w:val="es-ES"/>
        </w:rPr>
        <w:t xml:space="preserve">Conforme a ello, se aprecia que </w:t>
      </w:r>
      <w:r w:rsidRPr="1C1A30FD" w:rsidR="18ACE126">
        <w:rPr>
          <w:rFonts w:ascii="Times New Roman" w:hAnsi="Times New Roman" w:cs="Times New Roman"/>
          <w:sz w:val="24"/>
          <w:szCs w:val="24"/>
          <w:lang w:val="es-ES"/>
        </w:rPr>
        <w:t>...................................</w:t>
      </w:r>
      <w:r w:rsidRPr="1C1A30FD" w:rsidR="0090308F">
        <w:rPr>
          <w:rFonts w:ascii="Times New Roman" w:hAnsi="Times New Roman" w:cs="Times New Roman"/>
          <w:sz w:val="24"/>
          <w:szCs w:val="24"/>
          <w:lang w:val="es-ES"/>
        </w:rPr>
        <w:t xml:space="preserve"> persiste en sus omisiones probatorias ya destacadas por la DEFASEG, invocado un hecho que no genera mayor debate por estar acreditada la remisión de la carta del 4 de setiembre de 2021, no habiendo presentado inexplicablemente, pese a los más que reiterados requerimientos, la póliza o acreditado la fecha de su contratación y el período anual de vigencia para que se pueda estimar positivamente la comunicación del 4 de setiembre de 2021, por lo que se asume que la póliza regía del 18 de mayo de 2021 al 18 de mayo de 2022, y que no habiéndose demostrado que la asegurada aceptó cambio alguno en sus condiciones, el siniestro verificado en ese período debe ser reconocido.</w:t>
      </w:r>
    </w:p>
    <w:p w:rsidRPr="0090308F" w:rsidR="0090308F" w:rsidP="0090308F" w:rsidRDefault="0090308F" w14:paraId="3DBFCC7F" w14:textId="77777777">
      <w:pPr>
        <w:tabs>
          <w:tab w:val="left" w:pos="0"/>
          <w:tab w:val="left" w:pos="2160"/>
        </w:tabs>
        <w:spacing w:after="0" w:line="240" w:lineRule="auto"/>
        <w:jc w:val="both"/>
        <w:rPr>
          <w:rFonts w:ascii="Times New Roman" w:hAnsi="Times New Roman" w:cs="Times New Roman"/>
          <w:sz w:val="24"/>
          <w:szCs w:val="24"/>
          <w:lang w:val="es-ES"/>
        </w:rPr>
      </w:pPr>
    </w:p>
    <w:p w:rsidRPr="0090308F" w:rsidR="0090308F" w:rsidP="0090308F" w:rsidRDefault="0090308F" w14:paraId="0214E627" w14:textId="77777777">
      <w:pPr>
        <w:tabs>
          <w:tab w:val="left" w:pos="0"/>
          <w:tab w:val="left" w:pos="2160"/>
        </w:tabs>
        <w:spacing w:after="0" w:line="240" w:lineRule="auto"/>
        <w:jc w:val="both"/>
        <w:rPr>
          <w:rFonts w:ascii="Times New Roman" w:hAnsi="Times New Roman" w:cs="Times New Roman"/>
          <w:sz w:val="24"/>
          <w:szCs w:val="24"/>
          <w:lang w:val="es-PE"/>
        </w:rPr>
      </w:pPr>
      <w:r w:rsidRPr="0090308F">
        <w:rPr>
          <w:rFonts w:ascii="Times New Roman" w:hAnsi="Times New Roman" w:cs="Times New Roman"/>
          <w:b/>
          <w:sz w:val="24"/>
          <w:szCs w:val="24"/>
          <w:u w:val="single"/>
          <w:lang w:val="es-ES"/>
        </w:rPr>
        <w:t>Cuart</w:t>
      </w:r>
      <w:r w:rsidRPr="0090308F">
        <w:rPr>
          <w:rFonts w:ascii="Times New Roman" w:hAnsi="Times New Roman" w:cs="Times New Roman"/>
          <w:b/>
          <w:sz w:val="24"/>
          <w:szCs w:val="24"/>
          <w:u w:val="single"/>
          <w:lang w:val="es-PE"/>
        </w:rPr>
        <w:t>o</w:t>
      </w:r>
      <w:r w:rsidRPr="0090308F">
        <w:rPr>
          <w:rFonts w:ascii="Times New Roman" w:hAnsi="Times New Roman" w:cs="Times New Roman"/>
          <w:b/>
          <w:sz w:val="24"/>
          <w:szCs w:val="24"/>
          <w:lang w:val="es-PE"/>
        </w:rPr>
        <w:t>:</w:t>
      </w:r>
      <w:r w:rsidRPr="0090308F">
        <w:rPr>
          <w:rFonts w:ascii="Times New Roman" w:hAnsi="Times New Roman" w:cs="Times New Roman"/>
          <w:sz w:val="24"/>
          <w:szCs w:val="24"/>
          <w:lang w:val="es-PE"/>
        </w:rPr>
        <w:t xml:space="preserve"> Teniendo presente los fundamentos de la impugnación interpuesta y </w:t>
      </w:r>
      <w:r w:rsidRPr="0090308F">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Pr="0090308F" w:rsidR="0090308F" w:rsidP="0090308F" w:rsidRDefault="0090308F" w14:paraId="76CE1A9D" w14:textId="77777777">
      <w:pPr>
        <w:spacing w:after="0" w:line="240" w:lineRule="auto"/>
        <w:jc w:val="both"/>
        <w:rPr>
          <w:rFonts w:ascii="Times New Roman" w:hAnsi="Times New Roman" w:eastAsia="Times New Roman" w:cs="Times New Roman"/>
          <w:bCs/>
          <w:sz w:val="24"/>
          <w:szCs w:val="24"/>
          <w:lang w:val="es-PE" w:eastAsia="ar-SA"/>
        </w:rPr>
      </w:pPr>
    </w:p>
    <w:p w:rsidRPr="0090308F" w:rsidR="0090308F" w:rsidP="0090308F" w:rsidRDefault="0090308F" w14:paraId="5BDFFEEF" w14:textId="77777777">
      <w:pPr>
        <w:spacing w:after="0" w:line="240" w:lineRule="auto"/>
        <w:jc w:val="both"/>
        <w:rPr>
          <w:rFonts w:ascii="Times New Roman" w:hAnsi="Times New Roman" w:cs="Times New Roman"/>
          <w:b/>
          <w:sz w:val="24"/>
          <w:szCs w:val="24"/>
          <w:lang w:val="es-PE"/>
        </w:rPr>
      </w:pPr>
      <w:r w:rsidRPr="0090308F">
        <w:rPr>
          <w:rFonts w:ascii="Times New Roman" w:hAnsi="Times New Roman" w:cs="Times New Roman"/>
          <w:b/>
          <w:sz w:val="24"/>
          <w:szCs w:val="24"/>
          <w:lang w:val="es-PE"/>
        </w:rPr>
        <w:t>Atendiendo a lo expresado, conforme a su reglamento, esta Defensoría resuelve:</w:t>
      </w:r>
    </w:p>
    <w:p w:rsidRPr="0090308F" w:rsidR="0090308F" w:rsidP="0090308F" w:rsidRDefault="0090308F" w14:paraId="3B43F802" w14:textId="77777777">
      <w:pPr>
        <w:spacing w:after="0" w:line="240" w:lineRule="auto"/>
        <w:jc w:val="both"/>
        <w:rPr>
          <w:rFonts w:ascii="Times New Roman" w:hAnsi="Times New Roman" w:eastAsia="Arial Unicode MS" w:cs="Times New Roman"/>
          <w:b/>
          <w:sz w:val="24"/>
          <w:szCs w:val="24"/>
          <w:lang w:val="es-PE"/>
        </w:rPr>
      </w:pPr>
    </w:p>
    <w:p w:rsidRPr="0090308F" w:rsidR="0090308F" w:rsidP="0090308F" w:rsidRDefault="0090308F" w14:paraId="398E2EC2" w14:textId="2EB90401">
      <w:pPr>
        <w:spacing w:after="0" w:line="240" w:lineRule="auto"/>
        <w:jc w:val="both"/>
        <w:rPr>
          <w:rFonts w:ascii="Times New Roman" w:hAnsi="Times New Roman" w:eastAsia="Times New Roman" w:cs="Times New Roman"/>
          <w:sz w:val="24"/>
          <w:szCs w:val="24"/>
          <w:lang w:val="es-ES" w:eastAsia="ar-SA"/>
        </w:rPr>
      </w:pPr>
      <w:r w:rsidRPr="1C1A30FD" w:rsidR="0090308F">
        <w:rPr>
          <w:rFonts w:ascii="Times New Roman" w:hAnsi="Times New Roman" w:eastAsia="Arial Unicode MS" w:cs="Times New Roman"/>
          <w:b w:val="1"/>
          <w:bCs w:val="1"/>
          <w:sz w:val="24"/>
          <w:szCs w:val="24"/>
          <w:lang w:val="es-PE"/>
        </w:rPr>
        <w:t xml:space="preserve">Declarar INFUNDADO el recurso impugnativo </w:t>
      </w:r>
      <w:r w:rsidRPr="1C1A30FD" w:rsidR="0090308F">
        <w:rPr>
          <w:rFonts w:ascii="Times New Roman" w:hAnsi="Times New Roman" w:eastAsia="Arial Unicode MS" w:cs="Times New Roman"/>
          <w:sz w:val="24"/>
          <w:szCs w:val="24"/>
          <w:lang w:val="es-PE"/>
        </w:rPr>
        <w:t xml:space="preserve">interpuesto por </w:t>
      </w:r>
      <w:r w:rsidRPr="1C1A30FD" w:rsidR="18ACE126">
        <w:rPr>
          <w:rFonts w:ascii="Times New Roman" w:hAnsi="Times New Roman" w:cs="Times New Roman"/>
          <w:sz w:val="24"/>
          <w:szCs w:val="24"/>
          <w:lang w:val="es-ES"/>
        </w:rPr>
        <w:t>...................................</w:t>
      </w:r>
      <w:r w:rsidRPr="1C1A30FD" w:rsidR="0090308F">
        <w:rPr>
          <w:rFonts w:ascii="Times New Roman" w:hAnsi="Times New Roman" w:eastAsia="Times New Roman" w:cs="Times New Roman"/>
          <w:sz w:val="24"/>
          <w:szCs w:val="24"/>
          <w:lang w:val="es-ES" w:eastAsia="ar-SA"/>
        </w:rPr>
        <w:t xml:space="preserve"> y, por consiguiente, ratificar la Resolución Nro. 107/22, de fecha 16 de mayo de 2022, por lo que la aseguradora debe otorgar la cobertura reclamada conforme a lo sancionado en el Reglamento de la DEFASEG.</w:t>
      </w:r>
    </w:p>
    <w:p w:rsidRPr="0090308F" w:rsidR="0090308F" w:rsidP="00092C2E" w:rsidRDefault="0090308F" w14:paraId="7AB8EDC7" w14:textId="77777777">
      <w:pPr>
        <w:suppressAutoHyphens/>
        <w:spacing w:after="0" w:line="240" w:lineRule="auto"/>
        <w:jc w:val="right"/>
        <w:outlineLvl w:val="0"/>
        <w:rPr>
          <w:rFonts w:ascii="Times New Roman" w:hAnsi="Times New Roman" w:eastAsia="Times New Roman" w:cs="Times New Roman"/>
          <w:b/>
          <w:bCs/>
          <w:sz w:val="24"/>
          <w:szCs w:val="24"/>
          <w:lang w:val="es-ES" w:eastAsia="ar-SA"/>
        </w:rPr>
      </w:pPr>
    </w:p>
    <w:p w:rsidRPr="0090308F" w:rsidR="00C173A8" w:rsidP="00092C2E" w:rsidRDefault="00C173A8" w14:paraId="21EFD7D3" w14:textId="2C23F69F">
      <w:pPr>
        <w:suppressAutoHyphens/>
        <w:spacing w:after="0" w:line="240" w:lineRule="auto"/>
        <w:jc w:val="right"/>
        <w:outlineLvl w:val="0"/>
        <w:rPr>
          <w:rFonts w:ascii="Times New Roman" w:hAnsi="Times New Roman" w:eastAsia="Arial Unicode MS" w:cs="Times New Roman"/>
          <w:sz w:val="24"/>
          <w:szCs w:val="24"/>
          <w:lang w:val="es-PE" w:eastAsia="ar-SA"/>
        </w:rPr>
      </w:pPr>
      <w:r w:rsidRPr="0090308F">
        <w:rPr>
          <w:rFonts w:ascii="Times New Roman" w:hAnsi="Times New Roman" w:eastAsia="Arial Unicode MS" w:cs="Times New Roman"/>
          <w:sz w:val="24"/>
          <w:szCs w:val="24"/>
          <w:lang w:val="es-PE" w:eastAsia="ar-SA"/>
        </w:rPr>
        <w:t xml:space="preserve">Lima, </w:t>
      </w:r>
      <w:r w:rsidRPr="0090308F" w:rsidR="00E41D03">
        <w:rPr>
          <w:rFonts w:ascii="Times New Roman" w:hAnsi="Times New Roman" w:eastAsia="Arial Unicode MS" w:cs="Times New Roman"/>
          <w:sz w:val="24"/>
          <w:szCs w:val="24"/>
          <w:lang w:val="es-PE" w:eastAsia="ar-SA"/>
        </w:rPr>
        <w:t>1</w:t>
      </w:r>
      <w:r w:rsidRPr="0090308F" w:rsidR="008F27EF">
        <w:rPr>
          <w:rFonts w:ascii="Times New Roman" w:hAnsi="Times New Roman" w:eastAsia="Arial Unicode MS" w:cs="Times New Roman"/>
          <w:sz w:val="24"/>
          <w:szCs w:val="24"/>
          <w:lang w:val="es-PE" w:eastAsia="ar-SA"/>
        </w:rPr>
        <w:t>4</w:t>
      </w:r>
      <w:r w:rsidRPr="0090308F" w:rsidR="00E72889">
        <w:rPr>
          <w:rFonts w:ascii="Times New Roman" w:hAnsi="Times New Roman" w:eastAsia="Arial Unicode MS" w:cs="Times New Roman"/>
          <w:sz w:val="24"/>
          <w:szCs w:val="24"/>
          <w:lang w:val="es-PE" w:eastAsia="ar-SA"/>
        </w:rPr>
        <w:t xml:space="preserve"> </w:t>
      </w:r>
      <w:r w:rsidRPr="0090308F">
        <w:rPr>
          <w:rFonts w:ascii="Times New Roman" w:hAnsi="Times New Roman" w:eastAsia="Arial Unicode MS" w:cs="Times New Roman"/>
          <w:sz w:val="24"/>
          <w:szCs w:val="24"/>
          <w:lang w:val="es-PE" w:eastAsia="ar-SA"/>
        </w:rPr>
        <w:t xml:space="preserve">de </w:t>
      </w:r>
      <w:r w:rsidRPr="0090308F" w:rsidR="006E5783">
        <w:rPr>
          <w:rFonts w:ascii="Times New Roman" w:hAnsi="Times New Roman" w:eastAsia="Arial Unicode MS" w:cs="Times New Roman"/>
          <w:sz w:val="24"/>
          <w:szCs w:val="24"/>
          <w:lang w:val="es-PE" w:eastAsia="ar-SA"/>
        </w:rPr>
        <w:t>ju</w:t>
      </w:r>
      <w:r w:rsidRPr="0090308F" w:rsidR="00E72889">
        <w:rPr>
          <w:rFonts w:ascii="Times New Roman" w:hAnsi="Times New Roman" w:eastAsia="Arial Unicode MS" w:cs="Times New Roman"/>
          <w:sz w:val="24"/>
          <w:szCs w:val="24"/>
          <w:lang w:val="es-PE" w:eastAsia="ar-SA"/>
        </w:rPr>
        <w:t>l</w:t>
      </w:r>
      <w:r w:rsidRPr="0090308F" w:rsidR="006E5783">
        <w:rPr>
          <w:rFonts w:ascii="Times New Roman" w:hAnsi="Times New Roman" w:eastAsia="Arial Unicode MS" w:cs="Times New Roman"/>
          <w:sz w:val="24"/>
          <w:szCs w:val="24"/>
          <w:lang w:val="es-PE" w:eastAsia="ar-SA"/>
        </w:rPr>
        <w:t>io</w:t>
      </w:r>
      <w:r w:rsidRPr="0090308F">
        <w:rPr>
          <w:rFonts w:ascii="Times New Roman" w:hAnsi="Times New Roman" w:eastAsia="Arial Unicode MS" w:cs="Times New Roman"/>
          <w:sz w:val="24"/>
          <w:szCs w:val="24"/>
          <w:lang w:val="es-PE" w:eastAsia="ar-SA"/>
        </w:rPr>
        <w:t xml:space="preserve"> de 2022</w:t>
      </w:r>
      <w:r w:rsidRPr="0090308F">
        <w:rPr>
          <w:rFonts w:ascii="Times New Roman" w:hAnsi="Times New Roman" w:eastAsia="Times New Roman" w:cs="Times New Roman"/>
          <w:sz w:val="24"/>
          <w:szCs w:val="24"/>
          <w:lang w:val="es-PE" w:eastAsia="ar-SA"/>
        </w:rPr>
        <w:t xml:space="preserve"> </w:t>
      </w:r>
    </w:p>
    <w:p w:rsidRPr="0090308F"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0308F"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90308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0308F"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90308F"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90308F">
        <w:rPr>
          <w:rFonts w:ascii="Times New Roman" w:hAnsi="Times New Roman" w:cs="Times New Roman"/>
          <w:b/>
          <w:bCs/>
          <w:sz w:val="24"/>
          <w:szCs w:val="24"/>
          <w:lang w:val="es-PE"/>
        </w:rPr>
        <w:t xml:space="preserve">Marco Antonio Ortega Piana – </w:t>
      </w:r>
      <w:proofErr w:type="gramStart"/>
      <w:r w:rsidRPr="0090308F">
        <w:rPr>
          <w:rFonts w:ascii="Times New Roman" w:hAnsi="Times New Roman" w:cs="Times New Roman"/>
          <w:b/>
          <w:bCs/>
          <w:sz w:val="24"/>
          <w:szCs w:val="24"/>
          <w:lang w:val="es-PE"/>
        </w:rPr>
        <w:t>Presidente</w:t>
      </w:r>
      <w:proofErr w:type="gramEnd"/>
    </w:p>
    <w:p w:rsidRPr="0090308F"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90308F">
        <w:rPr>
          <w:rFonts w:ascii="Times New Roman" w:hAnsi="Times New Roman" w:cs="Times New Roman"/>
          <w:b/>
          <w:bCs/>
          <w:sz w:val="24"/>
          <w:szCs w:val="24"/>
          <w:lang w:val="es-PE"/>
        </w:rPr>
        <w:t xml:space="preserve">María Eugenia Valdez Fernández Baca – </w:t>
      </w:r>
      <w:r w:rsidRPr="0090308F" w:rsidR="001B1998">
        <w:rPr>
          <w:rFonts w:ascii="Times New Roman" w:hAnsi="Times New Roman" w:cs="Times New Roman"/>
          <w:b/>
          <w:bCs/>
          <w:sz w:val="24"/>
          <w:szCs w:val="24"/>
          <w:lang w:val="es-PE"/>
        </w:rPr>
        <w:t>Vocal</w:t>
      </w:r>
    </w:p>
    <w:p w:rsidRPr="0090308F"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90308F">
        <w:rPr>
          <w:rFonts w:ascii="Times New Roman" w:hAnsi="Times New Roman" w:cs="Times New Roman"/>
          <w:b/>
          <w:bCs/>
          <w:sz w:val="24"/>
          <w:szCs w:val="24"/>
          <w:lang w:val="es-PE"/>
        </w:rPr>
        <w:t xml:space="preserve">Rolando Eyzaguirre </w:t>
      </w:r>
      <w:proofErr w:type="spellStart"/>
      <w:r w:rsidRPr="0090308F">
        <w:rPr>
          <w:rFonts w:ascii="Times New Roman" w:hAnsi="Times New Roman" w:cs="Times New Roman"/>
          <w:b/>
          <w:bCs/>
          <w:sz w:val="24"/>
          <w:szCs w:val="24"/>
          <w:lang w:val="es-PE"/>
        </w:rPr>
        <w:t>Maccan</w:t>
      </w:r>
      <w:proofErr w:type="spellEnd"/>
      <w:r w:rsidRPr="0090308F">
        <w:rPr>
          <w:rFonts w:ascii="Times New Roman" w:hAnsi="Times New Roman" w:cs="Times New Roman"/>
          <w:b/>
          <w:bCs/>
          <w:sz w:val="24"/>
          <w:szCs w:val="24"/>
          <w:lang w:val="es-PE"/>
        </w:rPr>
        <w:t xml:space="preserve"> - Vocal</w:t>
      </w:r>
    </w:p>
    <w:p w:rsidRPr="0090308F"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90308F">
        <w:rPr>
          <w:rFonts w:ascii="Times New Roman" w:hAnsi="Times New Roman" w:cs="Times New Roman"/>
          <w:b/>
          <w:bCs/>
          <w:sz w:val="24"/>
          <w:szCs w:val="24"/>
          <w:lang w:val="es-PE"/>
        </w:rPr>
        <w:t>Gonzalo Abad del Busto – Vocal</w:t>
      </w:r>
    </w:p>
    <w:p w:rsidRPr="0090308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3393" w:rsidP="00784355" w:rsidRDefault="00CF3393" w14:paraId="022890AA" w14:textId="77777777">
      <w:pPr>
        <w:spacing w:after="0" w:line="240" w:lineRule="auto"/>
      </w:pPr>
      <w:r>
        <w:separator/>
      </w:r>
    </w:p>
  </w:endnote>
  <w:endnote w:type="continuationSeparator" w:id="0">
    <w:p w:rsidR="00CF3393" w:rsidP="00784355" w:rsidRDefault="00CF3393" w14:paraId="3469D3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3393" w:rsidP="00784355" w:rsidRDefault="00CF3393" w14:paraId="53D2C5FC" w14:textId="77777777">
      <w:pPr>
        <w:spacing w:after="0" w:line="240" w:lineRule="auto"/>
      </w:pPr>
      <w:r>
        <w:separator/>
      </w:r>
    </w:p>
  </w:footnote>
  <w:footnote w:type="continuationSeparator" w:id="0">
    <w:p w:rsidR="00CF3393" w:rsidP="00784355" w:rsidRDefault="00CF3393" w14:paraId="69AB7B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3D63"/>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8CD"/>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18ACE126"/>
    <w:rsid w:val="1A47D81C"/>
    <w:rsid w:val="1C1A30FD"/>
    <w:rsid w:val="3CFAB7E6"/>
    <w:rsid w:val="5A4103A8"/>
    <w:rsid w:val="5C840A3A"/>
    <w:rsid w:val="68128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A133AF4-CCFF-437B-9FB5-E48A9C259AD1}"/>
</file>

<file path=customXml/itemProps3.xml><?xml version="1.0" encoding="utf-8"?>
<ds:datastoreItem xmlns:ds="http://schemas.openxmlformats.org/officeDocument/2006/customXml" ds:itemID="{6AA2578F-DD34-475E-8768-1B76D33213A6}"/>
</file>

<file path=customXml/itemProps4.xml><?xml version="1.0" encoding="utf-8"?>
<ds:datastoreItem xmlns:ds="http://schemas.openxmlformats.org/officeDocument/2006/customXml" ds:itemID="{BD05A7FB-038C-44B1-8399-F08E4F4EB2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171</cp:revision>
  <cp:lastPrinted>2022-07-14T22:02:00Z</cp:lastPrinted>
  <dcterms:created xsi:type="dcterms:W3CDTF">2020-12-18T20:17:00Z</dcterms:created>
  <dcterms:modified xsi:type="dcterms:W3CDTF">2025-11-27T20:59:16Z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