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E22DB" w:rsidR="00B10F71" w:rsidP="00041B86" w:rsidRDefault="00201C0D" w14:paraId="51974F0B" w14:textId="785D04C4">
      <w:pPr>
        <w:spacing w:after="0" w:line="240" w:lineRule="auto"/>
        <w:jc w:val="center"/>
        <w:rPr>
          <w:rFonts w:ascii="Times New Roman" w:hAnsi="Times New Roman" w:cs="Times New Roman"/>
          <w:b/>
          <w:sz w:val="24"/>
          <w:szCs w:val="24"/>
          <w:lang w:val="es-PE" w:eastAsia="ar-SA"/>
        </w:rPr>
      </w:pPr>
      <w:r w:rsidRPr="00AE22DB">
        <w:rPr>
          <w:rFonts w:ascii="Times New Roman" w:hAnsi="Times New Roman" w:cs="Times New Roman"/>
          <w:b/>
          <w:sz w:val="24"/>
          <w:szCs w:val="24"/>
          <w:lang w:val="es-PE" w:eastAsia="ar-SA"/>
        </w:rPr>
        <w:t xml:space="preserve">RESOLUCIÓN DE RECURSO IMPUGNATIVO </w:t>
      </w:r>
      <w:proofErr w:type="spellStart"/>
      <w:r w:rsidRPr="00AE22DB" w:rsidR="00707C99">
        <w:rPr>
          <w:rFonts w:ascii="Times New Roman" w:hAnsi="Times New Roman" w:cs="Times New Roman"/>
          <w:b/>
          <w:sz w:val="24"/>
          <w:szCs w:val="24"/>
          <w:lang w:val="es-PE" w:eastAsia="ar-SA"/>
        </w:rPr>
        <w:t>N°</w:t>
      </w:r>
      <w:proofErr w:type="spellEnd"/>
      <w:r w:rsidRPr="00AE22DB" w:rsidR="00707C99">
        <w:rPr>
          <w:rFonts w:ascii="Times New Roman" w:hAnsi="Times New Roman" w:cs="Times New Roman"/>
          <w:b/>
          <w:sz w:val="24"/>
          <w:szCs w:val="24"/>
          <w:lang w:val="es-PE" w:eastAsia="ar-SA"/>
        </w:rPr>
        <w:t xml:space="preserve"> </w:t>
      </w:r>
      <w:r w:rsidRPr="00AE22DB" w:rsidR="00C671F5">
        <w:rPr>
          <w:rFonts w:ascii="Times New Roman" w:hAnsi="Times New Roman" w:cs="Times New Roman"/>
          <w:b/>
          <w:sz w:val="24"/>
          <w:szCs w:val="24"/>
          <w:lang w:val="es-PE" w:eastAsia="ar-SA"/>
        </w:rPr>
        <w:t>0</w:t>
      </w:r>
      <w:r w:rsidRPr="00AE22DB" w:rsidR="00A200ED">
        <w:rPr>
          <w:rFonts w:ascii="Times New Roman" w:hAnsi="Times New Roman" w:cs="Times New Roman"/>
          <w:b/>
          <w:sz w:val="24"/>
          <w:szCs w:val="24"/>
          <w:lang w:val="es-PE" w:eastAsia="ar-SA"/>
        </w:rPr>
        <w:t>5</w:t>
      </w:r>
      <w:r w:rsidRPr="00AE22DB" w:rsidR="0063405A">
        <w:rPr>
          <w:rFonts w:ascii="Times New Roman" w:hAnsi="Times New Roman" w:cs="Times New Roman"/>
          <w:b/>
          <w:sz w:val="24"/>
          <w:szCs w:val="24"/>
          <w:lang w:val="es-PE" w:eastAsia="ar-SA"/>
        </w:rPr>
        <w:t>1</w:t>
      </w:r>
      <w:r w:rsidRPr="00AE22DB" w:rsidR="00C671F5">
        <w:rPr>
          <w:rFonts w:ascii="Times New Roman" w:hAnsi="Times New Roman" w:cs="Times New Roman"/>
          <w:b/>
          <w:sz w:val="24"/>
          <w:szCs w:val="24"/>
          <w:lang w:val="es-PE" w:eastAsia="ar-SA"/>
        </w:rPr>
        <w:t>/2</w:t>
      </w:r>
      <w:r w:rsidRPr="00AE22DB" w:rsidR="00B93C7A">
        <w:rPr>
          <w:rFonts w:ascii="Times New Roman" w:hAnsi="Times New Roman" w:cs="Times New Roman"/>
          <w:b/>
          <w:sz w:val="24"/>
          <w:szCs w:val="24"/>
          <w:lang w:val="es-PE" w:eastAsia="ar-SA"/>
        </w:rPr>
        <w:t>2</w:t>
      </w:r>
    </w:p>
    <w:p w:rsidRPr="00AE22DB" w:rsidR="0090308F" w:rsidP="00092C2E" w:rsidRDefault="0090308F" w14:paraId="7AB8EDC7" w14:textId="7B89F392">
      <w:pPr>
        <w:suppressAutoHyphens/>
        <w:spacing w:after="0" w:line="240" w:lineRule="auto"/>
        <w:jc w:val="right"/>
        <w:outlineLvl w:val="0"/>
        <w:rPr>
          <w:rFonts w:ascii="Times New Roman" w:hAnsi="Times New Roman" w:eastAsia="Times New Roman" w:cs="Times New Roman"/>
          <w:b/>
          <w:bCs/>
          <w:sz w:val="24"/>
          <w:szCs w:val="24"/>
          <w:lang w:val="es-MX" w:eastAsia="ar-SA"/>
        </w:rPr>
      </w:pPr>
    </w:p>
    <w:p w:rsidRPr="00AE22DB" w:rsidR="00AE22DB" w:rsidP="00AE22DB" w:rsidRDefault="00AE22DB" w14:paraId="66C73AB4"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AE22DB">
        <w:rPr>
          <w:rFonts w:ascii="Times New Roman" w:hAnsi="Times New Roman" w:eastAsia="Times New Roman" w:cs="Times New Roman"/>
          <w:b/>
          <w:bCs/>
          <w:sz w:val="24"/>
          <w:szCs w:val="24"/>
          <w:lang w:val="es-MX" w:eastAsia="ar-SA"/>
        </w:rPr>
        <w:t>Vistos:</w:t>
      </w:r>
    </w:p>
    <w:p w:rsidRPr="00AE22DB" w:rsidR="00AE22DB" w:rsidP="00AE22DB" w:rsidRDefault="00AE22DB" w14:paraId="0423F56B" w14:textId="77777777">
      <w:pPr>
        <w:suppressAutoHyphens/>
        <w:spacing w:after="0" w:line="240" w:lineRule="auto"/>
        <w:jc w:val="both"/>
        <w:rPr>
          <w:rFonts w:ascii="Times New Roman" w:hAnsi="Times New Roman" w:eastAsia="Times New Roman" w:cs="Times New Roman"/>
          <w:b/>
          <w:bCs/>
          <w:sz w:val="24"/>
          <w:szCs w:val="24"/>
          <w:lang w:val="es-MX" w:eastAsia="ar-SA"/>
        </w:rPr>
      </w:pPr>
      <w:r w:rsidRPr="00AE22DB">
        <w:rPr>
          <w:rFonts w:ascii="Times New Roman" w:hAnsi="Times New Roman" w:eastAsia="Times New Roman" w:cs="Times New Roman"/>
          <w:b/>
          <w:bCs/>
          <w:sz w:val="24"/>
          <w:szCs w:val="24"/>
          <w:lang w:val="es-MX" w:eastAsia="ar-SA"/>
        </w:rPr>
        <w:t xml:space="preserve">   </w:t>
      </w:r>
    </w:p>
    <w:p w:rsidRPr="00AE22DB" w:rsidR="00AE22DB" w:rsidP="00AE22DB" w:rsidRDefault="00AE22DB" w14:paraId="728ABE2B" w14:textId="3C752C98">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val="es-PE" w:eastAsia="es-ES"/>
        </w:rPr>
      </w:pPr>
      <w:r w:rsidRPr="10625857" w:rsidR="00AE22DB">
        <w:rPr>
          <w:rFonts w:ascii="Times New Roman" w:hAnsi="Times New Roman" w:eastAsia="Times New Roman" w:cs="Times New Roman"/>
          <w:sz w:val="24"/>
          <w:szCs w:val="24"/>
          <w:lang w:val="es-ES" w:eastAsia="ar-SA"/>
        </w:rPr>
        <w:t>El recurso de impugnación presentado con fecha 5 de julio de 2022 por doña</w:t>
      </w:r>
      <w:r w:rsidRPr="10625857" w:rsidR="00AE22DB">
        <w:rPr>
          <w:rFonts w:ascii="Times New Roman" w:hAnsi="Times New Roman" w:cs="Times New Roman"/>
          <w:sz w:val="24"/>
          <w:szCs w:val="24"/>
          <w:lang w:val="es-ES"/>
        </w:rPr>
        <w:t xml:space="preserve"> </w:t>
      </w:r>
      <w:r w:rsidRPr="10625857" w:rsidR="11660D74">
        <w:rPr>
          <w:rFonts w:ascii="Times New Roman" w:hAnsi="Times New Roman" w:cs="Times New Roman"/>
          <w:sz w:val="24"/>
          <w:szCs w:val="24"/>
          <w:lang w:val="es-ES"/>
        </w:rPr>
        <w:t>..................................................................................</w:t>
      </w:r>
      <w:r w:rsidRPr="10625857" w:rsidR="00AE22DB">
        <w:rPr>
          <w:rFonts w:ascii="Times New Roman" w:hAnsi="Times New Roman" w:eastAsia="Times New Roman" w:cs="Times New Roman"/>
          <w:sz w:val="24"/>
          <w:szCs w:val="24"/>
          <w:lang w:val="es-ES" w:eastAsia="ar-SA"/>
        </w:rPr>
        <w:t xml:space="preserve"> respecto de la Resolución Nro. 134/22, de fecha 27 de junio de 2022, emitida por esta Defensoría del Asegurado (DEFASEG), que declaró INFUNDADA </w:t>
      </w:r>
      <w:r w:rsidRPr="10625857" w:rsidR="00AE22DB">
        <w:rPr>
          <w:rFonts w:ascii="Times New Roman" w:hAnsi="Times New Roman" w:eastAsia="Arial Unicode MS" w:cs="Times New Roman"/>
          <w:sz w:val="24"/>
          <w:szCs w:val="24"/>
          <w:lang w:val="es-PE"/>
        </w:rPr>
        <w:t>su reclamación interpuesta contra</w:t>
      </w:r>
      <w:r w:rsidRPr="10625857" w:rsidR="00AE22DB">
        <w:rPr>
          <w:rFonts w:ascii="Times New Roman" w:hAnsi="Times New Roman" w:cs="Times New Roman"/>
          <w:sz w:val="24"/>
          <w:szCs w:val="24"/>
          <w:lang w:val="es-ES"/>
        </w:rPr>
        <w:t xml:space="preserve"> </w:t>
      </w:r>
      <w:r w:rsidRPr="10625857" w:rsidR="3F73E38C">
        <w:rPr>
          <w:rFonts w:ascii="Times New Roman" w:hAnsi="Times New Roman" w:cs="Times New Roman"/>
          <w:sz w:val="24"/>
          <w:szCs w:val="24"/>
          <w:lang w:val="es-ES"/>
        </w:rPr>
        <w:t>....................................</w:t>
      </w:r>
      <w:r w:rsidRPr="10625857" w:rsidR="00AE22DB">
        <w:rPr>
          <w:rFonts w:ascii="Times New Roman" w:hAnsi="Times New Roman" w:cs="Times New Roman"/>
          <w:sz w:val="24"/>
          <w:szCs w:val="24"/>
          <w:lang w:val="es-ES"/>
        </w:rPr>
        <w:t xml:space="preserve">, </w:t>
      </w:r>
      <w:bookmarkStart w:name="OLE_LINK2" w:id="0"/>
      <w:r w:rsidRPr="10625857" w:rsidR="00AE22DB">
        <w:rPr>
          <w:rFonts w:ascii="Times New Roman" w:hAnsi="Times New Roman" w:cs="Times New Roman"/>
          <w:sz w:val="24"/>
          <w:szCs w:val="24"/>
          <w:lang w:val="es-PE"/>
        </w:rPr>
        <w:t>sobre otorgamiento de</w:t>
      </w:r>
      <w:r w:rsidRPr="10625857" w:rsidR="00AE22DB">
        <w:rPr>
          <w:rFonts w:ascii="Times New Roman" w:hAnsi="Times New Roman" w:eastAsia="Times New Roman" w:cs="Times New Roman"/>
          <w:sz w:val="24"/>
          <w:szCs w:val="24"/>
          <w:lang w:val="es-PE" w:eastAsia="es-ES"/>
        </w:rPr>
        <w:t xml:space="preserve"> cobertura al siniestro </w:t>
      </w:r>
      <w:bookmarkEnd w:id="0"/>
      <w:r w:rsidRPr="10625857" w:rsidR="00AE22DB">
        <w:rPr>
          <w:rFonts w:ascii="Times New Roman" w:hAnsi="Times New Roman" w:eastAsia="Times New Roman" w:cs="Times New Roman"/>
          <w:sz w:val="24"/>
          <w:szCs w:val="24"/>
          <w:lang w:val="es-PE" w:eastAsia="es-ES"/>
        </w:rPr>
        <w:t xml:space="preserve">que corresponde a su situación de desempleo en la cual incurrió con fecha 31 de enero de 2022, conforme al Seguro </w:t>
      </w:r>
      <w:r w:rsidRPr="10625857" w:rsidR="00AE22DB">
        <w:rPr>
          <w:rFonts w:ascii="Times New Roman" w:hAnsi="Times New Roman" w:cs="Times New Roman"/>
          <w:sz w:val="24"/>
          <w:szCs w:val="24"/>
          <w:lang w:val="es-PE"/>
        </w:rPr>
        <w:t xml:space="preserve">de Desgravamen / Póliza Nro. </w:t>
      </w:r>
      <w:r w:rsidRPr="10625857" w:rsidR="3A05AC9E">
        <w:rPr>
          <w:rFonts w:ascii="Times New Roman" w:hAnsi="Times New Roman" w:cs="Times New Roman"/>
          <w:color w:val="000000" w:themeColor="text1" w:themeTint="FF" w:themeShade="FF"/>
          <w:sz w:val="24"/>
          <w:szCs w:val="24"/>
          <w:lang w:val="es-PE"/>
        </w:rPr>
        <w:t>.............................................</w:t>
      </w:r>
      <w:r w:rsidRPr="10625857" w:rsidR="00AE22DB">
        <w:rPr>
          <w:rFonts w:ascii="Times New Roman" w:hAnsi="Times New Roman" w:cs="Times New Roman"/>
          <w:color w:val="000000" w:themeColor="text1" w:themeTint="FF" w:themeShade="FF"/>
          <w:sz w:val="24"/>
          <w:szCs w:val="24"/>
          <w:lang w:val="es-PE"/>
        </w:rPr>
        <w:t>;</w:t>
      </w:r>
    </w:p>
    <w:p w:rsidRPr="00AE22DB" w:rsidR="00AE22DB" w:rsidP="00AE22DB" w:rsidRDefault="00AE22DB" w14:paraId="4FAE6F95"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cs="Times New Roman"/>
          <w:bCs/>
          <w:sz w:val="24"/>
          <w:szCs w:val="24"/>
          <w:lang w:val="es-PE"/>
        </w:rPr>
      </w:pPr>
    </w:p>
    <w:p w:rsidRPr="00AE22DB" w:rsidR="00AE22DB" w:rsidP="00AE22DB" w:rsidRDefault="00AE22DB" w14:paraId="71FB799F"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AE22DB">
        <w:rPr>
          <w:rFonts w:ascii="Times New Roman" w:hAnsi="Times New Roman" w:eastAsia="Times New Roman" w:cs="Times New Roman"/>
          <w:bCs/>
          <w:sz w:val="24"/>
          <w:szCs w:val="24"/>
          <w:lang w:val="es-MX" w:eastAsia="ar-SA"/>
        </w:rPr>
        <w:t xml:space="preserve">Que, a través del señalado recurso, </w:t>
      </w:r>
      <w:r w:rsidRPr="00AE22DB">
        <w:rPr>
          <w:rFonts w:ascii="Times New Roman" w:hAnsi="Times New Roman" w:cs="Times New Roman"/>
          <w:sz w:val="24"/>
          <w:szCs w:val="24"/>
          <w:lang w:val="es-ES"/>
        </w:rPr>
        <w:t xml:space="preserve">la asegurada </w:t>
      </w:r>
      <w:r w:rsidRPr="00AE22DB">
        <w:rPr>
          <w:rFonts w:ascii="Times New Roman" w:hAnsi="Times New Roman" w:eastAsia="Times New Roman" w:cs="Times New Roman"/>
          <w:bCs/>
          <w:sz w:val="24"/>
          <w:szCs w:val="24"/>
          <w:lang w:val="es-MX" w:eastAsia="ar-SA"/>
        </w:rPr>
        <w:t>cuestiona lo resuelto por este colegiado, destacando resumidamente lo siguiente: (a) la aseguradora se niega a pagar un seguro por el cual paga mensualmente y respecto del cual estuvo obligada a contratar, pese a que ha presentado todos los documentos que le fueron solicitados, (b) no está de acuerdo con lo expresado por la DEFASEG cuando afirma que el seguro es solo para desempleo involuntario, siendo que el reclamad sería uno voluntario, porque es sabido que en pandemia se invita a renunciar cuando en el fondo es un despido, siendo que se trató de una renuncia compensada, en el marco de una transacción extrajudicial, de manera que la compensación definitiva por cese de actividad incluye sus beneficios sociales al 31 de enero de 2022, hecho irrefutable, (</w:t>
      </w:r>
      <w:proofErr w:type="spellStart"/>
      <w:r w:rsidRPr="00AE22DB">
        <w:rPr>
          <w:rFonts w:ascii="Times New Roman" w:hAnsi="Times New Roman" w:eastAsia="Times New Roman" w:cs="Times New Roman"/>
          <w:bCs/>
          <w:sz w:val="24"/>
          <w:szCs w:val="24"/>
          <w:lang w:val="es-MX" w:eastAsia="ar-SA"/>
        </w:rPr>
        <w:t>ii</w:t>
      </w:r>
      <w:proofErr w:type="spellEnd"/>
      <w:r w:rsidRPr="00AE22DB">
        <w:rPr>
          <w:rFonts w:ascii="Times New Roman" w:hAnsi="Times New Roman" w:eastAsia="Times New Roman" w:cs="Times New Roman"/>
          <w:bCs/>
          <w:sz w:val="24"/>
          <w:szCs w:val="24"/>
          <w:lang w:val="es-MX" w:eastAsia="ar-SA"/>
        </w:rPr>
        <w:t>) lo anterior corresponde a la situación prevista en la póliza de crédito hipotecario conyugal, la misma que fue presentada en su oportunidad (numeral 2.1.1. de la cláusula cuarta), sí como en las pólizas de crédito personal y tarjeta de crédito, y (c) conforme a lo anterior, está demostrado que la aseguradora sí cubre la renuncia voluntaria, siempre y cuando exista en la liquidación el concepto de compensación y/o beneficio extraordinario de una remuneración mensual por cada año trabajado, conforme se acreditó con la liquidación presentada en su oportunidad.  Por lo tanto, solicita que se revoque la resolución impugnada y se declare finalmente fundada la reclamación;</w:t>
      </w:r>
    </w:p>
    <w:p w:rsidRPr="00AE22DB" w:rsidR="00AE22DB" w:rsidP="00AE22DB" w:rsidRDefault="00AE22DB" w14:paraId="5775C870"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AE22DB" w:rsidR="00AE22DB" w:rsidP="10625857" w:rsidRDefault="00AE22DB" w14:paraId="5C975E4E" w14:textId="27F5EB5E">
      <w:pPr>
        <w:suppressAutoHyphens/>
        <w:spacing w:after="0" w:line="240" w:lineRule="auto"/>
        <w:jc w:val="both"/>
        <w:rPr>
          <w:rFonts w:ascii="Times New Roman" w:hAnsi="Times New Roman" w:eastAsia="Times New Roman" w:cs="Times New Roman"/>
          <w:sz w:val="24"/>
          <w:szCs w:val="24"/>
          <w:lang w:val="es-MX" w:eastAsia="ar-SA"/>
        </w:rPr>
      </w:pPr>
      <w:r w:rsidRPr="10625857" w:rsidR="00AE22DB">
        <w:rPr>
          <w:rFonts w:ascii="Times New Roman" w:hAnsi="Times New Roman" w:eastAsia="Times New Roman" w:cs="Times New Roman"/>
          <w:sz w:val="24"/>
          <w:szCs w:val="24"/>
          <w:lang w:val="es-MX" w:eastAsia="ar-SA"/>
        </w:rPr>
        <w:t xml:space="preserve">Que, habiéndose corrido traslado de la señalada impugnación, la asegurada absolvió el respectivo trámite con fecha 14 de julio de 2022, destacando resumidamente que: (a) por el mérito de la comunicación al 4 de setiembre de 2021, se le informó a la asegurada que a partir del 19 de octubre de 2021 las pólizas contratadas ya no contarían con la cobertura de desempleo (involuntario) e incapacidad temporal, ajustándose las primas, comunicación que ha sido acreditada en los actuados, siendo que la actual reclamante disponía de hasta treinta (30) días para manifestar su desacuerdo, lo cual no realizó, operando el régimen establecido en el artículo 7 de la Ley del Contrato de Seguro, asumiéndose la aceptación de la asegurada a las nuevas condiciones por no haber manifestado objeción dentro del plazo de treinta (30) días señalado anteriormente, y (b) Sin perjuicio de lo anterior, no es cierto lo que se afirma en el sentido que, conforme a la liquidación presentada, está probado que el empleador pagó a la asegurada, como compensación o bonificación extraordinaria un sueldo por año de labores; y en lo que se refiere a la transacción, se destaca que la misma en ningún momento fue presentada a </w:t>
      </w:r>
      <w:r w:rsidRPr="10625857" w:rsidR="3F73E38C">
        <w:rPr>
          <w:rFonts w:ascii="Times New Roman" w:hAnsi="Times New Roman" w:eastAsia="Times New Roman" w:cs="Times New Roman"/>
          <w:sz w:val="24"/>
          <w:szCs w:val="24"/>
          <w:lang w:val="es-MX" w:eastAsia="ar-SA"/>
        </w:rPr>
        <w:t>....................................</w:t>
      </w:r>
      <w:r w:rsidRPr="10625857" w:rsidR="00AE22DB">
        <w:rPr>
          <w:rFonts w:ascii="Times New Roman" w:hAnsi="Times New Roman" w:eastAsia="Times New Roman" w:cs="Times New Roman"/>
          <w:sz w:val="24"/>
          <w:szCs w:val="24"/>
          <w:lang w:val="es-MX" w:eastAsia="ar-SA"/>
        </w:rPr>
        <w:t xml:space="preserve">, siendo que de acuerdo al documento presentado, la indemnización establecida es una compensación definitiva por cese, y por daños u otros conceptos que pudiesen corresponderle como consecuencia de la renuncia voluntaria; empero, en la liquidación presentada dicho pago conta como el pago de una suma graciosa, pura, simple y voluntaria, por lo que no satisface la condición de cobertura invocada, siendo que, de acuerdo al artículo 57 del TUO del Decreto Legislativo Nro. 650, ese pago gracioso se compensa con cualquier otro </w:t>
      </w:r>
      <w:r w:rsidRPr="10625857" w:rsidR="00AE22DB">
        <w:rPr>
          <w:rFonts w:ascii="Times New Roman" w:hAnsi="Times New Roman" w:eastAsia="Times New Roman" w:cs="Times New Roman"/>
          <w:sz w:val="24"/>
          <w:szCs w:val="24"/>
          <w:lang w:val="es-MX" w:eastAsia="ar-SA"/>
        </w:rPr>
        <w:t>que se deba pagar por mandato judicial, por lo que resulta evidente que no se puede asimilar el pago de la liquidación al pago de una compensación o bonificación extraordinaria por la renuncia voluntaria (que es lo que exige la póliza).  En consecuencia, se solicita que se confirme la resolución impugnada que declaró infundada la reclamación;</w:t>
      </w:r>
    </w:p>
    <w:p w:rsidRPr="00AE22DB" w:rsidR="00AE22DB" w:rsidP="00AE22DB" w:rsidRDefault="00AE22DB" w14:paraId="3609CC93"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AE22DB" w:rsidR="00AE22DB" w:rsidP="00AE22DB" w:rsidRDefault="00AE22DB" w14:paraId="30F9EF02" w14:textId="77777777">
      <w:pPr>
        <w:suppressAutoHyphens/>
        <w:spacing w:after="0" w:line="240" w:lineRule="auto"/>
        <w:jc w:val="both"/>
        <w:rPr>
          <w:rFonts w:ascii="Times New Roman" w:hAnsi="Times New Roman" w:cs="Times New Roman"/>
          <w:bCs/>
          <w:sz w:val="24"/>
          <w:szCs w:val="24"/>
          <w:lang w:val="es-ES"/>
        </w:rPr>
      </w:pPr>
      <w:r w:rsidRPr="00AE22DB">
        <w:rPr>
          <w:rFonts w:ascii="Times New Roman" w:hAnsi="Times New Roman" w:cs="Times New Roman"/>
          <w:bCs/>
          <w:sz w:val="24"/>
          <w:szCs w:val="24"/>
          <w:lang w:val="es-ES"/>
        </w:rPr>
        <w:t>Que, ambas partes han tenido la oportunidad para ejercer su derecho de defensa con relación a la resolución recurrida, siendo que este colegiado estima que se encuentra suficientemente informado para resolver de manera definitiva;</w:t>
      </w:r>
    </w:p>
    <w:p w:rsidRPr="00AE22DB" w:rsidR="00AE22DB" w:rsidP="00AE22DB" w:rsidRDefault="00AE22DB" w14:paraId="7F52DDC3"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AE22DB" w:rsidR="00AE22DB" w:rsidP="00AE22DB" w:rsidRDefault="00AE22DB" w14:paraId="29129154"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AE22DB">
        <w:rPr>
          <w:rFonts w:ascii="Times New Roman" w:hAnsi="Times New Roman" w:eastAsia="Times New Roman" w:cs="Times New Roman"/>
          <w:b/>
          <w:bCs/>
          <w:sz w:val="24"/>
          <w:szCs w:val="24"/>
          <w:lang w:val="es-MX" w:eastAsia="ar-SA"/>
        </w:rPr>
        <w:t>Considerando:</w:t>
      </w:r>
    </w:p>
    <w:p w:rsidRPr="00AE22DB" w:rsidR="00AE22DB" w:rsidP="00AE22DB" w:rsidRDefault="00AE22DB" w14:paraId="485E175C" w14:textId="77777777">
      <w:pPr>
        <w:suppressAutoHyphens/>
        <w:spacing w:after="0" w:line="240" w:lineRule="auto"/>
        <w:jc w:val="both"/>
        <w:rPr>
          <w:rFonts w:ascii="Times New Roman" w:hAnsi="Times New Roman" w:eastAsia="Times New Roman" w:cs="Times New Roman"/>
          <w:sz w:val="24"/>
          <w:szCs w:val="24"/>
          <w:lang w:val="es-ES" w:eastAsia="ar-SA"/>
        </w:rPr>
      </w:pPr>
    </w:p>
    <w:p w:rsidRPr="00AE22DB" w:rsidR="00AE22DB" w:rsidP="00AE22DB" w:rsidRDefault="00AE22DB" w14:paraId="5CB30813" w14:textId="77777777">
      <w:pPr>
        <w:spacing w:after="0" w:line="240" w:lineRule="auto"/>
        <w:jc w:val="both"/>
        <w:rPr>
          <w:rFonts w:ascii="Times New Roman" w:hAnsi="Times New Roman" w:cs="Times New Roman"/>
          <w:sz w:val="24"/>
          <w:szCs w:val="24"/>
          <w:lang w:val="es-PE"/>
        </w:rPr>
      </w:pPr>
      <w:r w:rsidRPr="00AE22DB">
        <w:rPr>
          <w:rFonts w:ascii="Times New Roman" w:hAnsi="Times New Roman" w:cs="Times New Roman"/>
          <w:b/>
          <w:sz w:val="24"/>
          <w:szCs w:val="24"/>
          <w:u w:val="single"/>
          <w:lang w:val="es-PE"/>
        </w:rPr>
        <w:t>Primero</w:t>
      </w:r>
      <w:r w:rsidRPr="00AE22DB">
        <w:rPr>
          <w:rFonts w:ascii="Times New Roman" w:hAnsi="Times New Roman" w:cs="Times New Roman"/>
          <w:b/>
          <w:sz w:val="24"/>
          <w:szCs w:val="24"/>
          <w:lang w:val="es-PE"/>
        </w:rPr>
        <w:t>:</w:t>
      </w:r>
      <w:r w:rsidRPr="00AE22DB">
        <w:rPr>
          <w:rFonts w:ascii="Times New Roman" w:hAnsi="Times New Roman" w:cs="Times New Roman"/>
          <w:sz w:val="24"/>
          <w:szCs w:val="24"/>
          <w:lang w:val="es-PE"/>
        </w:rPr>
        <w:t xml:space="preserve"> El Reglamento de la DEFASEG </w:t>
      </w:r>
      <w:r w:rsidRPr="00AE22DB">
        <w:rPr>
          <w:rFonts w:ascii="Times New Roman" w:hAnsi="Times New Roman" w:eastAsia="Arial Unicode MS" w:cs="Times New Roman"/>
          <w:sz w:val="24"/>
          <w:szCs w:val="24"/>
          <w:lang w:val="es-PE"/>
        </w:rPr>
        <w:t xml:space="preserve">(http://www.defaseg.com.pe/reglamento), en su artículo 10, </w:t>
      </w:r>
      <w:r w:rsidRPr="00AE22DB">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De manera complementaria, el artículo 11 del indicado reglamento dispone que, el </w:t>
      </w:r>
      <w:r w:rsidRPr="00AE22DB">
        <w:rPr>
          <w:rFonts w:ascii="Times New Roman" w:hAnsi="Times New Roman" w:cs="Times New Roman"/>
          <w:sz w:val="24"/>
          <w:szCs w:val="24"/>
          <w:lang w:val="es-ES"/>
        </w:rPr>
        <w:t>usuario de seguro recurre en forma voluntaria a la Defensoría, siendo que la presentación de una reclamación n</w:t>
      </w:r>
      <w:r w:rsidRPr="00AE22DB">
        <w:rPr>
          <w:rFonts w:ascii="Times New Roman" w:hAnsi="Times New Roman" w:cs="Times New Roman"/>
          <w:sz w:val="24"/>
          <w:szCs w:val="24"/>
          <w:lang w:val="es-PE"/>
        </w:rPr>
        <w:t xml:space="preserve">o limita su derecho a recurrir posteriormente ante el órgano administrativo o jurisdiccional que considere pertinente.  </w:t>
      </w:r>
      <w:proofErr w:type="gramStart"/>
      <w:r w:rsidRPr="00AE22DB">
        <w:rPr>
          <w:rFonts w:ascii="Times New Roman" w:hAnsi="Times New Roman" w:cs="Times New Roman"/>
          <w:sz w:val="24"/>
          <w:szCs w:val="24"/>
          <w:lang w:val="es-PE"/>
        </w:rPr>
        <w:t>De acuerdo a</w:t>
      </w:r>
      <w:proofErr w:type="gramEnd"/>
      <w:r w:rsidRPr="00AE22DB">
        <w:rPr>
          <w:rFonts w:ascii="Times New Roman" w:hAnsi="Times New Roman" w:cs="Times New Roman"/>
          <w:sz w:val="24"/>
          <w:szCs w:val="24"/>
          <w:lang w:val="es-PE"/>
        </w:rPr>
        <w:t xml:space="preserve"> lo anterior, si el asegurado no se encuentra conforme con lo resuelto, esto último no limita la posibilidad de poder recurrir a las instancias correspondientes, a diferencia de la aseguradora que sí queda comprometida con lo resuelto por la DEFASEG.</w:t>
      </w:r>
    </w:p>
    <w:p w:rsidRPr="00AE22DB" w:rsidR="00AE22DB" w:rsidP="00AE22DB" w:rsidRDefault="00AE22DB" w14:paraId="5B49B112" w14:textId="77777777">
      <w:pPr>
        <w:spacing w:after="0" w:line="240" w:lineRule="auto"/>
        <w:jc w:val="both"/>
        <w:rPr>
          <w:rFonts w:ascii="Times New Roman" w:hAnsi="Times New Roman" w:cs="Times New Roman"/>
          <w:sz w:val="24"/>
          <w:szCs w:val="24"/>
          <w:lang w:val="es-PE"/>
        </w:rPr>
      </w:pPr>
    </w:p>
    <w:p w:rsidRPr="00AE22DB" w:rsidR="00AE22DB" w:rsidP="00AE22DB" w:rsidRDefault="00AE22DB" w14:paraId="351AD628" w14:textId="77777777">
      <w:pPr>
        <w:tabs>
          <w:tab w:val="left" w:pos="0"/>
          <w:tab w:val="left" w:pos="2160"/>
        </w:tabs>
        <w:spacing w:after="0" w:line="240" w:lineRule="auto"/>
        <w:jc w:val="both"/>
        <w:rPr>
          <w:rFonts w:ascii="Times New Roman" w:hAnsi="Times New Roman" w:cs="Times New Roman"/>
          <w:sz w:val="24"/>
          <w:szCs w:val="24"/>
          <w:lang w:val="es-PE"/>
        </w:rPr>
      </w:pPr>
      <w:r w:rsidRPr="00AE22DB">
        <w:rPr>
          <w:rFonts w:ascii="Times New Roman" w:hAnsi="Times New Roman" w:cs="Times New Roman"/>
          <w:b/>
          <w:sz w:val="24"/>
          <w:szCs w:val="24"/>
          <w:u w:val="single"/>
          <w:lang w:val="es-PE"/>
        </w:rPr>
        <w:t>Segundo</w:t>
      </w:r>
      <w:r w:rsidRPr="00AE22DB">
        <w:rPr>
          <w:rFonts w:ascii="Times New Roman" w:hAnsi="Times New Roman" w:cs="Times New Roman"/>
          <w:b/>
          <w:sz w:val="24"/>
          <w:szCs w:val="24"/>
          <w:lang w:val="es-PE"/>
        </w:rPr>
        <w:t>:</w:t>
      </w:r>
      <w:r w:rsidRPr="00AE22DB">
        <w:rPr>
          <w:rFonts w:ascii="Times New Roman" w:hAnsi="Times New Roman" w:cs="Times New Roman"/>
          <w:sz w:val="24"/>
          <w:szCs w:val="24"/>
          <w:lang w:val="es-PE"/>
        </w:rPr>
        <w:t xml:space="preserve"> Atendiendo a los fundamentos de la impugnación interpuesta, se advierte finalmente que la asegurada reitera en gran medida los argumentos de defensa que ya fueron invocados en su oportunidad antes de la expedición de la resolución recurrida, y la aseguradora también hace lo propio.</w:t>
      </w:r>
    </w:p>
    <w:p w:rsidRPr="00AE22DB" w:rsidR="00AE22DB" w:rsidP="00AE22DB" w:rsidRDefault="00AE22DB" w14:paraId="61969578" w14:textId="77777777">
      <w:pPr>
        <w:tabs>
          <w:tab w:val="left" w:pos="0"/>
          <w:tab w:val="left" w:pos="2160"/>
        </w:tabs>
        <w:spacing w:after="0" w:line="240" w:lineRule="auto"/>
        <w:jc w:val="both"/>
        <w:rPr>
          <w:rFonts w:ascii="Times New Roman" w:hAnsi="Times New Roman" w:cs="Times New Roman"/>
          <w:sz w:val="24"/>
          <w:szCs w:val="24"/>
          <w:lang w:val="es-PE"/>
        </w:rPr>
      </w:pPr>
    </w:p>
    <w:p w:rsidRPr="00AE22DB" w:rsidR="00AE22DB" w:rsidP="00AE22DB" w:rsidRDefault="00AE22DB" w14:paraId="68F10DBC" w14:textId="0D78632D">
      <w:pPr>
        <w:tabs>
          <w:tab w:val="left" w:pos="0"/>
          <w:tab w:val="left" w:pos="2160"/>
        </w:tabs>
        <w:spacing w:after="0" w:line="240" w:lineRule="auto"/>
        <w:jc w:val="both"/>
        <w:rPr>
          <w:rFonts w:ascii="Times New Roman" w:hAnsi="Times New Roman" w:cs="Times New Roman"/>
          <w:sz w:val="24"/>
          <w:szCs w:val="24"/>
          <w:lang w:val="es-PE"/>
        </w:rPr>
      </w:pPr>
      <w:r w:rsidRPr="10625857" w:rsidR="00AE22DB">
        <w:rPr>
          <w:rFonts w:ascii="Times New Roman" w:hAnsi="Times New Roman" w:cs="Times New Roman"/>
          <w:sz w:val="24"/>
          <w:szCs w:val="24"/>
          <w:lang w:val="es-PE"/>
        </w:rPr>
        <w:t xml:space="preserve">Tratándose del hecho, que </w:t>
      </w:r>
      <w:r w:rsidRPr="10625857" w:rsidR="3F73E38C">
        <w:rPr>
          <w:rFonts w:ascii="Times New Roman" w:hAnsi="Times New Roman" w:cs="Times New Roman"/>
          <w:sz w:val="24"/>
          <w:szCs w:val="24"/>
          <w:lang w:val="es-PE"/>
        </w:rPr>
        <w:t>....................................</w:t>
      </w:r>
      <w:r w:rsidRPr="10625857" w:rsidR="00AE22DB">
        <w:rPr>
          <w:rFonts w:ascii="Times New Roman" w:hAnsi="Times New Roman" w:cs="Times New Roman"/>
          <w:sz w:val="24"/>
          <w:szCs w:val="24"/>
          <w:lang w:val="es-PE"/>
        </w:rPr>
        <w:t xml:space="preserve">, presenta como uno cierto, en el sentido que las pólizas carecían desde el 19 de octubre de 2021 de la cobertura de desempleo, porque para fines de su renovación se realizó la correspondiente comunicación (sobre cambio de condiciones) conforme al artículo 7 de la Ley del Contrato de Seguro, este colegiado reitera absolutamente lo analizado y concluido en el artículo 8.1 de la resolución recurrida.  Por elemental diligencia, atendiendo a dicho análisis y conclusión, correspondía probar a </w:t>
      </w:r>
      <w:r w:rsidRPr="10625857" w:rsidR="3F73E38C">
        <w:rPr>
          <w:rFonts w:ascii="Times New Roman" w:hAnsi="Times New Roman" w:cs="Times New Roman"/>
          <w:sz w:val="24"/>
          <w:szCs w:val="24"/>
          <w:lang w:val="es-PE"/>
        </w:rPr>
        <w:t>....................................</w:t>
      </w:r>
      <w:r w:rsidRPr="10625857" w:rsidR="00AE22DB">
        <w:rPr>
          <w:rFonts w:ascii="Times New Roman" w:hAnsi="Times New Roman" w:cs="Times New Roman"/>
          <w:sz w:val="24"/>
          <w:szCs w:val="24"/>
          <w:lang w:val="es-PE"/>
        </w:rPr>
        <w:t xml:space="preserve">, en vía de impugnación, el período anual de vigencia de la póliza, para que se tenga certeza que la comunicación fue oportuna, cerrando con ello la discusión.  Al no observar su carga probatoria, se ratifica que el argumento que invoca </w:t>
      </w:r>
      <w:r w:rsidRPr="10625857" w:rsidR="3F73E38C">
        <w:rPr>
          <w:rFonts w:ascii="Times New Roman" w:hAnsi="Times New Roman" w:cs="Times New Roman"/>
          <w:sz w:val="24"/>
          <w:szCs w:val="24"/>
          <w:lang w:val="es-PE"/>
        </w:rPr>
        <w:t>....................................</w:t>
      </w:r>
      <w:r w:rsidRPr="10625857" w:rsidR="00AE22DB">
        <w:rPr>
          <w:rFonts w:ascii="Times New Roman" w:hAnsi="Times New Roman" w:cs="Times New Roman"/>
          <w:sz w:val="24"/>
          <w:szCs w:val="24"/>
          <w:lang w:val="es-PE"/>
        </w:rPr>
        <w:t xml:space="preserve"> quede descartado.</w:t>
      </w:r>
    </w:p>
    <w:p w:rsidRPr="00AE22DB" w:rsidR="00AE22DB" w:rsidP="00AE22DB" w:rsidRDefault="00AE22DB" w14:paraId="02A8C9C8" w14:textId="77777777">
      <w:pPr>
        <w:tabs>
          <w:tab w:val="left" w:pos="0"/>
          <w:tab w:val="left" w:pos="2160"/>
        </w:tabs>
        <w:spacing w:after="0" w:line="240" w:lineRule="auto"/>
        <w:jc w:val="both"/>
        <w:rPr>
          <w:rFonts w:ascii="Times New Roman" w:hAnsi="Times New Roman" w:cs="Times New Roman"/>
          <w:sz w:val="24"/>
          <w:szCs w:val="24"/>
          <w:lang w:val="es-PE"/>
        </w:rPr>
      </w:pPr>
    </w:p>
    <w:p w:rsidRPr="00AE22DB" w:rsidR="00AE22DB" w:rsidP="00AE22DB" w:rsidRDefault="00AE22DB" w14:paraId="2051A106" w14:textId="77777777">
      <w:pPr>
        <w:tabs>
          <w:tab w:val="left" w:pos="0"/>
          <w:tab w:val="left" w:pos="2160"/>
        </w:tabs>
        <w:spacing w:after="0" w:line="240" w:lineRule="auto"/>
        <w:jc w:val="both"/>
        <w:rPr>
          <w:rFonts w:ascii="Times New Roman" w:hAnsi="Times New Roman" w:cs="Times New Roman"/>
          <w:sz w:val="24"/>
          <w:szCs w:val="24"/>
          <w:lang w:val="es-ES"/>
        </w:rPr>
      </w:pPr>
      <w:r w:rsidRPr="00AE22DB">
        <w:rPr>
          <w:rFonts w:ascii="Times New Roman" w:hAnsi="Times New Roman" w:cs="Times New Roman"/>
          <w:sz w:val="24"/>
          <w:szCs w:val="24"/>
          <w:lang w:val="es-PE"/>
        </w:rPr>
        <w:t xml:space="preserve">Tratándose, de otro lado (en la medida que se da como hecho cierto que subsiste la cobertura reclamada), del argumento de la reclamante en el sentido que la liquidación presentada demuestra que se le pagó una </w:t>
      </w:r>
      <w:r w:rsidRPr="00AE22DB">
        <w:rPr>
          <w:rFonts w:ascii="Times New Roman" w:hAnsi="Times New Roman" w:eastAsia="Times New Roman" w:cs="Times New Roman"/>
          <w:bCs/>
          <w:sz w:val="24"/>
          <w:szCs w:val="24"/>
          <w:lang w:val="es-MX" w:eastAsia="ar-SA"/>
        </w:rPr>
        <w:t xml:space="preserve">compensación o bonificación extraordinaria por la renuncia voluntaria, de un mes por cada año laborado, conforme a la exigencia de cobertura de las respectivas pólizas, para lo cual se remite a la transacción que invoca y presenta, este colegido estima que ello es una inferencia o deducción que no proviene del texto del documento de liquidación, conforme al cual se trata de un pago de gracia.  En función a que el texto en cuestión tiene un contenido y genera una lectura objetiva, corresponde que la interpretación propuesta por la asegurada sea trasladada a las instancias jurisdiccionales correspondientes para que, con elementos probatorios sucedáneos y/o concurrentes pueda finalmente concluirse en la interpretación propuesta, de corresponder.  Interpretar la liquidación de beneficios laborales en </w:t>
      </w:r>
      <w:r w:rsidRPr="00AE22DB">
        <w:rPr>
          <w:rFonts w:ascii="Times New Roman" w:hAnsi="Times New Roman" w:eastAsia="Times New Roman" w:cs="Times New Roman"/>
          <w:bCs/>
          <w:sz w:val="24"/>
          <w:szCs w:val="24"/>
          <w:lang w:val="es-MX" w:eastAsia="ar-SA"/>
        </w:rPr>
        <w:lastRenderedPageBreak/>
        <w:t>los términos que propone la asegurada desborda la competencia de este colegiado, por más que ella haya acreditado que la cobertura reclamada no demande necesariamente de un cese laboral involuntario.</w:t>
      </w:r>
    </w:p>
    <w:p w:rsidRPr="00AE22DB" w:rsidR="00AE22DB" w:rsidP="00AE22DB" w:rsidRDefault="00AE22DB" w14:paraId="769B32D4" w14:textId="77777777">
      <w:pPr>
        <w:tabs>
          <w:tab w:val="left" w:pos="0"/>
          <w:tab w:val="left" w:pos="2160"/>
        </w:tabs>
        <w:spacing w:after="0" w:line="240" w:lineRule="auto"/>
        <w:jc w:val="both"/>
        <w:rPr>
          <w:rFonts w:ascii="Times New Roman" w:hAnsi="Times New Roman" w:cs="Times New Roman"/>
          <w:sz w:val="24"/>
          <w:szCs w:val="24"/>
          <w:lang w:val="es-ES"/>
        </w:rPr>
      </w:pPr>
    </w:p>
    <w:p w:rsidRPr="00AE22DB" w:rsidR="00AE22DB" w:rsidP="00AE22DB" w:rsidRDefault="00AE22DB" w14:paraId="3AF9E315" w14:textId="77777777">
      <w:pPr>
        <w:tabs>
          <w:tab w:val="left" w:pos="0"/>
          <w:tab w:val="left" w:pos="2160"/>
        </w:tabs>
        <w:spacing w:after="0" w:line="240" w:lineRule="auto"/>
        <w:jc w:val="both"/>
        <w:rPr>
          <w:rFonts w:ascii="Times New Roman" w:hAnsi="Times New Roman" w:cs="Times New Roman"/>
          <w:sz w:val="24"/>
          <w:szCs w:val="24"/>
          <w:lang w:val="es-PE"/>
        </w:rPr>
      </w:pPr>
      <w:r w:rsidRPr="00AE22DB">
        <w:rPr>
          <w:rFonts w:ascii="Times New Roman" w:hAnsi="Times New Roman" w:cs="Times New Roman"/>
          <w:b/>
          <w:bCs/>
          <w:sz w:val="24"/>
          <w:szCs w:val="24"/>
          <w:u w:val="single"/>
          <w:lang w:val="es-PE"/>
        </w:rPr>
        <w:t>Tercero</w:t>
      </w:r>
      <w:r w:rsidRPr="00AE22DB">
        <w:rPr>
          <w:rFonts w:ascii="Times New Roman" w:hAnsi="Times New Roman" w:cs="Times New Roman"/>
          <w:b/>
          <w:bCs/>
          <w:sz w:val="24"/>
          <w:szCs w:val="24"/>
          <w:lang w:val="es-PE"/>
        </w:rPr>
        <w:t xml:space="preserve">: </w:t>
      </w:r>
      <w:r w:rsidRPr="00AE22DB">
        <w:rPr>
          <w:rFonts w:ascii="Times New Roman" w:hAnsi="Times New Roman" w:cs="Times New Roman"/>
          <w:sz w:val="24"/>
          <w:szCs w:val="24"/>
          <w:lang w:val="es-PE"/>
        </w:rPr>
        <w:t xml:space="preserve">Teniendo presente los fundamentos de la impugnación interpuesta y </w:t>
      </w:r>
      <w:r w:rsidRPr="00AE22DB">
        <w:rPr>
          <w:rFonts w:ascii="Times New Roman" w:hAnsi="Times New Roman" w:cs="Times New Roman"/>
          <w:sz w:val="24"/>
          <w:szCs w:val="24"/>
          <w:lang w:val="es-ES"/>
        </w:rPr>
        <w:t>las consideraciones precedentes, ratificando íntegramente el análisis y conclusión contenidos en la resolución recurrida, este colegiado aprecia que no existe mérito para revocar la resolución recurrida; por lo tanto,</w:t>
      </w:r>
    </w:p>
    <w:p w:rsidRPr="00AE22DB" w:rsidR="00AE22DB" w:rsidP="00AE22DB" w:rsidRDefault="00AE22DB" w14:paraId="1F895E0B" w14:textId="77777777">
      <w:pPr>
        <w:spacing w:after="0" w:line="240" w:lineRule="auto"/>
        <w:jc w:val="both"/>
        <w:rPr>
          <w:rFonts w:ascii="Times New Roman" w:hAnsi="Times New Roman" w:eastAsia="Times New Roman" w:cs="Times New Roman"/>
          <w:bCs/>
          <w:sz w:val="24"/>
          <w:szCs w:val="24"/>
          <w:lang w:val="es-PE" w:eastAsia="ar-SA"/>
        </w:rPr>
      </w:pPr>
    </w:p>
    <w:p w:rsidRPr="00AE22DB" w:rsidR="00AE22DB" w:rsidP="00AE22DB" w:rsidRDefault="00AE22DB" w14:paraId="73E9956C" w14:textId="77777777">
      <w:pPr>
        <w:spacing w:after="0" w:line="240" w:lineRule="auto"/>
        <w:jc w:val="both"/>
        <w:rPr>
          <w:rFonts w:ascii="Times New Roman" w:hAnsi="Times New Roman" w:cs="Times New Roman"/>
          <w:b/>
          <w:sz w:val="24"/>
          <w:szCs w:val="24"/>
          <w:lang w:val="es-PE"/>
        </w:rPr>
      </w:pPr>
      <w:r w:rsidRPr="00AE22DB">
        <w:rPr>
          <w:rFonts w:ascii="Times New Roman" w:hAnsi="Times New Roman" w:cs="Times New Roman"/>
          <w:b/>
          <w:sz w:val="24"/>
          <w:szCs w:val="24"/>
          <w:lang w:val="es-PE"/>
        </w:rPr>
        <w:t>Atendiendo a lo expresado, conforme a su reglamento, esta Defensoría resuelve:</w:t>
      </w:r>
    </w:p>
    <w:p w:rsidRPr="00AE22DB" w:rsidR="00AE22DB" w:rsidP="00AE22DB" w:rsidRDefault="00AE22DB" w14:paraId="631650BC" w14:textId="77777777">
      <w:pPr>
        <w:spacing w:after="0" w:line="240" w:lineRule="auto"/>
        <w:jc w:val="both"/>
        <w:rPr>
          <w:rFonts w:ascii="Times New Roman" w:hAnsi="Times New Roman" w:eastAsia="Arial Unicode MS" w:cs="Times New Roman"/>
          <w:b/>
          <w:sz w:val="24"/>
          <w:szCs w:val="24"/>
          <w:lang w:val="es-PE"/>
        </w:rPr>
      </w:pPr>
    </w:p>
    <w:p w:rsidRPr="00AE22DB" w:rsidR="00AE22DB" w:rsidP="10625857" w:rsidRDefault="00AE22DB" w14:paraId="6A2429EA" w14:textId="1FFD7771">
      <w:pPr>
        <w:spacing w:after="0" w:line="240" w:lineRule="auto"/>
        <w:jc w:val="both"/>
        <w:rPr>
          <w:rFonts w:ascii="Times New Roman" w:hAnsi="Times New Roman" w:cs="Times New Roman"/>
          <w:sz w:val="24"/>
          <w:szCs w:val="24"/>
          <w:lang w:val="es-ES"/>
        </w:rPr>
      </w:pPr>
      <w:r w:rsidRPr="10625857" w:rsidR="00AE22DB">
        <w:rPr>
          <w:rFonts w:ascii="Times New Roman" w:hAnsi="Times New Roman" w:eastAsia="Arial Unicode MS" w:cs="Times New Roman"/>
          <w:b w:val="1"/>
          <w:bCs w:val="1"/>
          <w:sz w:val="24"/>
          <w:szCs w:val="24"/>
          <w:lang w:val="es-PE"/>
        </w:rPr>
        <w:t xml:space="preserve">Declarar INFUNDADO el recurso impugnativo </w:t>
      </w:r>
      <w:r w:rsidRPr="10625857" w:rsidR="00AE22DB">
        <w:rPr>
          <w:rFonts w:ascii="Times New Roman" w:hAnsi="Times New Roman" w:eastAsia="Arial Unicode MS" w:cs="Times New Roman"/>
          <w:sz w:val="24"/>
          <w:szCs w:val="24"/>
          <w:lang w:val="es-PE"/>
        </w:rPr>
        <w:t xml:space="preserve">interpuesto por </w:t>
      </w:r>
      <w:r w:rsidRPr="10625857" w:rsidR="00AE22DB">
        <w:rPr>
          <w:rFonts w:ascii="Times New Roman" w:hAnsi="Times New Roman" w:eastAsia="Times New Roman" w:cs="Times New Roman"/>
          <w:sz w:val="24"/>
          <w:szCs w:val="24"/>
          <w:lang w:val="es-ES" w:eastAsia="ar-SA"/>
        </w:rPr>
        <w:t>doña</w:t>
      </w:r>
      <w:r w:rsidRPr="10625857" w:rsidR="00AE22DB">
        <w:rPr>
          <w:rFonts w:ascii="Times New Roman" w:hAnsi="Times New Roman" w:cs="Times New Roman"/>
          <w:sz w:val="24"/>
          <w:szCs w:val="24"/>
          <w:lang w:val="es-ES"/>
        </w:rPr>
        <w:t xml:space="preserve"> </w:t>
      </w:r>
      <w:r w:rsidRPr="10625857" w:rsidR="11660D74">
        <w:rPr>
          <w:rFonts w:ascii="Times New Roman" w:hAnsi="Times New Roman" w:cs="Times New Roman"/>
          <w:sz w:val="24"/>
          <w:szCs w:val="24"/>
          <w:lang w:val="es-ES"/>
        </w:rPr>
        <w:t>..................................................................................</w:t>
      </w:r>
      <w:r w:rsidRPr="10625857" w:rsidR="00AE22DB">
        <w:rPr>
          <w:rFonts w:ascii="Times New Roman" w:hAnsi="Times New Roman" w:eastAsia="Times New Roman" w:cs="Times New Roman"/>
          <w:sz w:val="24"/>
          <w:szCs w:val="24"/>
          <w:lang w:val="es-ES" w:eastAsia="ar-SA"/>
        </w:rPr>
        <w:t xml:space="preserve"> y, por consiguiente, ratificar la Resolución Nro. 134/22, de fecha 27 de junio de 2022, en todos sus extremos, dejándose nuevamente a salvo su derecho de recurrir a las instancias que estime pertinentes para hacer valer su pretensión.</w:t>
      </w:r>
    </w:p>
    <w:p w:rsidRPr="00AE22DB" w:rsidR="00AE22DB" w:rsidP="00092C2E" w:rsidRDefault="00AE22DB" w14:paraId="76522F82" w14:textId="77777777">
      <w:pPr>
        <w:suppressAutoHyphens/>
        <w:spacing w:after="0" w:line="240" w:lineRule="auto"/>
        <w:jc w:val="right"/>
        <w:outlineLvl w:val="0"/>
        <w:rPr>
          <w:rFonts w:ascii="Times New Roman" w:hAnsi="Times New Roman" w:eastAsia="Times New Roman" w:cs="Times New Roman"/>
          <w:b/>
          <w:bCs/>
          <w:sz w:val="24"/>
          <w:szCs w:val="24"/>
          <w:lang w:val="es-ES" w:eastAsia="ar-SA"/>
        </w:rPr>
      </w:pPr>
    </w:p>
    <w:p w:rsidRPr="00AE22DB" w:rsidR="00C173A8" w:rsidP="00092C2E" w:rsidRDefault="00C173A8" w14:paraId="21EFD7D3" w14:textId="6B6C1BFA">
      <w:pPr>
        <w:suppressAutoHyphens/>
        <w:spacing w:after="0" w:line="240" w:lineRule="auto"/>
        <w:jc w:val="right"/>
        <w:outlineLvl w:val="0"/>
        <w:rPr>
          <w:rFonts w:ascii="Times New Roman" w:hAnsi="Times New Roman" w:eastAsia="Arial Unicode MS" w:cs="Times New Roman"/>
          <w:sz w:val="24"/>
          <w:szCs w:val="24"/>
          <w:lang w:val="es-PE" w:eastAsia="ar-SA"/>
        </w:rPr>
      </w:pPr>
      <w:r w:rsidRPr="00AE22DB">
        <w:rPr>
          <w:rFonts w:ascii="Times New Roman" w:hAnsi="Times New Roman" w:eastAsia="Arial Unicode MS" w:cs="Times New Roman"/>
          <w:sz w:val="24"/>
          <w:szCs w:val="24"/>
          <w:lang w:val="es-PE" w:eastAsia="ar-SA"/>
        </w:rPr>
        <w:t xml:space="preserve">Lima, </w:t>
      </w:r>
      <w:r w:rsidRPr="00AE22DB" w:rsidR="00E41D03">
        <w:rPr>
          <w:rFonts w:ascii="Times New Roman" w:hAnsi="Times New Roman" w:eastAsia="Arial Unicode MS" w:cs="Times New Roman"/>
          <w:sz w:val="24"/>
          <w:szCs w:val="24"/>
          <w:lang w:val="es-PE" w:eastAsia="ar-SA"/>
        </w:rPr>
        <w:t>1</w:t>
      </w:r>
      <w:r w:rsidRPr="00AE22DB" w:rsidR="0063405A">
        <w:rPr>
          <w:rFonts w:ascii="Times New Roman" w:hAnsi="Times New Roman" w:eastAsia="Arial Unicode MS" w:cs="Times New Roman"/>
          <w:sz w:val="24"/>
          <w:szCs w:val="24"/>
          <w:lang w:val="es-PE" w:eastAsia="ar-SA"/>
        </w:rPr>
        <w:t>8</w:t>
      </w:r>
      <w:r w:rsidRPr="00AE22DB" w:rsidR="00E72889">
        <w:rPr>
          <w:rFonts w:ascii="Times New Roman" w:hAnsi="Times New Roman" w:eastAsia="Arial Unicode MS" w:cs="Times New Roman"/>
          <w:sz w:val="24"/>
          <w:szCs w:val="24"/>
          <w:lang w:val="es-PE" w:eastAsia="ar-SA"/>
        </w:rPr>
        <w:t xml:space="preserve"> </w:t>
      </w:r>
      <w:r w:rsidRPr="00AE22DB">
        <w:rPr>
          <w:rFonts w:ascii="Times New Roman" w:hAnsi="Times New Roman" w:eastAsia="Arial Unicode MS" w:cs="Times New Roman"/>
          <w:sz w:val="24"/>
          <w:szCs w:val="24"/>
          <w:lang w:val="es-PE" w:eastAsia="ar-SA"/>
        </w:rPr>
        <w:t xml:space="preserve">de </w:t>
      </w:r>
      <w:r w:rsidRPr="00AE22DB" w:rsidR="006E5783">
        <w:rPr>
          <w:rFonts w:ascii="Times New Roman" w:hAnsi="Times New Roman" w:eastAsia="Arial Unicode MS" w:cs="Times New Roman"/>
          <w:sz w:val="24"/>
          <w:szCs w:val="24"/>
          <w:lang w:val="es-PE" w:eastAsia="ar-SA"/>
        </w:rPr>
        <w:t>ju</w:t>
      </w:r>
      <w:r w:rsidRPr="00AE22DB" w:rsidR="00E72889">
        <w:rPr>
          <w:rFonts w:ascii="Times New Roman" w:hAnsi="Times New Roman" w:eastAsia="Arial Unicode MS" w:cs="Times New Roman"/>
          <w:sz w:val="24"/>
          <w:szCs w:val="24"/>
          <w:lang w:val="es-PE" w:eastAsia="ar-SA"/>
        </w:rPr>
        <w:t>l</w:t>
      </w:r>
      <w:r w:rsidRPr="00AE22DB" w:rsidR="006E5783">
        <w:rPr>
          <w:rFonts w:ascii="Times New Roman" w:hAnsi="Times New Roman" w:eastAsia="Arial Unicode MS" w:cs="Times New Roman"/>
          <w:sz w:val="24"/>
          <w:szCs w:val="24"/>
          <w:lang w:val="es-PE" w:eastAsia="ar-SA"/>
        </w:rPr>
        <w:t>io</w:t>
      </w:r>
      <w:r w:rsidRPr="00AE22DB">
        <w:rPr>
          <w:rFonts w:ascii="Times New Roman" w:hAnsi="Times New Roman" w:eastAsia="Arial Unicode MS" w:cs="Times New Roman"/>
          <w:sz w:val="24"/>
          <w:szCs w:val="24"/>
          <w:lang w:val="es-PE" w:eastAsia="ar-SA"/>
        </w:rPr>
        <w:t xml:space="preserve"> de 2022</w:t>
      </w:r>
      <w:r w:rsidRPr="00AE22DB">
        <w:rPr>
          <w:rFonts w:ascii="Times New Roman" w:hAnsi="Times New Roman" w:eastAsia="Times New Roman" w:cs="Times New Roman"/>
          <w:sz w:val="24"/>
          <w:szCs w:val="24"/>
          <w:lang w:val="es-PE" w:eastAsia="ar-SA"/>
        </w:rPr>
        <w:t xml:space="preserve"> </w:t>
      </w:r>
    </w:p>
    <w:p w:rsidRPr="00AE22DB" w:rsidR="00C173A8" w:rsidP="00C173A8" w:rsidRDefault="00C173A8" w14:paraId="09378A4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AE22DB" w:rsidR="00C173A8" w:rsidP="00C173A8" w:rsidRDefault="00C173A8" w14:paraId="32C08A5A" w14:textId="77777777">
      <w:pPr>
        <w:spacing w:after="0" w:line="240" w:lineRule="auto"/>
        <w:jc w:val="both"/>
        <w:rPr>
          <w:rFonts w:ascii="Times New Roman" w:hAnsi="Times New Roman" w:cs="Times New Roman"/>
          <w:b/>
          <w:bCs/>
          <w:i/>
          <w:iCs/>
          <w:sz w:val="24"/>
          <w:szCs w:val="24"/>
          <w:lang w:val="es-PE"/>
        </w:rPr>
      </w:pPr>
      <w:r w:rsidRPr="00AE22DB">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AE22DB" w:rsidR="00C173A8" w:rsidP="00C173A8" w:rsidRDefault="00C173A8" w14:paraId="1F888041" w14:textId="77777777">
      <w:pPr>
        <w:spacing w:after="0" w:line="360" w:lineRule="auto"/>
        <w:jc w:val="both"/>
        <w:rPr>
          <w:rFonts w:ascii="Times New Roman" w:hAnsi="Times New Roman" w:cs="Times New Roman"/>
          <w:b/>
          <w:bCs/>
          <w:i/>
          <w:iCs/>
          <w:sz w:val="24"/>
          <w:szCs w:val="24"/>
          <w:lang w:val="es-PE"/>
        </w:rPr>
      </w:pPr>
    </w:p>
    <w:p w:rsidRPr="00AE22DB" w:rsidR="001B1998" w:rsidP="001B1998" w:rsidRDefault="001B1998" w14:paraId="4E9466D5" w14:textId="531C1F75">
      <w:pPr>
        <w:spacing w:after="0" w:line="360" w:lineRule="auto"/>
        <w:jc w:val="center"/>
        <w:rPr>
          <w:rFonts w:ascii="Times New Roman" w:hAnsi="Times New Roman" w:cs="Times New Roman"/>
          <w:b/>
          <w:bCs/>
          <w:sz w:val="24"/>
          <w:szCs w:val="24"/>
          <w:lang w:val="es-PE"/>
        </w:rPr>
      </w:pPr>
      <w:r w:rsidRPr="00AE22DB">
        <w:rPr>
          <w:rFonts w:ascii="Times New Roman" w:hAnsi="Times New Roman" w:cs="Times New Roman"/>
          <w:b/>
          <w:bCs/>
          <w:sz w:val="24"/>
          <w:szCs w:val="24"/>
          <w:lang w:val="es-PE"/>
        </w:rPr>
        <w:t xml:space="preserve">Marco Antonio Ortega Piana – </w:t>
      </w:r>
      <w:proofErr w:type="gramStart"/>
      <w:r w:rsidRPr="00AE22DB">
        <w:rPr>
          <w:rFonts w:ascii="Times New Roman" w:hAnsi="Times New Roman" w:cs="Times New Roman"/>
          <w:b/>
          <w:bCs/>
          <w:sz w:val="24"/>
          <w:szCs w:val="24"/>
          <w:lang w:val="es-PE"/>
        </w:rPr>
        <w:t>Presidente</w:t>
      </w:r>
      <w:proofErr w:type="gramEnd"/>
    </w:p>
    <w:p w:rsidRPr="00AE22DB" w:rsidR="00C173A8" w:rsidP="00C173A8" w:rsidRDefault="00C173A8" w14:paraId="52AD041F" w14:textId="654F9D48">
      <w:pPr>
        <w:spacing w:after="0" w:line="360" w:lineRule="auto"/>
        <w:jc w:val="center"/>
        <w:rPr>
          <w:rFonts w:ascii="Times New Roman" w:hAnsi="Times New Roman" w:cs="Times New Roman"/>
          <w:b/>
          <w:bCs/>
          <w:sz w:val="24"/>
          <w:szCs w:val="24"/>
          <w:lang w:val="es-PE"/>
        </w:rPr>
      </w:pPr>
      <w:r w:rsidRPr="00AE22DB">
        <w:rPr>
          <w:rFonts w:ascii="Times New Roman" w:hAnsi="Times New Roman" w:cs="Times New Roman"/>
          <w:b/>
          <w:bCs/>
          <w:sz w:val="24"/>
          <w:szCs w:val="24"/>
          <w:lang w:val="es-PE"/>
        </w:rPr>
        <w:t xml:space="preserve">María Eugenia Valdez Fernández Baca – </w:t>
      </w:r>
      <w:r w:rsidRPr="00AE22DB" w:rsidR="001B1998">
        <w:rPr>
          <w:rFonts w:ascii="Times New Roman" w:hAnsi="Times New Roman" w:cs="Times New Roman"/>
          <w:b/>
          <w:bCs/>
          <w:sz w:val="24"/>
          <w:szCs w:val="24"/>
          <w:lang w:val="es-PE"/>
        </w:rPr>
        <w:t>Vocal</w:t>
      </w:r>
    </w:p>
    <w:p w:rsidRPr="00AE22DB" w:rsidR="00C173A8" w:rsidP="00C173A8" w:rsidRDefault="00C173A8" w14:paraId="5283F02D" w14:textId="77777777">
      <w:pPr>
        <w:spacing w:after="0" w:line="360" w:lineRule="auto"/>
        <w:jc w:val="center"/>
        <w:rPr>
          <w:rFonts w:ascii="Times New Roman" w:hAnsi="Times New Roman" w:cs="Times New Roman"/>
          <w:b/>
          <w:bCs/>
          <w:sz w:val="24"/>
          <w:szCs w:val="24"/>
          <w:lang w:val="es-PE"/>
        </w:rPr>
      </w:pPr>
      <w:r w:rsidRPr="00AE22DB">
        <w:rPr>
          <w:rFonts w:ascii="Times New Roman" w:hAnsi="Times New Roman" w:cs="Times New Roman"/>
          <w:b/>
          <w:bCs/>
          <w:sz w:val="24"/>
          <w:szCs w:val="24"/>
          <w:lang w:val="es-PE"/>
        </w:rPr>
        <w:t xml:space="preserve">Rolando Eyzaguirre </w:t>
      </w:r>
      <w:proofErr w:type="spellStart"/>
      <w:r w:rsidRPr="00AE22DB">
        <w:rPr>
          <w:rFonts w:ascii="Times New Roman" w:hAnsi="Times New Roman" w:cs="Times New Roman"/>
          <w:b/>
          <w:bCs/>
          <w:sz w:val="24"/>
          <w:szCs w:val="24"/>
          <w:lang w:val="es-PE"/>
        </w:rPr>
        <w:t>Maccan</w:t>
      </w:r>
      <w:proofErr w:type="spellEnd"/>
      <w:r w:rsidRPr="00AE22DB">
        <w:rPr>
          <w:rFonts w:ascii="Times New Roman" w:hAnsi="Times New Roman" w:cs="Times New Roman"/>
          <w:b/>
          <w:bCs/>
          <w:sz w:val="24"/>
          <w:szCs w:val="24"/>
          <w:lang w:val="es-PE"/>
        </w:rPr>
        <w:t xml:space="preserve"> - Vocal</w:t>
      </w:r>
    </w:p>
    <w:p w:rsidRPr="00AE22DB" w:rsidR="00C173A8" w:rsidP="00C173A8" w:rsidRDefault="00C173A8" w14:paraId="1F947C8E" w14:textId="77777777">
      <w:pPr>
        <w:spacing w:after="0" w:line="360" w:lineRule="auto"/>
        <w:jc w:val="center"/>
        <w:rPr>
          <w:rFonts w:ascii="Times New Roman" w:hAnsi="Times New Roman" w:cs="Times New Roman"/>
          <w:sz w:val="24"/>
          <w:szCs w:val="24"/>
          <w:lang w:val="es-PE"/>
        </w:rPr>
      </w:pPr>
      <w:r w:rsidRPr="00AE22DB">
        <w:rPr>
          <w:rFonts w:ascii="Times New Roman" w:hAnsi="Times New Roman" w:cs="Times New Roman"/>
          <w:b/>
          <w:bCs/>
          <w:sz w:val="24"/>
          <w:szCs w:val="24"/>
          <w:lang w:val="es-PE"/>
        </w:rPr>
        <w:t>Gonzalo Abad del Busto – Vocal</w:t>
      </w:r>
    </w:p>
    <w:p w:rsidRPr="0090308F"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913230"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913230"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C62B3" w:rsidP="00784355" w:rsidRDefault="004C62B3" w14:paraId="5988B7E3" w14:textId="77777777">
      <w:pPr>
        <w:spacing w:after="0" w:line="240" w:lineRule="auto"/>
      </w:pPr>
      <w:r>
        <w:separator/>
      </w:r>
    </w:p>
  </w:endnote>
  <w:endnote w:type="continuationSeparator" w:id="0">
    <w:p w:rsidR="004C62B3" w:rsidP="00784355" w:rsidRDefault="004C62B3" w14:paraId="387109E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C62B3" w:rsidP="00784355" w:rsidRDefault="004C62B3" w14:paraId="47EEC7DE" w14:textId="77777777">
      <w:pPr>
        <w:spacing w:after="0" w:line="240" w:lineRule="auto"/>
      </w:pPr>
      <w:r>
        <w:separator/>
      </w:r>
    </w:p>
  </w:footnote>
  <w:footnote w:type="continuationSeparator" w:id="0">
    <w:p w:rsidR="004C62B3" w:rsidP="00784355" w:rsidRDefault="004C62B3" w14:paraId="0F1B993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F01B98"/>
    <w:multiLevelType w:val="hybridMultilevel"/>
    <w:tmpl w:val="4E568F10"/>
    <w:lvl w:ilvl="0" w:tplc="43687AE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1E6C3D16"/>
    <w:multiLevelType w:val="hybridMultilevel"/>
    <w:tmpl w:val="6C964C52"/>
    <w:lvl w:ilvl="0" w:tplc="7E32D3D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A2456F9"/>
    <w:multiLevelType w:val="hybridMultilevel"/>
    <w:tmpl w:val="144C21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54D03B7"/>
    <w:multiLevelType w:val="hybridMultilevel"/>
    <w:tmpl w:val="55FC3FD8"/>
    <w:lvl w:ilvl="0" w:tplc="B05AECA6">
      <w:start w:val="1"/>
      <w:numFmt w:val="lowerLetter"/>
      <w:lvlText w:val="%1)"/>
      <w:lvlJc w:val="left"/>
      <w:pPr>
        <w:ind w:left="720" w:hanging="360"/>
      </w:pPr>
      <w:rPr>
        <w:rFonts w:hint="default" w:ascii="Arial" w:hAnsi="Arial" w:cs="Arial"/>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994654D"/>
    <w:multiLevelType w:val="hybridMultilevel"/>
    <w:tmpl w:val="835A9F56"/>
    <w:lvl w:ilvl="0" w:tplc="23EEAED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7C27387"/>
    <w:multiLevelType w:val="hybridMultilevel"/>
    <w:tmpl w:val="AD345772"/>
    <w:lvl w:ilvl="0" w:tplc="2A56B260">
      <w:start w:val="1"/>
      <w:numFmt w:val="lowerLetter"/>
      <w:lvlText w:val="%1)"/>
      <w:lvlJc w:val="left"/>
      <w:pPr>
        <w:ind w:left="720" w:hanging="360"/>
      </w:pPr>
      <w:rPr>
        <w:i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12"/>
  </w:num>
  <w:num w:numId="3" w16cid:durableId="760956054">
    <w:abstractNumId w:val="8"/>
  </w:num>
  <w:num w:numId="4" w16cid:durableId="1079518208">
    <w:abstractNumId w:val="7"/>
  </w:num>
  <w:num w:numId="5" w16cid:durableId="1198003566">
    <w:abstractNumId w:val="10"/>
  </w:num>
  <w:num w:numId="6" w16cid:durableId="1607540339">
    <w:abstractNumId w:val="0"/>
  </w:num>
  <w:num w:numId="7" w16cid:durableId="1490902120">
    <w:abstractNumId w:val="14"/>
  </w:num>
  <w:num w:numId="8" w16cid:durableId="615214413">
    <w:abstractNumId w:val="15"/>
  </w:num>
  <w:num w:numId="9" w16cid:durableId="10181194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8796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9896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18244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2888147">
    <w:abstractNumId w:val="2"/>
  </w:num>
  <w:num w:numId="16" w16cid:durableId="536218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20296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627"/>
    <w:rsid w:val="00005B96"/>
    <w:rsid w:val="00010987"/>
    <w:rsid w:val="00013057"/>
    <w:rsid w:val="000159CC"/>
    <w:rsid w:val="00015C22"/>
    <w:rsid w:val="00015D27"/>
    <w:rsid w:val="000167E0"/>
    <w:rsid w:val="000235E9"/>
    <w:rsid w:val="0002637D"/>
    <w:rsid w:val="0002733C"/>
    <w:rsid w:val="00027978"/>
    <w:rsid w:val="000349E7"/>
    <w:rsid w:val="00034DBD"/>
    <w:rsid w:val="000365E3"/>
    <w:rsid w:val="00041B86"/>
    <w:rsid w:val="0004480C"/>
    <w:rsid w:val="00050563"/>
    <w:rsid w:val="00053D16"/>
    <w:rsid w:val="00056D9F"/>
    <w:rsid w:val="000608AB"/>
    <w:rsid w:val="00063183"/>
    <w:rsid w:val="0006548C"/>
    <w:rsid w:val="0006754B"/>
    <w:rsid w:val="00070DB6"/>
    <w:rsid w:val="00071A25"/>
    <w:rsid w:val="00076E73"/>
    <w:rsid w:val="00077B6F"/>
    <w:rsid w:val="00080A9A"/>
    <w:rsid w:val="000835CB"/>
    <w:rsid w:val="00083D69"/>
    <w:rsid w:val="00083F50"/>
    <w:rsid w:val="00084148"/>
    <w:rsid w:val="00092684"/>
    <w:rsid w:val="00092C2E"/>
    <w:rsid w:val="0009634E"/>
    <w:rsid w:val="000A5666"/>
    <w:rsid w:val="000A5CAA"/>
    <w:rsid w:val="000B19A0"/>
    <w:rsid w:val="000B58D8"/>
    <w:rsid w:val="000C0734"/>
    <w:rsid w:val="000C3D6F"/>
    <w:rsid w:val="000D7664"/>
    <w:rsid w:val="000F6340"/>
    <w:rsid w:val="0011308C"/>
    <w:rsid w:val="001211EB"/>
    <w:rsid w:val="001230C6"/>
    <w:rsid w:val="001233F2"/>
    <w:rsid w:val="00125B9B"/>
    <w:rsid w:val="001320DF"/>
    <w:rsid w:val="00135FD8"/>
    <w:rsid w:val="00136E12"/>
    <w:rsid w:val="001373AF"/>
    <w:rsid w:val="001377EF"/>
    <w:rsid w:val="0014407B"/>
    <w:rsid w:val="00150874"/>
    <w:rsid w:val="001508BC"/>
    <w:rsid w:val="001529FE"/>
    <w:rsid w:val="0016101B"/>
    <w:rsid w:val="00165FF2"/>
    <w:rsid w:val="001703D8"/>
    <w:rsid w:val="00170E39"/>
    <w:rsid w:val="00174918"/>
    <w:rsid w:val="00174DA5"/>
    <w:rsid w:val="00181908"/>
    <w:rsid w:val="00181A00"/>
    <w:rsid w:val="00181DCE"/>
    <w:rsid w:val="00187BFD"/>
    <w:rsid w:val="001950B9"/>
    <w:rsid w:val="0019649B"/>
    <w:rsid w:val="001A008A"/>
    <w:rsid w:val="001A2083"/>
    <w:rsid w:val="001A3395"/>
    <w:rsid w:val="001A44E1"/>
    <w:rsid w:val="001B1998"/>
    <w:rsid w:val="001B1E59"/>
    <w:rsid w:val="001B58A3"/>
    <w:rsid w:val="001D0EED"/>
    <w:rsid w:val="001D59D9"/>
    <w:rsid w:val="001D6136"/>
    <w:rsid w:val="001E119C"/>
    <w:rsid w:val="001E4337"/>
    <w:rsid w:val="001E5803"/>
    <w:rsid w:val="001E6261"/>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53FA0"/>
    <w:rsid w:val="00266105"/>
    <w:rsid w:val="0027261F"/>
    <w:rsid w:val="00272F4F"/>
    <w:rsid w:val="0027301E"/>
    <w:rsid w:val="00274985"/>
    <w:rsid w:val="002768C6"/>
    <w:rsid w:val="00276A92"/>
    <w:rsid w:val="00277667"/>
    <w:rsid w:val="0027785B"/>
    <w:rsid w:val="00290CA4"/>
    <w:rsid w:val="002A0411"/>
    <w:rsid w:val="002A31D3"/>
    <w:rsid w:val="002A481F"/>
    <w:rsid w:val="002A7E2E"/>
    <w:rsid w:val="002B726E"/>
    <w:rsid w:val="002C1B87"/>
    <w:rsid w:val="002C2A0F"/>
    <w:rsid w:val="002D0DB0"/>
    <w:rsid w:val="002D2DFA"/>
    <w:rsid w:val="002D3B01"/>
    <w:rsid w:val="002E1221"/>
    <w:rsid w:val="002E17F9"/>
    <w:rsid w:val="002E72CC"/>
    <w:rsid w:val="002F09CA"/>
    <w:rsid w:val="002F35F0"/>
    <w:rsid w:val="002F376A"/>
    <w:rsid w:val="00303302"/>
    <w:rsid w:val="003045E3"/>
    <w:rsid w:val="00311A83"/>
    <w:rsid w:val="003156E0"/>
    <w:rsid w:val="0032132E"/>
    <w:rsid w:val="00340E4B"/>
    <w:rsid w:val="0034529A"/>
    <w:rsid w:val="00345DF0"/>
    <w:rsid w:val="00345F7F"/>
    <w:rsid w:val="00347D7E"/>
    <w:rsid w:val="00351860"/>
    <w:rsid w:val="00353092"/>
    <w:rsid w:val="003544B1"/>
    <w:rsid w:val="00357D70"/>
    <w:rsid w:val="00362449"/>
    <w:rsid w:val="00364E0F"/>
    <w:rsid w:val="00366842"/>
    <w:rsid w:val="00367746"/>
    <w:rsid w:val="0038055E"/>
    <w:rsid w:val="0038290F"/>
    <w:rsid w:val="00391F72"/>
    <w:rsid w:val="00392259"/>
    <w:rsid w:val="003A3661"/>
    <w:rsid w:val="003A3F8C"/>
    <w:rsid w:val="003B348C"/>
    <w:rsid w:val="003B3A93"/>
    <w:rsid w:val="003B41F7"/>
    <w:rsid w:val="003B798E"/>
    <w:rsid w:val="003D09A9"/>
    <w:rsid w:val="003D2FC4"/>
    <w:rsid w:val="003D4684"/>
    <w:rsid w:val="003D4687"/>
    <w:rsid w:val="003E0CC2"/>
    <w:rsid w:val="003E450C"/>
    <w:rsid w:val="003F0C97"/>
    <w:rsid w:val="003F1149"/>
    <w:rsid w:val="003F1B5F"/>
    <w:rsid w:val="003F3726"/>
    <w:rsid w:val="003F6B30"/>
    <w:rsid w:val="00403814"/>
    <w:rsid w:val="004049B9"/>
    <w:rsid w:val="00407045"/>
    <w:rsid w:val="00413C3F"/>
    <w:rsid w:val="00415B14"/>
    <w:rsid w:val="00417E23"/>
    <w:rsid w:val="004201E5"/>
    <w:rsid w:val="00425F75"/>
    <w:rsid w:val="00434D9C"/>
    <w:rsid w:val="00440BC2"/>
    <w:rsid w:val="00444232"/>
    <w:rsid w:val="00447FE4"/>
    <w:rsid w:val="00460C30"/>
    <w:rsid w:val="00465FB9"/>
    <w:rsid w:val="00466302"/>
    <w:rsid w:val="0047370C"/>
    <w:rsid w:val="0047522D"/>
    <w:rsid w:val="00476BA1"/>
    <w:rsid w:val="00477C29"/>
    <w:rsid w:val="00490F9F"/>
    <w:rsid w:val="00496A1A"/>
    <w:rsid w:val="004A3E25"/>
    <w:rsid w:val="004B51ED"/>
    <w:rsid w:val="004B5ED8"/>
    <w:rsid w:val="004C43FC"/>
    <w:rsid w:val="004C51EC"/>
    <w:rsid w:val="004C5A91"/>
    <w:rsid w:val="004C62B3"/>
    <w:rsid w:val="004E65DD"/>
    <w:rsid w:val="004F549E"/>
    <w:rsid w:val="005009EF"/>
    <w:rsid w:val="00504C79"/>
    <w:rsid w:val="0051633E"/>
    <w:rsid w:val="005201E9"/>
    <w:rsid w:val="00521156"/>
    <w:rsid w:val="00521B4C"/>
    <w:rsid w:val="00522E2A"/>
    <w:rsid w:val="005259E7"/>
    <w:rsid w:val="005265A5"/>
    <w:rsid w:val="00527B27"/>
    <w:rsid w:val="005316B2"/>
    <w:rsid w:val="00531BEE"/>
    <w:rsid w:val="005323A2"/>
    <w:rsid w:val="0053470F"/>
    <w:rsid w:val="00534F74"/>
    <w:rsid w:val="00535473"/>
    <w:rsid w:val="00536C02"/>
    <w:rsid w:val="00537DBF"/>
    <w:rsid w:val="00540F01"/>
    <w:rsid w:val="00544BFC"/>
    <w:rsid w:val="00547EE5"/>
    <w:rsid w:val="00566021"/>
    <w:rsid w:val="00567DEC"/>
    <w:rsid w:val="0057035B"/>
    <w:rsid w:val="00572D92"/>
    <w:rsid w:val="005818E3"/>
    <w:rsid w:val="005824EF"/>
    <w:rsid w:val="00582D26"/>
    <w:rsid w:val="0058358B"/>
    <w:rsid w:val="00583A87"/>
    <w:rsid w:val="00585D65"/>
    <w:rsid w:val="005948EF"/>
    <w:rsid w:val="00597430"/>
    <w:rsid w:val="005A0B70"/>
    <w:rsid w:val="005A5A2C"/>
    <w:rsid w:val="005A782D"/>
    <w:rsid w:val="005B22E6"/>
    <w:rsid w:val="005B2924"/>
    <w:rsid w:val="005B3A2D"/>
    <w:rsid w:val="005B54CD"/>
    <w:rsid w:val="005C3D63"/>
    <w:rsid w:val="005C524E"/>
    <w:rsid w:val="005C5AB9"/>
    <w:rsid w:val="005D3E09"/>
    <w:rsid w:val="005D3E68"/>
    <w:rsid w:val="005E0EC2"/>
    <w:rsid w:val="005E2CBE"/>
    <w:rsid w:val="005E43DC"/>
    <w:rsid w:val="005E4870"/>
    <w:rsid w:val="005F4C97"/>
    <w:rsid w:val="00605902"/>
    <w:rsid w:val="00606105"/>
    <w:rsid w:val="00613A39"/>
    <w:rsid w:val="00622ABC"/>
    <w:rsid w:val="00623204"/>
    <w:rsid w:val="00624034"/>
    <w:rsid w:val="006277AC"/>
    <w:rsid w:val="0063405A"/>
    <w:rsid w:val="0063619A"/>
    <w:rsid w:val="006408A2"/>
    <w:rsid w:val="006442E0"/>
    <w:rsid w:val="0064607A"/>
    <w:rsid w:val="00652672"/>
    <w:rsid w:val="0065542B"/>
    <w:rsid w:val="0065594D"/>
    <w:rsid w:val="00655A90"/>
    <w:rsid w:val="00655BA3"/>
    <w:rsid w:val="00657AD2"/>
    <w:rsid w:val="00666E73"/>
    <w:rsid w:val="00670FBA"/>
    <w:rsid w:val="00671DB5"/>
    <w:rsid w:val="00676532"/>
    <w:rsid w:val="00680D8A"/>
    <w:rsid w:val="00686BB2"/>
    <w:rsid w:val="006878E1"/>
    <w:rsid w:val="00687A1B"/>
    <w:rsid w:val="0069304A"/>
    <w:rsid w:val="00697D6C"/>
    <w:rsid w:val="006A6332"/>
    <w:rsid w:val="006B5CAE"/>
    <w:rsid w:val="006C1A65"/>
    <w:rsid w:val="006C29A7"/>
    <w:rsid w:val="006C6261"/>
    <w:rsid w:val="006D2BA9"/>
    <w:rsid w:val="006D397E"/>
    <w:rsid w:val="006E2366"/>
    <w:rsid w:val="006E4547"/>
    <w:rsid w:val="006E5783"/>
    <w:rsid w:val="006F31C7"/>
    <w:rsid w:val="006F36EF"/>
    <w:rsid w:val="006F47A8"/>
    <w:rsid w:val="006F4986"/>
    <w:rsid w:val="0070030F"/>
    <w:rsid w:val="00701598"/>
    <w:rsid w:val="00701893"/>
    <w:rsid w:val="00703430"/>
    <w:rsid w:val="00704A95"/>
    <w:rsid w:val="00706392"/>
    <w:rsid w:val="00706EB2"/>
    <w:rsid w:val="00707C99"/>
    <w:rsid w:val="00715880"/>
    <w:rsid w:val="0072050F"/>
    <w:rsid w:val="00720DBC"/>
    <w:rsid w:val="0072240A"/>
    <w:rsid w:val="00722F63"/>
    <w:rsid w:val="0072480A"/>
    <w:rsid w:val="00724C9A"/>
    <w:rsid w:val="007261FD"/>
    <w:rsid w:val="00726BD2"/>
    <w:rsid w:val="007300C4"/>
    <w:rsid w:val="00743305"/>
    <w:rsid w:val="007434BA"/>
    <w:rsid w:val="00744447"/>
    <w:rsid w:val="00754DAC"/>
    <w:rsid w:val="00757955"/>
    <w:rsid w:val="007703E9"/>
    <w:rsid w:val="007708AB"/>
    <w:rsid w:val="00771625"/>
    <w:rsid w:val="00781235"/>
    <w:rsid w:val="00784200"/>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40B7"/>
    <w:rsid w:val="007D5BB1"/>
    <w:rsid w:val="007D7213"/>
    <w:rsid w:val="007E1F73"/>
    <w:rsid w:val="007E5917"/>
    <w:rsid w:val="007F0419"/>
    <w:rsid w:val="007F14C0"/>
    <w:rsid w:val="007F6BA4"/>
    <w:rsid w:val="007F74F1"/>
    <w:rsid w:val="008010D0"/>
    <w:rsid w:val="008020A1"/>
    <w:rsid w:val="00805091"/>
    <w:rsid w:val="00811120"/>
    <w:rsid w:val="00816B3F"/>
    <w:rsid w:val="0081754D"/>
    <w:rsid w:val="008177B9"/>
    <w:rsid w:val="00821801"/>
    <w:rsid w:val="00821DED"/>
    <w:rsid w:val="00832D37"/>
    <w:rsid w:val="00836831"/>
    <w:rsid w:val="00837DDE"/>
    <w:rsid w:val="008523F5"/>
    <w:rsid w:val="008548F9"/>
    <w:rsid w:val="0085575C"/>
    <w:rsid w:val="0085791F"/>
    <w:rsid w:val="00857988"/>
    <w:rsid w:val="00860E34"/>
    <w:rsid w:val="0086244F"/>
    <w:rsid w:val="00871F40"/>
    <w:rsid w:val="00880998"/>
    <w:rsid w:val="00883121"/>
    <w:rsid w:val="0088392F"/>
    <w:rsid w:val="00884426"/>
    <w:rsid w:val="00886D60"/>
    <w:rsid w:val="00887814"/>
    <w:rsid w:val="008916FF"/>
    <w:rsid w:val="00891DB3"/>
    <w:rsid w:val="00895A85"/>
    <w:rsid w:val="008A1D12"/>
    <w:rsid w:val="008A3A47"/>
    <w:rsid w:val="008D270F"/>
    <w:rsid w:val="008D67A4"/>
    <w:rsid w:val="008D6AFE"/>
    <w:rsid w:val="008D6DDF"/>
    <w:rsid w:val="008F1161"/>
    <w:rsid w:val="008F27EF"/>
    <w:rsid w:val="008F479E"/>
    <w:rsid w:val="008F708B"/>
    <w:rsid w:val="008F7C83"/>
    <w:rsid w:val="009011F1"/>
    <w:rsid w:val="0090308F"/>
    <w:rsid w:val="00905938"/>
    <w:rsid w:val="00907E44"/>
    <w:rsid w:val="009127A6"/>
    <w:rsid w:val="00913230"/>
    <w:rsid w:val="0091528B"/>
    <w:rsid w:val="009157B1"/>
    <w:rsid w:val="00917CAF"/>
    <w:rsid w:val="009225DD"/>
    <w:rsid w:val="009272D7"/>
    <w:rsid w:val="0093065E"/>
    <w:rsid w:val="00933532"/>
    <w:rsid w:val="00943343"/>
    <w:rsid w:val="00943DA4"/>
    <w:rsid w:val="00946694"/>
    <w:rsid w:val="00951B99"/>
    <w:rsid w:val="00955C03"/>
    <w:rsid w:val="00964237"/>
    <w:rsid w:val="0096555B"/>
    <w:rsid w:val="00966813"/>
    <w:rsid w:val="00966AEB"/>
    <w:rsid w:val="00967B16"/>
    <w:rsid w:val="0097301B"/>
    <w:rsid w:val="00974D2D"/>
    <w:rsid w:val="009754DD"/>
    <w:rsid w:val="0098626C"/>
    <w:rsid w:val="00997863"/>
    <w:rsid w:val="009A5B27"/>
    <w:rsid w:val="009A6404"/>
    <w:rsid w:val="009A701F"/>
    <w:rsid w:val="009A7E68"/>
    <w:rsid w:val="009B29C9"/>
    <w:rsid w:val="009B4291"/>
    <w:rsid w:val="009C1066"/>
    <w:rsid w:val="009C1372"/>
    <w:rsid w:val="009C5373"/>
    <w:rsid w:val="009C61B9"/>
    <w:rsid w:val="009C6404"/>
    <w:rsid w:val="009D06DA"/>
    <w:rsid w:val="009D3B98"/>
    <w:rsid w:val="009D6055"/>
    <w:rsid w:val="009E0A09"/>
    <w:rsid w:val="009E1BBF"/>
    <w:rsid w:val="009E5F11"/>
    <w:rsid w:val="009E7994"/>
    <w:rsid w:val="009F143B"/>
    <w:rsid w:val="009F2EEB"/>
    <w:rsid w:val="009F3B93"/>
    <w:rsid w:val="00A02270"/>
    <w:rsid w:val="00A0362B"/>
    <w:rsid w:val="00A04A06"/>
    <w:rsid w:val="00A077D2"/>
    <w:rsid w:val="00A160AD"/>
    <w:rsid w:val="00A16942"/>
    <w:rsid w:val="00A17A72"/>
    <w:rsid w:val="00A200ED"/>
    <w:rsid w:val="00A223A6"/>
    <w:rsid w:val="00A244A1"/>
    <w:rsid w:val="00A25F51"/>
    <w:rsid w:val="00A30393"/>
    <w:rsid w:val="00A32246"/>
    <w:rsid w:val="00A328C0"/>
    <w:rsid w:val="00A3714C"/>
    <w:rsid w:val="00A427D6"/>
    <w:rsid w:val="00A446D0"/>
    <w:rsid w:val="00A44D78"/>
    <w:rsid w:val="00A44E53"/>
    <w:rsid w:val="00A46E96"/>
    <w:rsid w:val="00A47131"/>
    <w:rsid w:val="00A52030"/>
    <w:rsid w:val="00A57F06"/>
    <w:rsid w:val="00A62BEC"/>
    <w:rsid w:val="00A658C1"/>
    <w:rsid w:val="00A734AD"/>
    <w:rsid w:val="00A837A0"/>
    <w:rsid w:val="00A90926"/>
    <w:rsid w:val="00A9477C"/>
    <w:rsid w:val="00A97287"/>
    <w:rsid w:val="00AA2DED"/>
    <w:rsid w:val="00AB1C66"/>
    <w:rsid w:val="00AB2184"/>
    <w:rsid w:val="00AB5E65"/>
    <w:rsid w:val="00AC5A9E"/>
    <w:rsid w:val="00AD1FEC"/>
    <w:rsid w:val="00AD2DF1"/>
    <w:rsid w:val="00AE22DB"/>
    <w:rsid w:val="00AE4125"/>
    <w:rsid w:val="00AF2F7B"/>
    <w:rsid w:val="00AF5E87"/>
    <w:rsid w:val="00B00552"/>
    <w:rsid w:val="00B01C3A"/>
    <w:rsid w:val="00B02BEE"/>
    <w:rsid w:val="00B10F71"/>
    <w:rsid w:val="00B11C1C"/>
    <w:rsid w:val="00B17BD8"/>
    <w:rsid w:val="00B30B53"/>
    <w:rsid w:val="00B313E9"/>
    <w:rsid w:val="00B32325"/>
    <w:rsid w:val="00B340A4"/>
    <w:rsid w:val="00B45C2D"/>
    <w:rsid w:val="00B503C7"/>
    <w:rsid w:val="00B56649"/>
    <w:rsid w:val="00B618FF"/>
    <w:rsid w:val="00B625F2"/>
    <w:rsid w:val="00B663DC"/>
    <w:rsid w:val="00B710D8"/>
    <w:rsid w:val="00B73629"/>
    <w:rsid w:val="00B7466E"/>
    <w:rsid w:val="00B779BD"/>
    <w:rsid w:val="00B8021E"/>
    <w:rsid w:val="00B8028F"/>
    <w:rsid w:val="00B8087B"/>
    <w:rsid w:val="00B833BE"/>
    <w:rsid w:val="00B87B08"/>
    <w:rsid w:val="00B928FB"/>
    <w:rsid w:val="00B93683"/>
    <w:rsid w:val="00B93C7A"/>
    <w:rsid w:val="00B956C4"/>
    <w:rsid w:val="00B95F76"/>
    <w:rsid w:val="00BA0192"/>
    <w:rsid w:val="00BB2152"/>
    <w:rsid w:val="00BB2BE0"/>
    <w:rsid w:val="00BB405B"/>
    <w:rsid w:val="00BB40EE"/>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173A8"/>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14D6"/>
    <w:rsid w:val="00C83750"/>
    <w:rsid w:val="00C84FBA"/>
    <w:rsid w:val="00C8675B"/>
    <w:rsid w:val="00C86CD7"/>
    <w:rsid w:val="00C9376B"/>
    <w:rsid w:val="00C94FD1"/>
    <w:rsid w:val="00C9581A"/>
    <w:rsid w:val="00C960BE"/>
    <w:rsid w:val="00C9791B"/>
    <w:rsid w:val="00CA3682"/>
    <w:rsid w:val="00CB44BB"/>
    <w:rsid w:val="00CC4AEF"/>
    <w:rsid w:val="00CC6C0C"/>
    <w:rsid w:val="00CD1FB3"/>
    <w:rsid w:val="00CD4BE8"/>
    <w:rsid w:val="00CE7DF9"/>
    <w:rsid w:val="00CF3393"/>
    <w:rsid w:val="00CF55D6"/>
    <w:rsid w:val="00CF78D3"/>
    <w:rsid w:val="00D01EFF"/>
    <w:rsid w:val="00D10B27"/>
    <w:rsid w:val="00D12CFF"/>
    <w:rsid w:val="00D14B84"/>
    <w:rsid w:val="00D156AF"/>
    <w:rsid w:val="00D16367"/>
    <w:rsid w:val="00D2092C"/>
    <w:rsid w:val="00D22DC3"/>
    <w:rsid w:val="00D248C5"/>
    <w:rsid w:val="00D25239"/>
    <w:rsid w:val="00D25683"/>
    <w:rsid w:val="00D27042"/>
    <w:rsid w:val="00D4253A"/>
    <w:rsid w:val="00D43DF1"/>
    <w:rsid w:val="00D50B42"/>
    <w:rsid w:val="00D57228"/>
    <w:rsid w:val="00D61C6D"/>
    <w:rsid w:val="00D64034"/>
    <w:rsid w:val="00D65AF1"/>
    <w:rsid w:val="00D73109"/>
    <w:rsid w:val="00D76C43"/>
    <w:rsid w:val="00D810EC"/>
    <w:rsid w:val="00D835B6"/>
    <w:rsid w:val="00D84464"/>
    <w:rsid w:val="00D90D62"/>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E02C4A"/>
    <w:rsid w:val="00E107CA"/>
    <w:rsid w:val="00E1216B"/>
    <w:rsid w:val="00E1477F"/>
    <w:rsid w:val="00E16C63"/>
    <w:rsid w:val="00E20C5F"/>
    <w:rsid w:val="00E22EBE"/>
    <w:rsid w:val="00E25348"/>
    <w:rsid w:val="00E25D54"/>
    <w:rsid w:val="00E30E76"/>
    <w:rsid w:val="00E341F5"/>
    <w:rsid w:val="00E37E67"/>
    <w:rsid w:val="00E41D03"/>
    <w:rsid w:val="00E43D94"/>
    <w:rsid w:val="00E531B9"/>
    <w:rsid w:val="00E53BC5"/>
    <w:rsid w:val="00E53E64"/>
    <w:rsid w:val="00E57869"/>
    <w:rsid w:val="00E61DBC"/>
    <w:rsid w:val="00E63B37"/>
    <w:rsid w:val="00E64057"/>
    <w:rsid w:val="00E66AFF"/>
    <w:rsid w:val="00E6771C"/>
    <w:rsid w:val="00E70381"/>
    <w:rsid w:val="00E70F8F"/>
    <w:rsid w:val="00E72889"/>
    <w:rsid w:val="00E73DEF"/>
    <w:rsid w:val="00E80D65"/>
    <w:rsid w:val="00E8773E"/>
    <w:rsid w:val="00E9734F"/>
    <w:rsid w:val="00EA4C4B"/>
    <w:rsid w:val="00EA53C3"/>
    <w:rsid w:val="00EA77BE"/>
    <w:rsid w:val="00EC19C1"/>
    <w:rsid w:val="00EC7271"/>
    <w:rsid w:val="00ED09B6"/>
    <w:rsid w:val="00ED38AF"/>
    <w:rsid w:val="00ED5BA3"/>
    <w:rsid w:val="00ED60A1"/>
    <w:rsid w:val="00ED6123"/>
    <w:rsid w:val="00EE1C4A"/>
    <w:rsid w:val="00EE6D21"/>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061C"/>
    <w:rsid w:val="00F62A3E"/>
    <w:rsid w:val="00F63F49"/>
    <w:rsid w:val="00F65837"/>
    <w:rsid w:val="00F72D00"/>
    <w:rsid w:val="00F73EC5"/>
    <w:rsid w:val="00F7788A"/>
    <w:rsid w:val="00F77DCC"/>
    <w:rsid w:val="00F81150"/>
    <w:rsid w:val="00F833B7"/>
    <w:rsid w:val="00F83A22"/>
    <w:rsid w:val="00F84CF9"/>
    <w:rsid w:val="00F87C6C"/>
    <w:rsid w:val="00F87E38"/>
    <w:rsid w:val="00F919FC"/>
    <w:rsid w:val="00F97EA2"/>
    <w:rsid w:val="00FA155E"/>
    <w:rsid w:val="00FA2322"/>
    <w:rsid w:val="00FB4B0C"/>
    <w:rsid w:val="00FB4CAB"/>
    <w:rsid w:val="00FC0D10"/>
    <w:rsid w:val="00FC1934"/>
    <w:rsid w:val="00FC619D"/>
    <w:rsid w:val="00FD2CA3"/>
    <w:rsid w:val="00FE38F0"/>
    <w:rsid w:val="00FE43A9"/>
    <w:rsid w:val="00FF03CE"/>
    <w:rsid w:val="00FF41F3"/>
    <w:rsid w:val="00FF456B"/>
    <w:rsid w:val="09E7670E"/>
    <w:rsid w:val="10625857"/>
    <w:rsid w:val="11660D74"/>
    <w:rsid w:val="3A05AC9E"/>
    <w:rsid w:val="3F73E38C"/>
    <w:rsid w:val="794ED3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490F9F"/>
    <w:rPr>
      <w:b/>
    </w:rPr>
  </w:style>
  <w:style w:type="paragraph" w:styleId="Textonotapie">
    <w:name w:val="footnote text"/>
    <w:basedOn w:val="Normal"/>
    <w:link w:val="TextonotapieCar"/>
    <w:uiPriority w:val="99"/>
    <w:semiHidden/>
    <w:unhideWhenUsed/>
    <w:rsid w:val="00E63B37"/>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E63B37"/>
    <w:rPr>
      <w:sz w:val="20"/>
      <w:szCs w:val="20"/>
    </w:rPr>
  </w:style>
  <w:style w:type="character" w:styleId="Refdenotaalpie">
    <w:name w:val="footnote reference"/>
    <w:basedOn w:val="Fuentedeprrafopredeter"/>
    <w:uiPriority w:val="99"/>
    <w:semiHidden/>
    <w:unhideWhenUsed/>
    <w:rsid w:val="00E63B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1092">
      <w:bodyDiv w:val="1"/>
      <w:marLeft w:val="0"/>
      <w:marRight w:val="0"/>
      <w:marTop w:val="0"/>
      <w:marBottom w:val="0"/>
      <w:divBdr>
        <w:top w:val="none" w:sz="0" w:space="0" w:color="auto"/>
        <w:left w:val="none" w:sz="0" w:space="0" w:color="auto"/>
        <w:bottom w:val="none" w:sz="0" w:space="0" w:color="auto"/>
        <w:right w:val="none" w:sz="0" w:space="0" w:color="auto"/>
      </w:divBdr>
    </w:div>
    <w:div w:id="56713496">
      <w:bodyDiv w:val="1"/>
      <w:marLeft w:val="0"/>
      <w:marRight w:val="0"/>
      <w:marTop w:val="0"/>
      <w:marBottom w:val="0"/>
      <w:divBdr>
        <w:top w:val="none" w:sz="0" w:space="0" w:color="auto"/>
        <w:left w:val="none" w:sz="0" w:space="0" w:color="auto"/>
        <w:bottom w:val="none" w:sz="0" w:space="0" w:color="auto"/>
        <w:right w:val="none" w:sz="0" w:space="0" w:color="auto"/>
      </w:divBdr>
    </w:div>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91512873">
      <w:bodyDiv w:val="1"/>
      <w:marLeft w:val="0"/>
      <w:marRight w:val="0"/>
      <w:marTop w:val="0"/>
      <w:marBottom w:val="0"/>
      <w:divBdr>
        <w:top w:val="none" w:sz="0" w:space="0" w:color="auto"/>
        <w:left w:val="none" w:sz="0" w:space="0" w:color="auto"/>
        <w:bottom w:val="none" w:sz="0" w:space="0" w:color="auto"/>
        <w:right w:val="none" w:sz="0" w:space="0" w:color="auto"/>
      </w:divBdr>
    </w:div>
    <w:div w:id="136848315">
      <w:bodyDiv w:val="1"/>
      <w:marLeft w:val="0"/>
      <w:marRight w:val="0"/>
      <w:marTop w:val="0"/>
      <w:marBottom w:val="0"/>
      <w:divBdr>
        <w:top w:val="none" w:sz="0" w:space="0" w:color="auto"/>
        <w:left w:val="none" w:sz="0" w:space="0" w:color="auto"/>
        <w:bottom w:val="none" w:sz="0" w:space="0" w:color="auto"/>
        <w:right w:val="none" w:sz="0" w:space="0" w:color="auto"/>
      </w:divBdr>
    </w:div>
    <w:div w:id="161242305">
      <w:bodyDiv w:val="1"/>
      <w:marLeft w:val="0"/>
      <w:marRight w:val="0"/>
      <w:marTop w:val="0"/>
      <w:marBottom w:val="0"/>
      <w:divBdr>
        <w:top w:val="none" w:sz="0" w:space="0" w:color="auto"/>
        <w:left w:val="none" w:sz="0" w:space="0" w:color="auto"/>
        <w:bottom w:val="none" w:sz="0" w:space="0" w:color="auto"/>
        <w:right w:val="none" w:sz="0" w:space="0" w:color="auto"/>
      </w:divBdr>
    </w:div>
    <w:div w:id="338117993">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503856453">
      <w:bodyDiv w:val="1"/>
      <w:marLeft w:val="0"/>
      <w:marRight w:val="0"/>
      <w:marTop w:val="0"/>
      <w:marBottom w:val="0"/>
      <w:divBdr>
        <w:top w:val="none" w:sz="0" w:space="0" w:color="auto"/>
        <w:left w:val="none" w:sz="0" w:space="0" w:color="auto"/>
        <w:bottom w:val="none" w:sz="0" w:space="0" w:color="auto"/>
        <w:right w:val="none" w:sz="0" w:space="0" w:color="auto"/>
      </w:divBdr>
    </w:div>
    <w:div w:id="549802868">
      <w:bodyDiv w:val="1"/>
      <w:marLeft w:val="0"/>
      <w:marRight w:val="0"/>
      <w:marTop w:val="0"/>
      <w:marBottom w:val="0"/>
      <w:divBdr>
        <w:top w:val="none" w:sz="0" w:space="0" w:color="auto"/>
        <w:left w:val="none" w:sz="0" w:space="0" w:color="auto"/>
        <w:bottom w:val="none" w:sz="0" w:space="0" w:color="auto"/>
        <w:right w:val="none" w:sz="0" w:space="0" w:color="auto"/>
      </w:divBdr>
    </w:div>
    <w:div w:id="588781888">
      <w:bodyDiv w:val="1"/>
      <w:marLeft w:val="0"/>
      <w:marRight w:val="0"/>
      <w:marTop w:val="0"/>
      <w:marBottom w:val="0"/>
      <w:divBdr>
        <w:top w:val="none" w:sz="0" w:space="0" w:color="auto"/>
        <w:left w:val="none" w:sz="0" w:space="0" w:color="auto"/>
        <w:bottom w:val="none" w:sz="0" w:space="0" w:color="auto"/>
        <w:right w:val="none" w:sz="0" w:space="0" w:color="auto"/>
      </w:divBdr>
    </w:div>
    <w:div w:id="623579573">
      <w:bodyDiv w:val="1"/>
      <w:marLeft w:val="0"/>
      <w:marRight w:val="0"/>
      <w:marTop w:val="0"/>
      <w:marBottom w:val="0"/>
      <w:divBdr>
        <w:top w:val="none" w:sz="0" w:space="0" w:color="auto"/>
        <w:left w:val="none" w:sz="0" w:space="0" w:color="auto"/>
        <w:bottom w:val="none" w:sz="0" w:space="0" w:color="auto"/>
        <w:right w:val="none" w:sz="0" w:space="0" w:color="auto"/>
      </w:divBdr>
    </w:div>
    <w:div w:id="657807740">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669022323">
      <w:bodyDiv w:val="1"/>
      <w:marLeft w:val="0"/>
      <w:marRight w:val="0"/>
      <w:marTop w:val="0"/>
      <w:marBottom w:val="0"/>
      <w:divBdr>
        <w:top w:val="none" w:sz="0" w:space="0" w:color="auto"/>
        <w:left w:val="none" w:sz="0" w:space="0" w:color="auto"/>
        <w:bottom w:val="none" w:sz="0" w:space="0" w:color="auto"/>
        <w:right w:val="none" w:sz="0" w:space="0" w:color="auto"/>
      </w:divBdr>
    </w:div>
    <w:div w:id="675229584">
      <w:bodyDiv w:val="1"/>
      <w:marLeft w:val="0"/>
      <w:marRight w:val="0"/>
      <w:marTop w:val="0"/>
      <w:marBottom w:val="0"/>
      <w:divBdr>
        <w:top w:val="none" w:sz="0" w:space="0" w:color="auto"/>
        <w:left w:val="none" w:sz="0" w:space="0" w:color="auto"/>
        <w:bottom w:val="none" w:sz="0" w:space="0" w:color="auto"/>
        <w:right w:val="none" w:sz="0" w:space="0" w:color="auto"/>
      </w:divBdr>
    </w:div>
    <w:div w:id="757481042">
      <w:bodyDiv w:val="1"/>
      <w:marLeft w:val="0"/>
      <w:marRight w:val="0"/>
      <w:marTop w:val="0"/>
      <w:marBottom w:val="0"/>
      <w:divBdr>
        <w:top w:val="none" w:sz="0" w:space="0" w:color="auto"/>
        <w:left w:val="none" w:sz="0" w:space="0" w:color="auto"/>
        <w:bottom w:val="none" w:sz="0" w:space="0" w:color="auto"/>
        <w:right w:val="none" w:sz="0" w:space="0" w:color="auto"/>
      </w:divBdr>
    </w:div>
    <w:div w:id="758602148">
      <w:bodyDiv w:val="1"/>
      <w:marLeft w:val="0"/>
      <w:marRight w:val="0"/>
      <w:marTop w:val="0"/>
      <w:marBottom w:val="0"/>
      <w:divBdr>
        <w:top w:val="none" w:sz="0" w:space="0" w:color="auto"/>
        <w:left w:val="none" w:sz="0" w:space="0" w:color="auto"/>
        <w:bottom w:val="none" w:sz="0" w:space="0" w:color="auto"/>
        <w:right w:val="none" w:sz="0" w:space="0" w:color="auto"/>
      </w:divBdr>
    </w:div>
    <w:div w:id="760948596">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178930490">
      <w:bodyDiv w:val="1"/>
      <w:marLeft w:val="0"/>
      <w:marRight w:val="0"/>
      <w:marTop w:val="0"/>
      <w:marBottom w:val="0"/>
      <w:divBdr>
        <w:top w:val="none" w:sz="0" w:space="0" w:color="auto"/>
        <w:left w:val="none" w:sz="0" w:space="0" w:color="auto"/>
        <w:bottom w:val="none" w:sz="0" w:space="0" w:color="auto"/>
        <w:right w:val="none" w:sz="0" w:space="0" w:color="auto"/>
      </w:divBdr>
    </w:div>
    <w:div w:id="1291087878">
      <w:bodyDiv w:val="1"/>
      <w:marLeft w:val="0"/>
      <w:marRight w:val="0"/>
      <w:marTop w:val="0"/>
      <w:marBottom w:val="0"/>
      <w:divBdr>
        <w:top w:val="none" w:sz="0" w:space="0" w:color="auto"/>
        <w:left w:val="none" w:sz="0" w:space="0" w:color="auto"/>
        <w:bottom w:val="none" w:sz="0" w:space="0" w:color="auto"/>
        <w:right w:val="none" w:sz="0" w:space="0" w:color="auto"/>
      </w:divBdr>
    </w:div>
    <w:div w:id="1375040901">
      <w:bodyDiv w:val="1"/>
      <w:marLeft w:val="0"/>
      <w:marRight w:val="0"/>
      <w:marTop w:val="0"/>
      <w:marBottom w:val="0"/>
      <w:divBdr>
        <w:top w:val="none" w:sz="0" w:space="0" w:color="auto"/>
        <w:left w:val="none" w:sz="0" w:space="0" w:color="auto"/>
        <w:bottom w:val="none" w:sz="0" w:space="0" w:color="auto"/>
        <w:right w:val="none" w:sz="0" w:space="0" w:color="auto"/>
      </w:divBdr>
    </w:div>
    <w:div w:id="1417484614">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5182089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23544058">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670251337">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795949842">
      <w:bodyDiv w:val="1"/>
      <w:marLeft w:val="0"/>
      <w:marRight w:val="0"/>
      <w:marTop w:val="0"/>
      <w:marBottom w:val="0"/>
      <w:divBdr>
        <w:top w:val="none" w:sz="0" w:space="0" w:color="auto"/>
        <w:left w:val="none" w:sz="0" w:space="0" w:color="auto"/>
        <w:bottom w:val="none" w:sz="0" w:space="0" w:color="auto"/>
        <w:right w:val="none" w:sz="0" w:space="0" w:color="auto"/>
      </w:divBdr>
    </w:div>
    <w:div w:id="1880587783">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1948460867">
      <w:bodyDiv w:val="1"/>
      <w:marLeft w:val="0"/>
      <w:marRight w:val="0"/>
      <w:marTop w:val="0"/>
      <w:marBottom w:val="0"/>
      <w:divBdr>
        <w:top w:val="none" w:sz="0" w:space="0" w:color="auto"/>
        <w:left w:val="none" w:sz="0" w:space="0" w:color="auto"/>
        <w:bottom w:val="none" w:sz="0" w:space="0" w:color="auto"/>
        <w:right w:val="none" w:sz="0" w:space="0" w:color="auto"/>
      </w:divBdr>
    </w:div>
    <w:div w:id="1990285302">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6BBD006B-32EA-40BB-80CF-8C314A0EBB21}"/>
</file>

<file path=customXml/itemProps3.xml><?xml version="1.0" encoding="utf-8"?>
<ds:datastoreItem xmlns:ds="http://schemas.openxmlformats.org/officeDocument/2006/customXml" ds:itemID="{BF58BAF1-2F7A-4FA2-864C-EB7763DD52D8}"/>
</file>

<file path=customXml/itemProps4.xml><?xml version="1.0" encoding="utf-8"?>
<ds:datastoreItem xmlns:ds="http://schemas.openxmlformats.org/officeDocument/2006/customXml" ds:itemID="{BCE34282-36BB-4FBC-A756-3CB0F530ABC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174</cp:revision>
  <cp:lastPrinted>2022-07-18T15:58:00Z</cp:lastPrinted>
  <dcterms:created xsi:type="dcterms:W3CDTF">2020-12-18T20:17:00Z</dcterms:created>
  <dcterms:modified xsi:type="dcterms:W3CDTF">2025-11-27T20:38:57Z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