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C78E4" w:rsidR="0090308F" w:rsidP="4FE7CFB6" w:rsidRDefault="0090308F" w14:paraId="7AB8EDC7" w14:textId="727CA8CD">
      <w:pPr>
        <w:suppressAutoHyphens/>
        <w:spacing w:after="0" w:line="240" w:lineRule="auto"/>
        <w:jc w:val="center"/>
        <w:rPr>
          <w:rFonts w:ascii="Times New Roman" w:hAnsi="Times New Roman" w:cs="Times New Roman"/>
          <w:b w:val="1"/>
          <w:bCs w:val="1"/>
          <w:sz w:val="24"/>
          <w:szCs w:val="24"/>
          <w:lang w:val="es-PE" w:eastAsia="ar-SA"/>
        </w:rPr>
      </w:pPr>
      <w:r w:rsidRPr="4FE7CFB6" w:rsidR="00201C0D">
        <w:rPr>
          <w:rFonts w:ascii="Times New Roman" w:hAnsi="Times New Roman" w:cs="Times New Roman"/>
          <w:b w:val="1"/>
          <w:bCs w:val="1"/>
          <w:sz w:val="24"/>
          <w:szCs w:val="24"/>
          <w:lang w:val="es-PE" w:eastAsia="ar-SA"/>
        </w:rPr>
        <w:t xml:space="preserve">RESOLUCIÓN DE RECURSO IMPUGNATIVO </w:t>
      </w:r>
      <w:r w:rsidRPr="4FE7CFB6" w:rsidR="00707C99">
        <w:rPr>
          <w:rFonts w:ascii="Times New Roman" w:hAnsi="Times New Roman" w:cs="Times New Roman"/>
          <w:b w:val="1"/>
          <w:bCs w:val="1"/>
          <w:sz w:val="24"/>
          <w:szCs w:val="24"/>
          <w:lang w:val="es-PE" w:eastAsia="ar-SA"/>
        </w:rPr>
        <w:t>N°</w:t>
      </w:r>
      <w:r w:rsidRPr="4FE7CFB6" w:rsidR="00707C99">
        <w:rPr>
          <w:rFonts w:ascii="Times New Roman" w:hAnsi="Times New Roman" w:cs="Times New Roman"/>
          <w:b w:val="1"/>
          <w:bCs w:val="1"/>
          <w:sz w:val="24"/>
          <w:szCs w:val="24"/>
          <w:lang w:val="es-PE" w:eastAsia="ar-SA"/>
        </w:rPr>
        <w:t xml:space="preserve"> </w:t>
      </w:r>
      <w:r w:rsidRPr="4FE7CFB6" w:rsidR="00C671F5">
        <w:rPr>
          <w:rFonts w:ascii="Times New Roman" w:hAnsi="Times New Roman" w:cs="Times New Roman"/>
          <w:b w:val="1"/>
          <w:bCs w:val="1"/>
          <w:sz w:val="24"/>
          <w:szCs w:val="24"/>
          <w:lang w:val="es-PE" w:eastAsia="ar-SA"/>
        </w:rPr>
        <w:t>0</w:t>
      </w:r>
      <w:r w:rsidRPr="4FE7CFB6" w:rsidR="00A200ED">
        <w:rPr>
          <w:rFonts w:ascii="Times New Roman" w:hAnsi="Times New Roman" w:cs="Times New Roman"/>
          <w:b w:val="1"/>
          <w:bCs w:val="1"/>
          <w:sz w:val="24"/>
          <w:szCs w:val="24"/>
          <w:lang w:val="es-PE" w:eastAsia="ar-SA"/>
        </w:rPr>
        <w:t>5</w:t>
      </w:r>
      <w:r w:rsidRPr="4FE7CFB6" w:rsidR="006315FA">
        <w:rPr>
          <w:rFonts w:ascii="Times New Roman" w:hAnsi="Times New Roman" w:cs="Times New Roman"/>
          <w:b w:val="1"/>
          <w:bCs w:val="1"/>
          <w:sz w:val="24"/>
          <w:szCs w:val="24"/>
          <w:lang w:val="es-PE" w:eastAsia="ar-SA"/>
        </w:rPr>
        <w:t>3</w:t>
      </w:r>
      <w:r w:rsidRPr="4FE7CFB6" w:rsidR="00C671F5">
        <w:rPr>
          <w:rFonts w:ascii="Times New Roman" w:hAnsi="Times New Roman" w:cs="Times New Roman"/>
          <w:b w:val="1"/>
          <w:bCs w:val="1"/>
          <w:sz w:val="24"/>
          <w:szCs w:val="24"/>
          <w:lang w:val="es-PE" w:eastAsia="ar-SA"/>
        </w:rPr>
        <w:t>/2</w:t>
      </w:r>
      <w:r w:rsidRPr="4FE7CFB6" w:rsidR="00B93C7A">
        <w:rPr>
          <w:rFonts w:ascii="Times New Roman" w:hAnsi="Times New Roman" w:cs="Times New Roman"/>
          <w:b w:val="1"/>
          <w:bCs w:val="1"/>
          <w:sz w:val="24"/>
          <w:szCs w:val="24"/>
          <w:lang w:val="es-PE" w:eastAsia="ar-SA"/>
        </w:rPr>
        <w:t>2</w:t>
      </w:r>
    </w:p>
    <w:p w:rsidRPr="005C78E4" w:rsidR="005C78E4" w:rsidP="4FE7CFB6" w:rsidRDefault="005C78E4" w14:paraId="6B5DE03C" w14:textId="66E99913">
      <w:pPr>
        <w:suppressAutoHyphens/>
        <w:spacing w:after="0" w:line="240" w:lineRule="auto"/>
        <w:jc w:val="both"/>
        <w:outlineLvl w:val="0"/>
        <w:rPr>
          <w:rFonts w:ascii="Times New Roman" w:hAnsi="Times New Roman" w:eastAsia="Times New Roman" w:cs="Times New Roman"/>
          <w:b w:val="1"/>
          <w:bCs w:val="1"/>
          <w:sz w:val="24"/>
          <w:szCs w:val="24"/>
          <w:lang w:val="es-MX" w:eastAsia="ar-SA"/>
        </w:rPr>
      </w:pPr>
      <w:r w:rsidRPr="4FE7CFB6" w:rsidR="005C78E4">
        <w:rPr>
          <w:rFonts w:ascii="Times New Roman" w:hAnsi="Times New Roman" w:eastAsia="Times New Roman" w:cs="Times New Roman"/>
          <w:b w:val="1"/>
          <w:bCs w:val="1"/>
          <w:sz w:val="24"/>
          <w:szCs w:val="24"/>
          <w:lang w:val="es-MX" w:eastAsia="ar-SA"/>
        </w:rPr>
        <w:t>Vistos:</w:t>
      </w:r>
    </w:p>
    <w:p w:rsidR="4FE7CFB6" w:rsidP="4FE7CFB6" w:rsidRDefault="4FE7CFB6" w14:paraId="2642325E" w14:textId="2AB36F36">
      <w:pPr>
        <w:spacing w:after="0" w:line="240" w:lineRule="auto"/>
        <w:jc w:val="both"/>
        <w:outlineLvl w:val="0"/>
        <w:rPr>
          <w:rFonts w:ascii="Times New Roman" w:hAnsi="Times New Roman" w:eastAsia="Times New Roman" w:cs="Times New Roman"/>
          <w:b w:val="1"/>
          <w:bCs w:val="1"/>
          <w:sz w:val="24"/>
          <w:szCs w:val="24"/>
          <w:lang w:val="es-MX" w:eastAsia="ar-SA"/>
        </w:rPr>
      </w:pPr>
    </w:p>
    <w:p w:rsidRPr="005C78E4" w:rsidR="005C78E4" w:rsidP="005C78E4" w:rsidRDefault="005C78E4" w14:paraId="0B7041C1" w14:textId="3A18FCA6">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eastAsia="es-ES"/>
        </w:rPr>
      </w:pPr>
      <w:r w:rsidRPr="4FE7CFB6" w:rsidR="005C78E4">
        <w:rPr>
          <w:rFonts w:ascii="Times New Roman" w:hAnsi="Times New Roman" w:eastAsia="Times New Roman" w:cs="Times New Roman"/>
          <w:sz w:val="24"/>
          <w:szCs w:val="24"/>
          <w:lang w:val="es-ES" w:eastAsia="ar-SA"/>
        </w:rPr>
        <w:t>El recurso de impugnación presentado con</w:t>
      </w:r>
      <w:r w:rsidRPr="4FE7CFB6" w:rsidR="154EC309">
        <w:rPr>
          <w:rFonts w:ascii="Times New Roman" w:hAnsi="Times New Roman" w:eastAsia="Times New Roman" w:cs="Times New Roman"/>
          <w:sz w:val="24"/>
          <w:szCs w:val="24"/>
          <w:lang w:val="es-ES" w:eastAsia="ar-SA"/>
        </w:rPr>
        <w:t xml:space="preserve"> </w:t>
      </w:r>
      <w:r w:rsidRPr="4FE7CFB6" w:rsidR="005C78E4">
        <w:rPr>
          <w:rFonts w:ascii="Times New Roman" w:hAnsi="Times New Roman" w:eastAsia="Times New Roman" w:cs="Times New Roman"/>
          <w:sz w:val="24"/>
          <w:szCs w:val="24"/>
          <w:lang w:val="es-ES" w:eastAsia="ar-SA"/>
        </w:rPr>
        <w:t xml:space="preserve">fecha 4 de julio de 2022 por </w:t>
      </w:r>
      <w:r w:rsidRPr="4FE7CFB6" w:rsidR="779D17AF">
        <w:rPr>
          <w:rFonts w:ascii="Times New Roman" w:hAnsi="Times New Roman" w:cs="Times New Roman"/>
          <w:sz w:val="24"/>
          <w:szCs w:val="24"/>
          <w:lang w:val="es-ES"/>
        </w:rPr>
        <w:t>.............................................</w:t>
      </w:r>
      <w:r w:rsidRPr="4FE7CFB6" w:rsidR="005C78E4">
        <w:rPr>
          <w:rFonts w:ascii="Times New Roman" w:hAnsi="Times New Roman" w:cs="Times New Roman"/>
          <w:sz w:val="24"/>
          <w:szCs w:val="24"/>
          <w:lang w:val="es-PE"/>
        </w:rPr>
        <w:t>, debidamente representada conforme consta en el expediente</w:t>
      </w:r>
      <w:r w:rsidRPr="4FE7CFB6" w:rsidR="005C78E4">
        <w:rPr>
          <w:rFonts w:ascii="Times New Roman" w:hAnsi="Times New Roman" w:eastAsia="Times New Roman" w:cs="Times New Roman"/>
          <w:sz w:val="24"/>
          <w:szCs w:val="24"/>
          <w:lang w:val="es-ES" w:eastAsia="ar-SA"/>
        </w:rPr>
        <w:t xml:space="preserve">, respecto de la Resolución Nro. 131/22, de fecha 22 de junio de 2022, emitida por esta Defensoría del Asegurado (DEFASEG), que declaró INFUNDADA </w:t>
      </w:r>
      <w:r w:rsidRPr="4FE7CFB6" w:rsidR="005C78E4">
        <w:rPr>
          <w:rFonts w:ascii="Times New Roman" w:hAnsi="Times New Roman" w:eastAsia="Arial Unicode MS" w:cs="Times New Roman"/>
          <w:sz w:val="24"/>
          <w:szCs w:val="24"/>
          <w:lang w:val="es-ES"/>
        </w:rPr>
        <w:t>su</w:t>
      </w:r>
      <w:r w:rsidRPr="4FE7CFB6" w:rsidR="005C78E4">
        <w:rPr>
          <w:rFonts w:ascii="Times New Roman" w:hAnsi="Times New Roman" w:eastAsia="Arial Unicode MS" w:cs="Times New Roman"/>
          <w:sz w:val="24"/>
          <w:szCs w:val="24"/>
          <w:lang w:val="es-PE"/>
        </w:rPr>
        <w:t xml:space="preserve"> reclamación interpuesta contra </w:t>
      </w:r>
      <w:r w:rsidRPr="4FE7CFB6" w:rsidR="13E4186F">
        <w:rPr>
          <w:rFonts w:ascii="Times New Roman" w:hAnsi="Times New Roman" w:eastAsia="Arial Unicode MS" w:cs="Times New Roman"/>
          <w:sz w:val="24"/>
          <w:szCs w:val="24"/>
          <w:lang w:val="es-PE"/>
        </w:rPr>
        <w:t>...................................................................................</w:t>
      </w:r>
      <w:r w:rsidRPr="4FE7CFB6" w:rsidR="005C78E4">
        <w:rPr>
          <w:rFonts w:ascii="Times New Roman" w:hAnsi="Times New Roman" w:eastAsia="Arial Unicode MS" w:cs="Times New Roman"/>
          <w:sz w:val="24"/>
          <w:szCs w:val="24"/>
          <w:lang w:val="es-PE"/>
        </w:rPr>
        <w:t xml:space="preserve"> (</w:t>
      </w:r>
      <w:r w:rsidRPr="4FE7CFB6" w:rsidR="6FA6F946">
        <w:rPr>
          <w:rFonts w:ascii="Times New Roman" w:hAnsi="Times New Roman" w:eastAsia="Arial Unicode MS" w:cs="Times New Roman"/>
          <w:sz w:val="24"/>
          <w:szCs w:val="24"/>
          <w:lang w:val="es-PE"/>
        </w:rPr>
        <w:t>...........................</w:t>
      </w:r>
      <w:r w:rsidRPr="4FE7CFB6" w:rsidR="005C78E4">
        <w:rPr>
          <w:rFonts w:ascii="Times New Roman" w:hAnsi="Times New Roman" w:eastAsia="Arial Unicode MS" w:cs="Times New Roman"/>
          <w:sz w:val="24"/>
          <w:szCs w:val="24"/>
          <w:lang w:val="es-PE"/>
        </w:rPr>
        <w:t>)</w:t>
      </w:r>
      <w:r w:rsidRPr="4FE7CFB6" w:rsidR="005C78E4">
        <w:rPr>
          <w:rFonts w:ascii="Times New Roman" w:hAnsi="Times New Roman" w:cs="Times New Roman"/>
          <w:sz w:val="24"/>
          <w:szCs w:val="24"/>
          <w:lang w:val="es-ES"/>
        </w:rPr>
        <w:t xml:space="preserve"> </w:t>
      </w:r>
      <w:bookmarkStart w:name="OLE_LINK2" w:id="0"/>
      <w:r w:rsidRPr="4FE7CFB6" w:rsidR="005C78E4">
        <w:rPr>
          <w:rFonts w:ascii="Times New Roman" w:hAnsi="Times New Roman" w:cs="Times New Roman"/>
          <w:sz w:val="24"/>
          <w:szCs w:val="24"/>
          <w:lang w:val="es-ES"/>
        </w:rPr>
        <w:t>sobre otorgamiento de</w:t>
      </w:r>
      <w:r w:rsidRPr="4FE7CFB6" w:rsidR="005C78E4">
        <w:rPr>
          <w:rFonts w:ascii="Times New Roman" w:hAnsi="Times New Roman" w:eastAsia="Times New Roman" w:cs="Times New Roman"/>
          <w:sz w:val="24"/>
          <w:szCs w:val="24"/>
          <w:lang w:val="es-PE" w:eastAsia="es-ES"/>
        </w:rPr>
        <w:t xml:space="preserve"> cobertura al siniestro de fecha </w:t>
      </w:r>
      <w:bookmarkEnd w:id="0"/>
      <w:r w:rsidRPr="4FE7CFB6" w:rsidR="005C78E4">
        <w:rPr>
          <w:rFonts w:ascii="Times New Roman" w:hAnsi="Times New Roman" w:eastAsia="Times New Roman" w:cs="Times New Roman"/>
          <w:sz w:val="24"/>
          <w:szCs w:val="24"/>
          <w:lang w:val="es-PE" w:eastAsia="es-ES"/>
        </w:rPr>
        <w:t>24 de octubre de 2021</w:t>
      </w:r>
      <w:r w:rsidRPr="4FE7CFB6" w:rsidR="005C78E4">
        <w:rPr>
          <w:rFonts w:ascii="Times New Roman" w:hAnsi="Times New Roman" w:cs="Times New Roman"/>
          <w:sz w:val="24"/>
          <w:szCs w:val="24"/>
          <w:lang w:val="es-ES" w:eastAsia="es-ES"/>
        </w:rPr>
        <w:t>,</w:t>
      </w:r>
      <w:r w:rsidRPr="4FE7CFB6" w:rsidR="005C78E4">
        <w:rPr>
          <w:rFonts w:ascii="Times New Roman" w:hAnsi="Times New Roman" w:eastAsia="Times New Roman" w:cs="Times New Roman"/>
          <w:sz w:val="24"/>
          <w:szCs w:val="24"/>
          <w:lang w:val="es-ES" w:eastAsia="es-ES"/>
        </w:rPr>
        <w:t xml:space="preserve"> conforme</w:t>
      </w:r>
      <w:r w:rsidRPr="4FE7CFB6" w:rsidR="005C78E4">
        <w:rPr>
          <w:rFonts w:ascii="Times New Roman" w:hAnsi="Times New Roman" w:eastAsia="Times New Roman" w:cs="Times New Roman"/>
          <w:sz w:val="24"/>
          <w:szCs w:val="24"/>
          <w:lang w:val="es-PE" w:eastAsia="es-ES"/>
        </w:rPr>
        <w:t xml:space="preserve"> a los términos y condiciones del </w:t>
      </w:r>
      <w:r w:rsidRPr="4FE7CFB6" w:rsidR="005C78E4">
        <w:rPr>
          <w:rFonts w:ascii="Times New Roman" w:hAnsi="Times New Roman" w:cs="Times New Roman"/>
          <w:sz w:val="24"/>
          <w:szCs w:val="24"/>
          <w:lang w:val="es-ES"/>
        </w:rPr>
        <w:t>Seguro</w:t>
      </w:r>
      <w:r w:rsidRPr="4FE7CFB6" w:rsidR="005C78E4">
        <w:rPr>
          <w:rFonts w:ascii="Times New Roman" w:hAnsi="Times New Roman" w:cs="Times New Roman"/>
          <w:sz w:val="24"/>
          <w:szCs w:val="24"/>
          <w:lang w:val="es-PE"/>
        </w:rPr>
        <w:t xml:space="preserve"> Vehicular, póliza Nro. </w:t>
      </w:r>
      <w:r w:rsidRPr="4FE7CFB6" w:rsidR="6C75A28A">
        <w:rPr>
          <w:rFonts w:ascii="Times New Roman" w:hAnsi="Times New Roman" w:cs="Times New Roman"/>
          <w:sz w:val="24"/>
          <w:szCs w:val="24"/>
          <w:lang w:val="es-PE"/>
        </w:rPr>
        <w:t>...................</w:t>
      </w:r>
      <w:r w:rsidRPr="4FE7CFB6" w:rsidR="005C78E4">
        <w:rPr>
          <w:rFonts w:ascii="Times New Roman" w:hAnsi="Times New Roman" w:cs="Times New Roman"/>
          <w:sz w:val="24"/>
          <w:szCs w:val="24"/>
          <w:lang w:val="es-PE"/>
        </w:rPr>
        <w:t>;</w:t>
      </w:r>
    </w:p>
    <w:p w:rsidRPr="005C78E4" w:rsidR="005C78E4" w:rsidP="005C78E4" w:rsidRDefault="005C78E4" w14:paraId="6C974893"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bCs/>
          <w:sz w:val="24"/>
          <w:szCs w:val="24"/>
          <w:lang w:val="es-PE"/>
        </w:rPr>
      </w:pPr>
    </w:p>
    <w:p w:rsidRPr="005C78E4" w:rsidR="005C78E4" w:rsidP="005C78E4" w:rsidRDefault="005C78E4" w14:paraId="02C829D7" w14:textId="6488691A">
      <w:pPr>
        <w:suppressAutoHyphens/>
        <w:spacing w:after="0" w:line="240" w:lineRule="auto"/>
        <w:jc w:val="both"/>
        <w:rPr>
          <w:rFonts w:ascii="Times New Roman" w:hAnsi="Times New Roman" w:cs="Times New Roman"/>
          <w:color w:val="000000"/>
          <w:sz w:val="24"/>
          <w:szCs w:val="24"/>
          <w:lang w:val="es-PE"/>
        </w:rPr>
      </w:pPr>
      <w:r w:rsidRPr="4FE7CFB6" w:rsidR="005C78E4">
        <w:rPr>
          <w:rFonts w:ascii="Times New Roman" w:hAnsi="Times New Roman" w:eastAsia="Times New Roman" w:cs="Times New Roman"/>
          <w:sz w:val="24"/>
          <w:szCs w:val="24"/>
          <w:lang w:val="es-MX" w:eastAsia="ar-SA"/>
        </w:rPr>
        <w:t xml:space="preserve">Que, a través del señalado recurso, </w:t>
      </w:r>
      <w:r w:rsidRPr="4FE7CFB6" w:rsidR="779D17AF">
        <w:rPr>
          <w:rFonts w:ascii="Times New Roman" w:hAnsi="Times New Roman" w:cs="Times New Roman"/>
          <w:sz w:val="24"/>
          <w:szCs w:val="24"/>
          <w:lang w:val="es-ES"/>
        </w:rPr>
        <w:t>.............................................</w:t>
      </w:r>
      <w:r w:rsidRPr="4FE7CFB6" w:rsidR="005C78E4">
        <w:rPr>
          <w:rFonts w:ascii="Times New Roman" w:hAnsi="Times New Roman" w:cs="Times New Roman"/>
          <w:sz w:val="24"/>
          <w:szCs w:val="24"/>
          <w:lang w:val="es-ES"/>
        </w:rPr>
        <w:t xml:space="preserve"> </w:t>
      </w:r>
      <w:r w:rsidRPr="4FE7CFB6" w:rsidR="005C78E4">
        <w:rPr>
          <w:rFonts w:ascii="Times New Roman" w:hAnsi="Times New Roman" w:eastAsia="Times New Roman" w:cs="Times New Roman"/>
          <w:sz w:val="24"/>
          <w:szCs w:val="24"/>
          <w:lang w:val="es-MX" w:eastAsia="ar-SA"/>
        </w:rPr>
        <w:t>cuestiona lo resuelto por este colegiado, destacando resumidamente lo siguiente:</w:t>
      </w:r>
      <w:r w:rsidRPr="4FE7CFB6" w:rsidR="005C78E4">
        <w:rPr>
          <w:rFonts w:ascii="Times New Roman" w:hAnsi="Times New Roman" w:cs="Times New Roman"/>
          <w:color w:val="000000" w:themeColor="text1" w:themeTint="FF" w:themeShade="FF"/>
          <w:sz w:val="24"/>
          <w:szCs w:val="24"/>
          <w:lang w:val="es-PE"/>
        </w:rPr>
        <w:t xml:space="preserve"> a) La resolución recurrida se basa únicamente en el peritaje policial realizado en una primera instancia, señalando textualmente que: </w:t>
      </w:r>
      <w:r w:rsidRPr="4FE7CFB6" w:rsidR="005C78E4">
        <w:rPr>
          <w:rFonts w:ascii="Times New Roman" w:hAnsi="Times New Roman" w:cs="Times New Roman"/>
          <w:i w:val="1"/>
          <w:iCs w:val="1"/>
          <w:color w:val="000000" w:themeColor="text1" w:themeTint="FF" w:themeShade="FF"/>
          <w:sz w:val="24"/>
          <w:szCs w:val="24"/>
          <w:lang w:val="es-PE"/>
        </w:rPr>
        <w:t xml:space="preserve">“… no se ha aportado medio probatorio alguno que permita desautorizar lo concluido en la investigación policial, siendo que </w:t>
      </w:r>
      <w:r w:rsidRPr="4FE7CFB6" w:rsidR="005C78E4">
        <w:rPr>
          <w:rFonts w:ascii="Times New Roman" w:hAnsi="Times New Roman" w:cs="Times New Roman"/>
          <w:color w:val="000000" w:themeColor="text1" w:themeTint="FF" w:themeShade="FF"/>
          <w:sz w:val="24"/>
          <w:szCs w:val="24"/>
          <w:lang w:val="es-PE"/>
        </w:rPr>
        <w:t>(la asegurada)</w:t>
      </w:r>
      <w:r w:rsidRPr="4FE7CFB6" w:rsidR="005C78E4">
        <w:rPr>
          <w:rFonts w:ascii="Times New Roman" w:hAnsi="Times New Roman" w:cs="Times New Roman"/>
          <w:i w:val="1"/>
          <w:iCs w:val="1"/>
          <w:color w:val="000000" w:themeColor="text1" w:themeTint="FF" w:themeShade="FF"/>
          <w:sz w:val="24"/>
          <w:szCs w:val="24"/>
          <w:lang w:val="es-PE"/>
        </w:rPr>
        <w:t xml:space="preserve"> realiza una serie de imputaciones para descalificarlo, de naturaleza subjetiva, pero sin que lo haya impugnado, o formulado una denuncia ante las instancias correspondientes por una pretendida corrupción policial. No se cuenta, en consecuencia, con una </w:t>
      </w:r>
      <w:r w:rsidRPr="4FE7CFB6" w:rsidR="005C78E4">
        <w:rPr>
          <w:rFonts w:ascii="Times New Roman" w:hAnsi="Times New Roman" w:cs="Times New Roman"/>
          <w:i w:val="1"/>
          <w:iCs w:val="1"/>
          <w:color w:val="000000" w:themeColor="text1" w:themeTint="FF" w:themeShade="FF"/>
          <w:sz w:val="24"/>
          <w:szCs w:val="24"/>
          <w:lang w:val="es-PE"/>
        </w:rPr>
        <w:t>contrapericia</w:t>
      </w:r>
      <w:r w:rsidRPr="4FE7CFB6" w:rsidR="005C78E4">
        <w:rPr>
          <w:rFonts w:ascii="Times New Roman" w:hAnsi="Times New Roman" w:cs="Times New Roman"/>
          <w:i w:val="1"/>
          <w:iCs w:val="1"/>
          <w:color w:val="000000" w:themeColor="text1" w:themeTint="FF" w:themeShade="FF"/>
          <w:sz w:val="24"/>
          <w:szCs w:val="24"/>
          <w:lang w:val="es-PE"/>
        </w:rPr>
        <w:t>, más allá de su discrepancia y rechazo, o de la pretendida explicación sobre lo sucedido con ocasión del incendio que pone en boca de tercera persona…”</w:t>
      </w:r>
      <w:r w:rsidRPr="4FE7CFB6" w:rsidR="005C78E4">
        <w:rPr>
          <w:rFonts w:ascii="Times New Roman" w:hAnsi="Times New Roman" w:cs="Times New Roman"/>
          <w:color w:val="000000" w:themeColor="text1" w:themeTint="FF" w:themeShade="FF"/>
          <w:sz w:val="24"/>
          <w:szCs w:val="24"/>
          <w:lang w:val="es-PE"/>
        </w:rPr>
        <w:t xml:space="preserve">; b) Se destaca que mediante correo electrónico, de fecha 6 de diciembre del 2021, dirigido a </w:t>
      </w:r>
      <w:r w:rsidRPr="4FE7CFB6" w:rsidR="108D11D8">
        <w:rPr>
          <w:rFonts w:ascii="Times New Roman" w:hAnsi="Times New Roman" w:cs="Times New Roman"/>
          <w:color w:val="000000" w:themeColor="text1" w:themeTint="FF" w:themeShade="FF"/>
          <w:sz w:val="24"/>
          <w:szCs w:val="24"/>
          <w:lang w:val="es-PE"/>
        </w:rPr>
        <w:t>..........................................................</w:t>
      </w:r>
      <w:r w:rsidRPr="4FE7CFB6" w:rsidR="005C78E4">
        <w:rPr>
          <w:rFonts w:ascii="Times New Roman" w:hAnsi="Times New Roman" w:cs="Times New Roman"/>
          <w:color w:val="000000" w:themeColor="text1" w:themeTint="FF" w:themeShade="FF"/>
          <w:sz w:val="24"/>
          <w:szCs w:val="24"/>
          <w:lang w:val="es-PE"/>
        </w:rPr>
        <w:t xml:space="preserve">, encargada de siniestros Región Sur para </w:t>
      </w:r>
      <w:r w:rsidRPr="4FE7CFB6" w:rsidR="6FA6F946">
        <w:rPr>
          <w:rFonts w:ascii="Times New Roman" w:hAnsi="Times New Roman" w:cs="Times New Roman"/>
          <w:color w:val="000000" w:themeColor="text1" w:themeTint="FF" w:themeShade="FF"/>
          <w:sz w:val="24"/>
          <w:szCs w:val="24"/>
          <w:lang w:val="es-PE"/>
        </w:rPr>
        <w:t>...........................</w:t>
      </w:r>
      <w:r w:rsidRPr="4FE7CFB6" w:rsidR="005C78E4">
        <w:rPr>
          <w:rFonts w:ascii="Times New Roman" w:hAnsi="Times New Roman" w:cs="Times New Roman"/>
          <w:color w:val="000000" w:themeColor="text1" w:themeTint="FF" w:themeShade="FF"/>
          <w:sz w:val="24"/>
          <w:szCs w:val="24"/>
          <w:lang w:val="es-PE"/>
        </w:rPr>
        <w:t xml:space="preserve"> Seguros, se solicitó un perito externo para que pueda proporcionar un análisis técnico e independiente del siniestro,</w:t>
      </w:r>
      <w:r w:rsidRPr="4FE7CFB6" w:rsidR="005C78E4">
        <w:rPr>
          <w:rFonts w:ascii="Times New Roman" w:hAnsi="Times New Roman" w:cs="Times New Roman"/>
          <w:color w:val="FF0000"/>
          <w:sz w:val="24"/>
          <w:szCs w:val="24"/>
          <w:lang w:val="es-PE"/>
        </w:rPr>
        <w:t xml:space="preserve"> </w:t>
      </w:r>
      <w:r w:rsidRPr="4FE7CFB6" w:rsidR="005C78E4">
        <w:rPr>
          <w:rFonts w:ascii="Times New Roman" w:hAnsi="Times New Roman" w:cs="Times New Roman"/>
          <w:color w:val="000000" w:themeColor="text1" w:themeTint="FF" w:themeShade="FF"/>
          <w:sz w:val="24"/>
          <w:szCs w:val="24"/>
          <w:lang w:val="es-PE"/>
        </w:rPr>
        <w:t>el mismo que nunca fue atendido, y c) Resulta de suma importancia, y es contundente para el caso en particular, destacar el hecho que el siniestro por corto circuito no se puede dar cuando una unidad se encuentra estacionada dentro de una cochera por varias horas, encontrándose apagada, no generándose un flujo eléctrico para que ocurra un corto circuito y, como consecuencia, se produzca un incendio.   En consecuencia, se solicita que se revoque lo resuelto y se declara fundada la reclamación;</w:t>
      </w:r>
    </w:p>
    <w:p w:rsidRPr="005C78E4" w:rsidR="005C78E4" w:rsidP="005C78E4" w:rsidRDefault="005C78E4" w14:paraId="53F9C916" w14:textId="77777777">
      <w:pPr>
        <w:suppressAutoHyphens/>
        <w:spacing w:after="0" w:line="240" w:lineRule="auto"/>
        <w:jc w:val="both"/>
        <w:rPr>
          <w:rFonts w:ascii="Times New Roman" w:hAnsi="Times New Roman" w:cs="Times New Roman"/>
          <w:color w:val="000000"/>
          <w:sz w:val="24"/>
          <w:szCs w:val="24"/>
          <w:lang w:val="es-PE"/>
        </w:rPr>
      </w:pPr>
    </w:p>
    <w:p w:rsidRPr="005C78E4" w:rsidR="005C78E4" w:rsidP="005C78E4" w:rsidRDefault="005C78E4" w14:paraId="30A442BD" w14:textId="0407D6A5">
      <w:pPr>
        <w:pStyle w:val="Default"/>
        <w:jc w:val="both"/>
        <w:rPr>
          <w:rFonts w:ascii="Times New Roman" w:hAnsi="Times New Roman" w:cs="Times New Roman"/>
        </w:rPr>
      </w:pPr>
      <w:r w:rsidRPr="4FE7CFB6" w:rsidR="005C78E4">
        <w:rPr>
          <w:rFonts w:ascii="Times New Roman" w:hAnsi="Times New Roman" w:cs="Times New Roman"/>
          <w:lang w:val="es-MX" w:eastAsia="ar-SA"/>
        </w:rPr>
        <w:t xml:space="preserve">Que, habiéndose corrido traslado de la señalada impugnación, </w:t>
      </w:r>
      <w:r w:rsidRPr="4FE7CFB6" w:rsidR="6FA6F946">
        <w:rPr>
          <w:rFonts w:ascii="Times New Roman" w:hAnsi="Times New Roman" w:cs="Times New Roman"/>
          <w:lang w:val="es-MX" w:eastAsia="ar-SA"/>
        </w:rPr>
        <w:t>...........................</w:t>
      </w:r>
      <w:r w:rsidRPr="4FE7CFB6" w:rsidR="005C78E4">
        <w:rPr>
          <w:rFonts w:ascii="Times New Roman" w:hAnsi="Times New Roman" w:cs="Times New Roman"/>
          <w:lang w:val="es-MX" w:eastAsia="ar-SA"/>
        </w:rPr>
        <w:t xml:space="preserve"> absolvió el respectivo trámite con fecha 18 de julio de 2022, destacando que de la impugnación </w:t>
      </w:r>
      <w:r w:rsidRPr="4FE7CFB6" w:rsidR="005C78E4">
        <w:rPr>
          <w:rFonts w:ascii="Times New Roman" w:hAnsi="Times New Roman" w:cs="Times New Roman"/>
        </w:rPr>
        <w:t>no se advierte ningún medio de prueba idóneo y fehaciente que acredite lo alegado por la reclamante; no habiéndose presentado un medio de prueba documental que permita cambiar en sentido de lo resuelto por la DEFASEG, por lo que el respectivo recurso debe ser declarado infundado, sin perjuicio de lo cual reitera sus argumentos de defensa que ya fueron expuestos y merituados en su oportunidad;</w:t>
      </w:r>
    </w:p>
    <w:p w:rsidRPr="005C78E4" w:rsidR="005C78E4" w:rsidP="4FE7CFB6" w:rsidRDefault="005C78E4" w14:paraId="293CF8E5" w14:textId="2ECC7DB3">
      <w:pPr>
        <w:pStyle w:val="Normal"/>
        <w:suppressAutoHyphens/>
        <w:spacing w:after="0" w:line="240" w:lineRule="auto"/>
        <w:jc w:val="both"/>
        <w:rPr>
          <w:rFonts w:ascii="Times New Roman" w:hAnsi="Times New Roman" w:cs="Times New Roman"/>
          <w:sz w:val="24"/>
          <w:szCs w:val="24"/>
          <w:lang w:val="es-ES"/>
        </w:rPr>
      </w:pPr>
    </w:p>
    <w:p w:rsidRPr="005C78E4" w:rsidR="005C78E4" w:rsidP="4FE7CFB6" w:rsidRDefault="005C78E4" w14:paraId="4574DA88" w14:textId="07B89984">
      <w:pPr>
        <w:pStyle w:val="Normal"/>
        <w:suppressAutoHyphens/>
        <w:spacing w:after="0" w:line="240" w:lineRule="auto"/>
        <w:jc w:val="both"/>
        <w:rPr>
          <w:rFonts w:ascii="Times New Roman" w:hAnsi="Times New Roman" w:cs="Times New Roman"/>
          <w:sz w:val="24"/>
          <w:szCs w:val="24"/>
          <w:lang w:val="es-ES"/>
        </w:rPr>
      </w:pPr>
      <w:r w:rsidRPr="4FE7CFB6" w:rsidR="005C78E4">
        <w:rPr>
          <w:rFonts w:ascii="Times New Roman" w:hAnsi="Times New Roman" w:cs="Times New Roman"/>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5C78E4" w:rsidR="005C78E4" w:rsidP="005C78E4" w:rsidRDefault="005C78E4" w14:paraId="2EF066E1" w14:textId="77777777">
      <w:pPr>
        <w:suppressAutoHyphens/>
        <w:spacing w:after="0" w:line="240" w:lineRule="auto"/>
        <w:jc w:val="both"/>
        <w:rPr>
          <w:rFonts w:ascii="Times New Roman" w:hAnsi="Times New Roman" w:eastAsia="Times New Roman" w:cs="Times New Roman"/>
          <w:bCs/>
          <w:sz w:val="24"/>
          <w:szCs w:val="24"/>
          <w:lang w:val="es-MX" w:eastAsia="ar-SA"/>
        </w:rPr>
      </w:pPr>
    </w:p>
    <w:p w:rsidR="005C78E4" w:rsidP="4FE7CFB6" w:rsidRDefault="005C78E4" w14:paraId="06B62B19" w14:textId="13C8EE7A">
      <w:pPr>
        <w:spacing w:after="0" w:line="240" w:lineRule="auto"/>
        <w:jc w:val="both"/>
        <w:rPr>
          <w:rFonts w:ascii="Times New Roman" w:hAnsi="Times New Roman" w:eastAsia="Times New Roman" w:cs="Times New Roman"/>
          <w:sz w:val="24"/>
          <w:szCs w:val="24"/>
          <w:lang w:val="es-MX" w:eastAsia="ar-SA"/>
        </w:rPr>
      </w:pPr>
      <w:r w:rsidRPr="4FE7CFB6" w:rsidR="005C78E4">
        <w:rPr>
          <w:rFonts w:ascii="Times New Roman" w:hAnsi="Times New Roman" w:eastAsia="Times New Roman" w:cs="Times New Roman"/>
          <w:b w:val="1"/>
          <w:bCs w:val="1"/>
          <w:sz w:val="24"/>
          <w:szCs w:val="24"/>
          <w:lang w:val="es-MX" w:eastAsia="ar-SA"/>
        </w:rPr>
        <w:t>Considerando:</w:t>
      </w:r>
    </w:p>
    <w:p w:rsidR="4FE7CFB6" w:rsidP="4FE7CFB6" w:rsidRDefault="4FE7CFB6" w14:paraId="6D46696B" w14:textId="4389F1AD">
      <w:pPr>
        <w:spacing w:after="0" w:line="240" w:lineRule="auto"/>
        <w:jc w:val="both"/>
        <w:rPr>
          <w:rFonts w:ascii="Times New Roman" w:hAnsi="Times New Roman" w:eastAsia="Times New Roman" w:cs="Times New Roman"/>
          <w:b w:val="1"/>
          <w:bCs w:val="1"/>
          <w:sz w:val="24"/>
          <w:szCs w:val="24"/>
          <w:lang w:val="es-MX" w:eastAsia="ar-SA"/>
        </w:rPr>
      </w:pPr>
    </w:p>
    <w:p w:rsidRPr="005C78E4" w:rsidR="005C78E4" w:rsidP="005C78E4" w:rsidRDefault="005C78E4" w14:paraId="7CCEF498" w14:textId="77777777">
      <w:pPr>
        <w:spacing w:after="0" w:line="240" w:lineRule="auto"/>
        <w:jc w:val="both"/>
        <w:rPr>
          <w:rFonts w:ascii="Times New Roman" w:hAnsi="Times New Roman" w:cs="Times New Roman"/>
          <w:sz w:val="24"/>
          <w:szCs w:val="24"/>
          <w:lang w:val="es-PE"/>
        </w:rPr>
      </w:pPr>
      <w:r w:rsidRPr="005C78E4">
        <w:rPr>
          <w:rFonts w:ascii="Times New Roman" w:hAnsi="Times New Roman" w:cs="Times New Roman"/>
          <w:b/>
          <w:sz w:val="24"/>
          <w:szCs w:val="24"/>
          <w:u w:val="single"/>
          <w:lang w:val="es-PE"/>
        </w:rPr>
        <w:t>Primero</w:t>
      </w:r>
      <w:r w:rsidRPr="005C78E4">
        <w:rPr>
          <w:rFonts w:ascii="Times New Roman" w:hAnsi="Times New Roman" w:cs="Times New Roman"/>
          <w:b/>
          <w:sz w:val="24"/>
          <w:szCs w:val="24"/>
          <w:lang w:val="es-PE"/>
        </w:rPr>
        <w:t>:</w:t>
      </w:r>
      <w:r w:rsidRPr="005C78E4">
        <w:rPr>
          <w:rFonts w:ascii="Times New Roman" w:hAnsi="Times New Roman" w:cs="Times New Roman"/>
          <w:sz w:val="24"/>
          <w:szCs w:val="24"/>
          <w:lang w:val="es-PE"/>
        </w:rPr>
        <w:t xml:space="preserve"> El Reglamento de la DEFASEG </w:t>
      </w:r>
      <w:r w:rsidRPr="005C78E4">
        <w:rPr>
          <w:rFonts w:ascii="Times New Roman" w:hAnsi="Times New Roman" w:eastAsia="Arial Unicode MS" w:cs="Times New Roman"/>
          <w:sz w:val="24"/>
          <w:szCs w:val="24"/>
          <w:lang w:val="es-PE"/>
        </w:rPr>
        <w:t xml:space="preserve">(http://www.defaseg.com.pe/reglamento), en su artículo 10, </w:t>
      </w:r>
      <w:r w:rsidRPr="005C78E4">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w:t>
      </w:r>
      <w:r w:rsidRPr="005C78E4">
        <w:rPr>
          <w:rFonts w:ascii="Times New Roman" w:hAnsi="Times New Roman" w:cs="Times New Roman"/>
          <w:sz w:val="24"/>
          <w:szCs w:val="24"/>
          <w:lang w:val="es-PE"/>
        </w:rPr>
        <w:lastRenderedPageBreak/>
        <w:t xml:space="preserve">complementaria, el artículo 11 del indicado reglamento dispone que, el </w:t>
      </w:r>
      <w:r w:rsidRPr="005C78E4">
        <w:rPr>
          <w:rFonts w:ascii="Times New Roman" w:hAnsi="Times New Roman" w:cs="Times New Roman"/>
          <w:sz w:val="24"/>
          <w:szCs w:val="24"/>
          <w:lang w:val="es-ES"/>
        </w:rPr>
        <w:t>usuario de seguro recurre en forma voluntaria a la Defensoría, siendo que la presentación de una reclamación n</w:t>
      </w:r>
      <w:r w:rsidRPr="005C78E4">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5C78E4">
        <w:rPr>
          <w:rFonts w:ascii="Times New Roman" w:hAnsi="Times New Roman" w:cs="Times New Roman"/>
          <w:sz w:val="24"/>
          <w:szCs w:val="24"/>
          <w:lang w:val="es-PE"/>
        </w:rPr>
        <w:t>De acuerdo a</w:t>
      </w:r>
      <w:proofErr w:type="gramEnd"/>
      <w:r w:rsidRPr="005C78E4">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5C78E4" w:rsidR="005C78E4" w:rsidP="005C78E4" w:rsidRDefault="005C78E4" w14:paraId="2A8A55C5" w14:textId="77777777">
      <w:pPr>
        <w:spacing w:after="0" w:line="240" w:lineRule="auto"/>
        <w:jc w:val="both"/>
        <w:rPr>
          <w:rFonts w:ascii="Times New Roman" w:hAnsi="Times New Roman" w:cs="Times New Roman"/>
          <w:sz w:val="24"/>
          <w:szCs w:val="24"/>
          <w:lang w:val="es-PE"/>
        </w:rPr>
      </w:pPr>
    </w:p>
    <w:p w:rsidRPr="005C78E4" w:rsidR="005C78E4" w:rsidP="005C78E4" w:rsidRDefault="005C78E4" w14:paraId="1809256F" w14:textId="77777777">
      <w:pPr>
        <w:tabs>
          <w:tab w:val="left" w:pos="0"/>
          <w:tab w:val="left" w:pos="2160"/>
        </w:tabs>
        <w:spacing w:after="0" w:line="240" w:lineRule="auto"/>
        <w:jc w:val="both"/>
        <w:rPr>
          <w:rFonts w:ascii="Times New Roman" w:hAnsi="Times New Roman" w:cs="Times New Roman"/>
          <w:sz w:val="24"/>
          <w:szCs w:val="24"/>
          <w:lang w:val="es-ES"/>
        </w:rPr>
      </w:pPr>
      <w:r w:rsidRPr="005C78E4">
        <w:rPr>
          <w:rFonts w:ascii="Times New Roman" w:hAnsi="Times New Roman" w:cs="Times New Roman"/>
          <w:b/>
          <w:sz w:val="24"/>
          <w:szCs w:val="24"/>
          <w:u w:val="single"/>
          <w:lang w:val="es-PE"/>
        </w:rPr>
        <w:t>Segundo</w:t>
      </w:r>
      <w:r w:rsidRPr="005C78E4">
        <w:rPr>
          <w:rFonts w:ascii="Times New Roman" w:hAnsi="Times New Roman" w:cs="Times New Roman"/>
          <w:b/>
          <w:sz w:val="24"/>
          <w:szCs w:val="24"/>
          <w:lang w:val="es-PE"/>
        </w:rPr>
        <w:t>:</w:t>
      </w:r>
      <w:r w:rsidRPr="005C78E4">
        <w:rPr>
          <w:rFonts w:ascii="Times New Roman" w:hAnsi="Times New Roman" w:cs="Times New Roman"/>
          <w:sz w:val="24"/>
          <w:szCs w:val="24"/>
          <w:lang w:val="es-PE"/>
        </w:rPr>
        <w:t xml:space="preserve"> Atendiendo a los fundamentos de la impugnación interpuesta, se aprecia inequívocamente que la reclamante no </w:t>
      </w:r>
      <w:r w:rsidRPr="005C78E4">
        <w:rPr>
          <w:rFonts w:ascii="Times New Roman" w:hAnsi="Times New Roman" w:cs="Times New Roman"/>
          <w:bCs/>
          <w:sz w:val="24"/>
          <w:szCs w:val="24"/>
          <w:lang w:val="es-PE"/>
        </w:rPr>
        <w:t xml:space="preserve">expone ni acredita nuevo argumento sustantivo que permita desautorizar lo resuelto, de manera que el </w:t>
      </w:r>
      <w:r w:rsidRPr="005C78E4">
        <w:rPr>
          <w:rFonts w:ascii="Times New Roman" w:hAnsi="Times New Roman" w:cs="Times New Roman"/>
          <w:sz w:val="24"/>
          <w:szCs w:val="24"/>
          <w:lang w:val="es-ES"/>
        </w:rPr>
        <w:t>recurso impugnativo presentado bien puede ser categorizado, por su contenido mismo, como una solicitud de revisión general, sustentada exclusivamente en el criterio de la asegurada, que este colegiado no comparte definitivamente, sin aportar medio probatorio que permita real, efectivamente, concluir que este colegiado incurrió en un error o vicio al momento de resolver.  Conforme a ello, la impugnación presentada es meramente argumentativa, sin respaldo fáctico, siendo que es la asegurada la que soporta la carga probatoria de demostrar que el rechazo de cobertura es arbitrario o ilegitimo, carga que no ha observado y que no puede obviarse con meras especulaciones o por lo que pueda entenderse como defectos de idoneidad de servicios, tal como fue tratado en la audiencia de vista.</w:t>
      </w:r>
    </w:p>
    <w:p w:rsidRPr="005C78E4" w:rsidR="005C78E4" w:rsidP="005C78E4" w:rsidRDefault="005C78E4" w14:paraId="31EDD603" w14:textId="77777777">
      <w:pPr>
        <w:tabs>
          <w:tab w:val="left" w:pos="0"/>
          <w:tab w:val="left" w:pos="2160"/>
        </w:tabs>
        <w:spacing w:after="0" w:line="240" w:lineRule="auto"/>
        <w:jc w:val="both"/>
        <w:rPr>
          <w:rFonts w:ascii="Times New Roman" w:hAnsi="Times New Roman" w:cs="Times New Roman"/>
          <w:sz w:val="24"/>
          <w:szCs w:val="24"/>
          <w:lang w:val="es-PE"/>
        </w:rPr>
      </w:pPr>
    </w:p>
    <w:p w:rsidRPr="005C78E4" w:rsidR="005C78E4" w:rsidP="005C78E4" w:rsidRDefault="005C78E4" w14:paraId="0C37FDE5" w14:textId="77777777">
      <w:pPr>
        <w:tabs>
          <w:tab w:val="left" w:pos="0"/>
          <w:tab w:val="left" w:pos="2160"/>
        </w:tabs>
        <w:spacing w:after="0" w:line="240" w:lineRule="auto"/>
        <w:jc w:val="both"/>
        <w:rPr>
          <w:rFonts w:ascii="Times New Roman" w:hAnsi="Times New Roman" w:cs="Times New Roman"/>
          <w:sz w:val="24"/>
          <w:szCs w:val="24"/>
          <w:lang w:val="es-PE"/>
        </w:rPr>
      </w:pPr>
      <w:r w:rsidRPr="4FE7CFB6" w:rsidR="005C78E4">
        <w:rPr>
          <w:rFonts w:ascii="Times New Roman" w:hAnsi="Times New Roman" w:cs="Times New Roman"/>
          <w:b w:val="1"/>
          <w:bCs w:val="1"/>
          <w:sz w:val="24"/>
          <w:szCs w:val="24"/>
          <w:u w:val="single"/>
          <w:lang w:val="es-PE"/>
        </w:rPr>
        <w:t>Tercero</w:t>
      </w:r>
      <w:r w:rsidRPr="4FE7CFB6" w:rsidR="005C78E4">
        <w:rPr>
          <w:rFonts w:ascii="Times New Roman" w:hAnsi="Times New Roman" w:cs="Times New Roman"/>
          <w:b w:val="1"/>
          <w:bCs w:val="1"/>
          <w:sz w:val="24"/>
          <w:szCs w:val="24"/>
          <w:lang w:val="es-PE"/>
        </w:rPr>
        <w:t xml:space="preserve">: </w:t>
      </w:r>
      <w:r w:rsidRPr="4FE7CFB6" w:rsidR="005C78E4">
        <w:rPr>
          <w:rFonts w:ascii="Times New Roman" w:hAnsi="Times New Roman" w:cs="Times New Roman"/>
          <w:sz w:val="24"/>
          <w:szCs w:val="24"/>
          <w:lang w:val="es-PE"/>
        </w:rPr>
        <w:t xml:space="preserve">Teniendo presente los fundamentos de la impugnación interpuesta y </w:t>
      </w:r>
      <w:r w:rsidRPr="4FE7CFB6" w:rsidR="005C78E4">
        <w:rPr>
          <w:rFonts w:ascii="Times New Roman" w:hAnsi="Times New Roman" w:cs="Times New Roman"/>
          <w:sz w:val="24"/>
          <w:szCs w:val="24"/>
          <w:lang w:val="es-ES"/>
        </w:rPr>
        <w:t>las consideraciones precedentes, ratificando íntegramente el análisis y conclusión contenidos en la resolución recurrida, este colegiado aprecia que no existe mérito, argumento ni prueba que justifique revocar la resolución recurrida; por lo tanto,</w:t>
      </w:r>
    </w:p>
    <w:p w:rsidR="4FE7CFB6" w:rsidP="4FE7CFB6" w:rsidRDefault="4FE7CFB6" w14:paraId="32937BC3" w14:textId="069B6F83">
      <w:pPr>
        <w:pStyle w:val="Normal"/>
        <w:spacing w:after="0" w:line="240" w:lineRule="auto"/>
        <w:jc w:val="both"/>
        <w:rPr>
          <w:rFonts w:ascii="Times New Roman" w:hAnsi="Times New Roman" w:cs="Times New Roman"/>
          <w:b w:val="1"/>
          <w:bCs w:val="1"/>
          <w:sz w:val="24"/>
          <w:szCs w:val="24"/>
          <w:lang w:val="es-PE"/>
        </w:rPr>
      </w:pPr>
    </w:p>
    <w:p w:rsidRPr="005C78E4" w:rsidR="005C78E4" w:rsidP="4FE7CFB6" w:rsidRDefault="005C78E4" w14:paraId="279CDEC4" w14:textId="54A2928A">
      <w:pPr>
        <w:pStyle w:val="Normal"/>
        <w:spacing w:after="0" w:line="240" w:lineRule="auto"/>
        <w:jc w:val="both"/>
        <w:rPr>
          <w:rFonts w:ascii="Times New Roman" w:hAnsi="Times New Roman" w:cs="Times New Roman"/>
          <w:b w:val="1"/>
          <w:bCs w:val="1"/>
          <w:sz w:val="24"/>
          <w:szCs w:val="24"/>
          <w:lang w:val="es-PE"/>
        </w:rPr>
      </w:pPr>
      <w:r w:rsidRPr="4FE7CFB6" w:rsidR="005C78E4">
        <w:rPr>
          <w:rFonts w:ascii="Times New Roman" w:hAnsi="Times New Roman" w:cs="Times New Roman"/>
          <w:b w:val="1"/>
          <w:bCs w:val="1"/>
          <w:sz w:val="24"/>
          <w:szCs w:val="24"/>
          <w:lang w:val="es-PE"/>
        </w:rPr>
        <w:t>Atendiendo a lo expresado, conforme a su reglamento, esta Defensoría resuelve:</w:t>
      </w:r>
    </w:p>
    <w:p w:rsidRPr="005C78E4" w:rsidR="005C78E4" w:rsidP="005C78E4" w:rsidRDefault="005C78E4" w14:paraId="481ADEF8" w14:textId="77777777">
      <w:pPr>
        <w:spacing w:after="0" w:line="240" w:lineRule="auto"/>
        <w:jc w:val="both"/>
        <w:rPr>
          <w:rFonts w:ascii="Times New Roman" w:hAnsi="Times New Roman" w:eastAsia="Arial Unicode MS" w:cs="Times New Roman"/>
          <w:b/>
          <w:sz w:val="24"/>
          <w:szCs w:val="24"/>
          <w:lang w:val="es-PE"/>
        </w:rPr>
      </w:pPr>
    </w:p>
    <w:p w:rsidRPr="005C78E4" w:rsidR="005C78E4" w:rsidP="4FE7CFB6" w:rsidRDefault="005C78E4" w14:paraId="49E89ACC" w14:textId="3B23ACA1">
      <w:pPr>
        <w:spacing w:after="0" w:line="240" w:lineRule="auto"/>
        <w:jc w:val="both"/>
        <w:rPr>
          <w:rFonts w:ascii="Times New Roman" w:hAnsi="Times New Roman" w:cs="Times New Roman"/>
          <w:sz w:val="24"/>
          <w:szCs w:val="24"/>
          <w:lang w:val="es-ES"/>
        </w:rPr>
      </w:pPr>
      <w:r w:rsidRPr="4FE7CFB6" w:rsidR="005C78E4">
        <w:rPr>
          <w:rFonts w:ascii="Times New Roman" w:hAnsi="Times New Roman" w:eastAsia="Arial Unicode MS" w:cs="Times New Roman"/>
          <w:b w:val="1"/>
          <w:bCs w:val="1"/>
          <w:sz w:val="24"/>
          <w:szCs w:val="24"/>
          <w:lang w:val="es-PE"/>
        </w:rPr>
        <w:t xml:space="preserve">Declarar INFUNDADO el recurso impugnativo </w:t>
      </w:r>
      <w:r w:rsidRPr="4FE7CFB6" w:rsidR="005C78E4">
        <w:rPr>
          <w:rFonts w:ascii="Times New Roman" w:hAnsi="Times New Roman" w:eastAsia="Arial Unicode MS" w:cs="Times New Roman"/>
          <w:sz w:val="24"/>
          <w:szCs w:val="24"/>
          <w:lang w:val="es-PE"/>
        </w:rPr>
        <w:t xml:space="preserve">interpuesto por </w:t>
      </w:r>
      <w:r w:rsidRPr="4FE7CFB6" w:rsidR="5B33BCF6">
        <w:rPr>
          <w:rFonts w:ascii="Times New Roman" w:hAnsi="Times New Roman" w:eastAsia="Times New Roman" w:cs="Times New Roman"/>
          <w:sz w:val="24"/>
          <w:szCs w:val="24"/>
          <w:lang w:val="es-ES" w:eastAsia="ar-SA"/>
        </w:rPr>
        <w:t>.............................................</w:t>
      </w:r>
      <w:r w:rsidRPr="4FE7CFB6" w:rsidR="005C78E4">
        <w:rPr>
          <w:rFonts w:ascii="Times New Roman" w:hAnsi="Times New Roman" w:eastAsia="Times New Roman" w:cs="Times New Roman"/>
          <w:sz w:val="24"/>
          <w:szCs w:val="24"/>
          <w:lang w:val="es-ES" w:eastAsia="ar-SA"/>
        </w:rPr>
        <w:t>. y, por consiguiente, ratificar la Resolución Nro. 131/22, de fecha 22 de junio de 2022, que declaró INFUNDADA la reclamación.</w:t>
      </w:r>
    </w:p>
    <w:p w:rsidRPr="005C78E4" w:rsidR="00AE22DB" w:rsidP="005D2FD8" w:rsidRDefault="00AE22DB" w14:paraId="76522F82" w14:textId="77777777">
      <w:pPr>
        <w:suppressAutoHyphens/>
        <w:spacing w:after="0" w:line="240" w:lineRule="auto"/>
        <w:outlineLvl w:val="0"/>
        <w:rPr>
          <w:rFonts w:ascii="Times New Roman" w:hAnsi="Times New Roman" w:eastAsia="Times New Roman" w:cs="Times New Roman"/>
          <w:b/>
          <w:bCs/>
          <w:sz w:val="24"/>
          <w:szCs w:val="24"/>
          <w:lang w:val="es-ES" w:eastAsia="ar-SA"/>
        </w:rPr>
      </w:pPr>
    </w:p>
    <w:p w:rsidRPr="005C78E4" w:rsidR="00C173A8" w:rsidP="00092C2E" w:rsidRDefault="00C173A8" w14:paraId="21EFD7D3" w14:textId="2496AC28">
      <w:pPr>
        <w:suppressAutoHyphens/>
        <w:spacing w:after="0" w:line="240" w:lineRule="auto"/>
        <w:jc w:val="right"/>
        <w:outlineLvl w:val="0"/>
        <w:rPr>
          <w:rFonts w:ascii="Times New Roman" w:hAnsi="Times New Roman" w:eastAsia="Arial Unicode MS" w:cs="Times New Roman"/>
          <w:sz w:val="24"/>
          <w:szCs w:val="24"/>
          <w:lang w:val="es-PE" w:eastAsia="ar-SA"/>
        </w:rPr>
      </w:pPr>
      <w:r w:rsidRPr="005C78E4">
        <w:rPr>
          <w:rFonts w:ascii="Times New Roman" w:hAnsi="Times New Roman" w:eastAsia="Arial Unicode MS" w:cs="Times New Roman"/>
          <w:sz w:val="24"/>
          <w:szCs w:val="24"/>
          <w:lang w:val="es-PE" w:eastAsia="ar-SA"/>
        </w:rPr>
        <w:t xml:space="preserve">Lima, </w:t>
      </w:r>
      <w:r w:rsidRPr="005C78E4" w:rsidR="006315FA">
        <w:rPr>
          <w:rFonts w:ascii="Times New Roman" w:hAnsi="Times New Roman" w:eastAsia="Arial Unicode MS" w:cs="Times New Roman"/>
          <w:sz w:val="24"/>
          <w:szCs w:val="24"/>
          <w:lang w:val="es-PE" w:eastAsia="ar-SA"/>
        </w:rPr>
        <w:t>01</w:t>
      </w:r>
      <w:r w:rsidRPr="005C78E4" w:rsidR="00E72889">
        <w:rPr>
          <w:rFonts w:ascii="Times New Roman" w:hAnsi="Times New Roman" w:eastAsia="Arial Unicode MS" w:cs="Times New Roman"/>
          <w:sz w:val="24"/>
          <w:szCs w:val="24"/>
          <w:lang w:val="es-PE" w:eastAsia="ar-SA"/>
        </w:rPr>
        <w:t xml:space="preserve"> </w:t>
      </w:r>
      <w:r w:rsidRPr="005C78E4">
        <w:rPr>
          <w:rFonts w:ascii="Times New Roman" w:hAnsi="Times New Roman" w:eastAsia="Arial Unicode MS" w:cs="Times New Roman"/>
          <w:sz w:val="24"/>
          <w:szCs w:val="24"/>
          <w:lang w:val="es-PE" w:eastAsia="ar-SA"/>
        </w:rPr>
        <w:t xml:space="preserve">de </w:t>
      </w:r>
      <w:r w:rsidRPr="005C78E4" w:rsidR="006315FA">
        <w:rPr>
          <w:rFonts w:ascii="Times New Roman" w:hAnsi="Times New Roman" w:eastAsia="Arial Unicode MS" w:cs="Times New Roman"/>
          <w:sz w:val="24"/>
          <w:szCs w:val="24"/>
          <w:lang w:val="es-PE" w:eastAsia="ar-SA"/>
        </w:rPr>
        <w:t>agosto</w:t>
      </w:r>
      <w:r w:rsidRPr="005C78E4">
        <w:rPr>
          <w:rFonts w:ascii="Times New Roman" w:hAnsi="Times New Roman" w:eastAsia="Arial Unicode MS" w:cs="Times New Roman"/>
          <w:sz w:val="24"/>
          <w:szCs w:val="24"/>
          <w:lang w:val="es-PE" w:eastAsia="ar-SA"/>
        </w:rPr>
        <w:t xml:space="preserve"> de 2022</w:t>
      </w:r>
      <w:r w:rsidRPr="005C78E4">
        <w:rPr>
          <w:rFonts w:ascii="Times New Roman" w:hAnsi="Times New Roman" w:eastAsia="Times New Roman" w:cs="Times New Roman"/>
          <w:sz w:val="24"/>
          <w:szCs w:val="24"/>
          <w:lang w:val="es-PE" w:eastAsia="ar-SA"/>
        </w:rPr>
        <w:t xml:space="preserve"> </w:t>
      </w:r>
    </w:p>
    <w:p w:rsidRPr="005C78E4"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5C78E4"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5C78E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5C78E4"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5C78E4"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5C78E4">
        <w:rPr>
          <w:rFonts w:ascii="Times New Roman" w:hAnsi="Times New Roman" w:cs="Times New Roman"/>
          <w:b/>
          <w:bCs/>
          <w:sz w:val="24"/>
          <w:szCs w:val="24"/>
          <w:lang w:val="es-PE"/>
        </w:rPr>
        <w:t xml:space="preserve">Marco Antonio Ortega Piana – </w:t>
      </w:r>
      <w:proofErr w:type="gramStart"/>
      <w:r w:rsidRPr="005C78E4">
        <w:rPr>
          <w:rFonts w:ascii="Times New Roman" w:hAnsi="Times New Roman" w:cs="Times New Roman"/>
          <w:b/>
          <w:bCs/>
          <w:sz w:val="24"/>
          <w:szCs w:val="24"/>
          <w:lang w:val="es-PE"/>
        </w:rPr>
        <w:t>Presidente</w:t>
      </w:r>
      <w:proofErr w:type="gramEnd"/>
    </w:p>
    <w:p w:rsidRPr="005C78E4"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5C78E4">
        <w:rPr>
          <w:rFonts w:ascii="Times New Roman" w:hAnsi="Times New Roman" w:cs="Times New Roman"/>
          <w:b/>
          <w:bCs/>
          <w:sz w:val="24"/>
          <w:szCs w:val="24"/>
          <w:lang w:val="es-PE"/>
        </w:rPr>
        <w:t xml:space="preserve">María Eugenia Valdez Fernández Baca – </w:t>
      </w:r>
      <w:r w:rsidRPr="005C78E4" w:rsidR="001B1998">
        <w:rPr>
          <w:rFonts w:ascii="Times New Roman" w:hAnsi="Times New Roman" w:cs="Times New Roman"/>
          <w:b/>
          <w:bCs/>
          <w:sz w:val="24"/>
          <w:szCs w:val="24"/>
          <w:lang w:val="es-PE"/>
        </w:rPr>
        <w:t>Vocal</w:t>
      </w:r>
    </w:p>
    <w:p w:rsidRPr="005C78E4"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5C78E4">
        <w:rPr>
          <w:rFonts w:ascii="Times New Roman" w:hAnsi="Times New Roman" w:cs="Times New Roman"/>
          <w:b/>
          <w:bCs/>
          <w:sz w:val="24"/>
          <w:szCs w:val="24"/>
          <w:lang w:val="es-PE"/>
        </w:rPr>
        <w:t xml:space="preserve">Rolando Eyzaguirre </w:t>
      </w:r>
      <w:proofErr w:type="spellStart"/>
      <w:r w:rsidRPr="005C78E4">
        <w:rPr>
          <w:rFonts w:ascii="Times New Roman" w:hAnsi="Times New Roman" w:cs="Times New Roman"/>
          <w:b/>
          <w:bCs/>
          <w:sz w:val="24"/>
          <w:szCs w:val="24"/>
          <w:lang w:val="es-PE"/>
        </w:rPr>
        <w:t>Maccan</w:t>
      </w:r>
      <w:proofErr w:type="spellEnd"/>
      <w:r w:rsidRPr="005C78E4">
        <w:rPr>
          <w:rFonts w:ascii="Times New Roman" w:hAnsi="Times New Roman" w:cs="Times New Roman"/>
          <w:b/>
          <w:bCs/>
          <w:sz w:val="24"/>
          <w:szCs w:val="24"/>
          <w:lang w:val="es-PE"/>
        </w:rPr>
        <w:t xml:space="preserve"> - Vocal</w:t>
      </w:r>
    </w:p>
    <w:p w:rsidRPr="005C78E4"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5C78E4">
        <w:rPr>
          <w:rFonts w:ascii="Times New Roman" w:hAnsi="Times New Roman" w:cs="Times New Roman"/>
          <w:b/>
          <w:bCs/>
          <w:sz w:val="24"/>
          <w:szCs w:val="24"/>
          <w:lang w:val="es-PE"/>
        </w:rPr>
        <w:t>Gonzalo Abad del Busto – Vocal</w:t>
      </w:r>
    </w:p>
    <w:p w:rsidRPr="00913230" w:rsidR="00C671F5" w:rsidP="4FE7CFB6" w:rsidRDefault="00C671F5" w14:paraId="2C3A0205" w14:noSpellErr="1" w14:textId="0A257C75">
      <w:pPr>
        <w:pStyle w:val="Normal"/>
        <w:spacing w:after="0" w:line="360" w:lineRule="auto"/>
        <w:outlineLvl w:val="0"/>
        <w:rPr>
          <w:rFonts w:ascii="Times New Roman" w:hAnsi="Times New Roman" w:eastAsia="Arial Unicode MS" w:cs="Times New Roman"/>
          <w:sz w:val="24"/>
          <w:szCs w:val="24"/>
          <w:lang w:val="es-PE" w:eastAsia="ar-SA"/>
        </w:rPr>
      </w:pPr>
    </w:p>
    <w:sectPr w:rsidRPr="00913230"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A1966" w:rsidP="00784355" w:rsidRDefault="005A1966" w14:paraId="47AA32D6" w14:textId="77777777">
      <w:pPr>
        <w:spacing w:after="0" w:line="240" w:lineRule="auto"/>
      </w:pPr>
      <w:r>
        <w:separator/>
      </w:r>
    </w:p>
  </w:endnote>
  <w:endnote w:type="continuationSeparator" w:id="0">
    <w:p w:rsidR="005A1966" w:rsidP="00784355" w:rsidRDefault="005A1966" w14:paraId="60ADB21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A1966" w:rsidP="00784355" w:rsidRDefault="005A1966" w14:paraId="24D3EC73" w14:textId="77777777">
      <w:pPr>
        <w:spacing w:after="0" w:line="240" w:lineRule="auto"/>
      </w:pPr>
      <w:r>
        <w:separator/>
      </w:r>
    </w:p>
  </w:footnote>
  <w:footnote w:type="continuationSeparator" w:id="0">
    <w:p w:rsidR="005A1966" w:rsidP="00784355" w:rsidRDefault="005A1966" w14:paraId="5A7549C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8AB"/>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C30"/>
    <w:rsid w:val="00465FB9"/>
    <w:rsid w:val="00466302"/>
    <w:rsid w:val="0047370C"/>
    <w:rsid w:val="0047522D"/>
    <w:rsid w:val="00476BA1"/>
    <w:rsid w:val="00477C29"/>
    <w:rsid w:val="00490F9F"/>
    <w:rsid w:val="00496A1A"/>
    <w:rsid w:val="004A3E25"/>
    <w:rsid w:val="004B51ED"/>
    <w:rsid w:val="004B5ED8"/>
    <w:rsid w:val="004C43FC"/>
    <w:rsid w:val="004C51EC"/>
    <w:rsid w:val="004C5A91"/>
    <w:rsid w:val="004C62B3"/>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C78E4"/>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67A4"/>
    <w:rsid w:val="008D6AFE"/>
    <w:rsid w:val="008D6DDF"/>
    <w:rsid w:val="008F1161"/>
    <w:rsid w:val="008F27EF"/>
    <w:rsid w:val="008F479E"/>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683"/>
    <w:rsid w:val="00B93C7A"/>
    <w:rsid w:val="00B956C4"/>
    <w:rsid w:val="00B95F76"/>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55D6"/>
    <w:rsid w:val="00CF78D3"/>
    <w:rsid w:val="00D01EFF"/>
    <w:rsid w:val="00D10B27"/>
    <w:rsid w:val="00D12CFF"/>
    <w:rsid w:val="00D14B84"/>
    <w:rsid w:val="00D156AF"/>
    <w:rsid w:val="00D16367"/>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516"/>
    <w:rsid w:val="00E02C4A"/>
    <w:rsid w:val="00E107CA"/>
    <w:rsid w:val="00E1216B"/>
    <w:rsid w:val="00E1477F"/>
    <w:rsid w:val="00E16C63"/>
    <w:rsid w:val="00E20C5F"/>
    <w:rsid w:val="00E22EBE"/>
    <w:rsid w:val="00E25348"/>
    <w:rsid w:val="00E25D54"/>
    <w:rsid w:val="00E30E76"/>
    <w:rsid w:val="00E341F5"/>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0FF456B"/>
    <w:rsid w:val="05EB9323"/>
    <w:rsid w:val="09C7CF8D"/>
    <w:rsid w:val="0D418694"/>
    <w:rsid w:val="108D11D8"/>
    <w:rsid w:val="13E4186F"/>
    <w:rsid w:val="154EC309"/>
    <w:rsid w:val="177BAB89"/>
    <w:rsid w:val="223183C8"/>
    <w:rsid w:val="24586129"/>
    <w:rsid w:val="2841A662"/>
    <w:rsid w:val="4FE7CFB6"/>
    <w:rsid w:val="5B33BCF6"/>
    <w:rsid w:val="667B6571"/>
    <w:rsid w:val="6822B75B"/>
    <w:rsid w:val="6C75A28A"/>
    <w:rsid w:val="6FA6F946"/>
    <w:rsid w:val="72647E51"/>
    <w:rsid w:val="779D17AF"/>
    <w:rsid w:val="78DAF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C7A6ACA-D98F-4DBE-8351-1B5659BF7473}"/>
</file>

<file path=customXml/itemProps3.xml><?xml version="1.0" encoding="utf-8"?>
<ds:datastoreItem xmlns:ds="http://schemas.openxmlformats.org/officeDocument/2006/customXml" ds:itemID="{1EE68625-541F-4802-807C-2872370B7E95}"/>
</file>

<file path=customXml/itemProps4.xml><?xml version="1.0" encoding="utf-8"?>
<ds:datastoreItem xmlns:ds="http://schemas.openxmlformats.org/officeDocument/2006/customXml" ds:itemID="{58DFF19D-5FE7-4ACB-8B5C-BA3BDB69F96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180</cp:revision>
  <cp:lastPrinted>2022-08-01T15:27:00Z</cp:lastPrinted>
  <dcterms:created xsi:type="dcterms:W3CDTF">2020-12-18T20:17:00Z</dcterms:created>
  <dcterms:modified xsi:type="dcterms:W3CDTF">2025-12-01T15:56:38Z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