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C0585" w:rsidR="00B10F71" w:rsidP="00041B86" w:rsidRDefault="00201C0D" w14:paraId="51974F0B" w14:textId="5C5B7E38">
      <w:pPr>
        <w:spacing w:after="0" w:line="240" w:lineRule="auto"/>
        <w:jc w:val="center"/>
        <w:rPr>
          <w:rFonts w:ascii="Times New Roman" w:hAnsi="Times New Roman" w:cs="Times New Roman"/>
          <w:b/>
          <w:sz w:val="24"/>
          <w:szCs w:val="24"/>
          <w:lang w:val="es-PE" w:eastAsia="ar-SA"/>
        </w:rPr>
      </w:pPr>
      <w:r w:rsidRPr="000C0585">
        <w:rPr>
          <w:rFonts w:ascii="Times New Roman" w:hAnsi="Times New Roman" w:cs="Times New Roman"/>
          <w:b/>
          <w:sz w:val="24"/>
          <w:szCs w:val="24"/>
          <w:lang w:val="es-PE" w:eastAsia="ar-SA"/>
        </w:rPr>
        <w:t xml:space="preserve">RESOLUCIÓN DE RECURSO IMPUGNATIVO </w:t>
      </w:r>
      <w:proofErr w:type="spellStart"/>
      <w:r w:rsidRPr="000C0585" w:rsidR="00707C99">
        <w:rPr>
          <w:rFonts w:ascii="Times New Roman" w:hAnsi="Times New Roman" w:cs="Times New Roman"/>
          <w:b/>
          <w:sz w:val="24"/>
          <w:szCs w:val="24"/>
          <w:lang w:val="es-PE" w:eastAsia="ar-SA"/>
        </w:rPr>
        <w:t>N°</w:t>
      </w:r>
      <w:proofErr w:type="spellEnd"/>
      <w:r w:rsidRPr="000C0585" w:rsidR="00707C99">
        <w:rPr>
          <w:rFonts w:ascii="Times New Roman" w:hAnsi="Times New Roman" w:cs="Times New Roman"/>
          <w:b/>
          <w:sz w:val="24"/>
          <w:szCs w:val="24"/>
          <w:lang w:val="es-PE" w:eastAsia="ar-SA"/>
        </w:rPr>
        <w:t xml:space="preserve"> </w:t>
      </w:r>
      <w:r w:rsidRPr="000C0585" w:rsidR="00C671F5">
        <w:rPr>
          <w:rFonts w:ascii="Times New Roman" w:hAnsi="Times New Roman" w:cs="Times New Roman"/>
          <w:b/>
          <w:sz w:val="24"/>
          <w:szCs w:val="24"/>
          <w:lang w:val="es-PE" w:eastAsia="ar-SA"/>
        </w:rPr>
        <w:t>0</w:t>
      </w:r>
      <w:r w:rsidRPr="000C0585" w:rsidR="00A200ED">
        <w:rPr>
          <w:rFonts w:ascii="Times New Roman" w:hAnsi="Times New Roman" w:cs="Times New Roman"/>
          <w:b/>
          <w:sz w:val="24"/>
          <w:szCs w:val="24"/>
          <w:lang w:val="es-PE" w:eastAsia="ar-SA"/>
        </w:rPr>
        <w:t>5</w:t>
      </w:r>
      <w:r w:rsidRPr="000C0585" w:rsidR="00460338">
        <w:rPr>
          <w:rFonts w:ascii="Times New Roman" w:hAnsi="Times New Roman" w:cs="Times New Roman"/>
          <w:b/>
          <w:sz w:val="24"/>
          <w:szCs w:val="24"/>
          <w:lang w:val="es-PE" w:eastAsia="ar-SA"/>
        </w:rPr>
        <w:t>4</w:t>
      </w:r>
      <w:r w:rsidRPr="000C0585" w:rsidR="00C671F5">
        <w:rPr>
          <w:rFonts w:ascii="Times New Roman" w:hAnsi="Times New Roman" w:cs="Times New Roman"/>
          <w:b/>
          <w:sz w:val="24"/>
          <w:szCs w:val="24"/>
          <w:lang w:val="es-PE" w:eastAsia="ar-SA"/>
        </w:rPr>
        <w:t>/2</w:t>
      </w:r>
      <w:r w:rsidRPr="000C0585" w:rsidR="00B93C7A">
        <w:rPr>
          <w:rFonts w:ascii="Times New Roman" w:hAnsi="Times New Roman" w:cs="Times New Roman"/>
          <w:b/>
          <w:sz w:val="24"/>
          <w:szCs w:val="24"/>
          <w:lang w:val="es-PE" w:eastAsia="ar-SA"/>
        </w:rPr>
        <w:t>2</w:t>
      </w:r>
    </w:p>
    <w:p w:rsidRPr="000C0585"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0C0585" w:rsidR="000C0585" w:rsidP="000C0585" w:rsidRDefault="000C0585" w14:paraId="1981B859"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0C0585">
        <w:rPr>
          <w:rFonts w:ascii="Times New Roman" w:hAnsi="Times New Roman" w:eastAsia="Times New Roman" w:cs="Times New Roman"/>
          <w:b/>
          <w:bCs/>
          <w:sz w:val="24"/>
          <w:szCs w:val="24"/>
          <w:lang w:val="es-MX" w:eastAsia="ar-SA"/>
        </w:rPr>
        <w:t>Vistos:</w:t>
      </w:r>
    </w:p>
    <w:p w:rsidRPr="000C0585" w:rsidR="000C0585" w:rsidP="000C0585" w:rsidRDefault="000C0585" w14:paraId="2089F13F"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0C0585">
        <w:rPr>
          <w:rFonts w:ascii="Times New Roman" w:hAnsi="Times New Roman" w:eastAsia="Times New Roman" w:cs="Times New Roman"/>
          <w:b/>
          <w:bCs/>
          <w:sz w:val="24"/>
          <w:szCs w:val="24"/>
          <w:lang w:val="es-MX" w:eastAsia="ar-SA"/>
        </w:rPr>
        <w:t xml:space="preserve">   </w:t>
      </w:r>
    </w:p>
    <w:p w:rsidRPr="000C0585" w:rsidR="000C0585" w:rsidP="000C0585" w:rsidRDefault="000C0585" w14:paraId="66F8B93A" w14:textId="6F5BF8DE">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60DBB968" w:rsidR="000C0585">
        <w:rPr>
          <w:rFonts w:ascii="Times New Roman" w:hAnsi="Times New Roman" w:eastAsia="Times New Roman" w:cs="Times New Roman"/>
          <w:sz w:val="24"/>
          <w:szCs w:val="24"/>
          <w:lang w:val="es-ES" w:eastAsia="ar-SA"/>
        </w:rPr>
        <w:t xml:space="preserve">El recurso de impugnación presentado con fecha 18 de julio de 2022 por </w:t>
      </w:r>
      <w:r w:rsidRPr="60DBB968" w:rsidR="690D5094">
        <w:rPr>
          <w:rFonts w:ascii="Times New Roman" w:hAnsi="Times New Roman" w:eastAsia="Times New Roman" w:cs="Times New Roman"/>
          <w:sz w:val="24"/>
          <w:szCs w:val="24"/>
          <w:lang w:val="es-ES" w:eastAsia="ar-SA"/>
        </w:rPr>
        <w:t>...................................</w:t>
      </w:r>
      <w:r w:rsidRPr="60DBB968" w:rsidR="000C0585">
        <w:rPr>
          <w:rFonts w:ascii="Times New Roman" w:hAnsi="Times New Roman" w:eastAsia="Times New Roman" w:cs="Times New Roman"/>
          <w:sz w:val="24"/>
          <w:szCs w:val="24"/>
          <w:lang w:val="es-ES" w:eastAsia="ar-SA"/>
        </w:rPr>
        <w:t xml:space="preserve"> respecto de la Resolución Nro. 146/22, de fecha 11 de julio de 2022, emitida por esta Defensoría del Asegurado (DEFASEG), que declaró FUNDADA </w:t>
      </w:r>
      <w:r w:rsidRPr="60DBB968" w:rsidR="000C0585">
        <w:rPr>
          <w:rFonts w:ascii="Times New Roman" w:hAnsi="Times New Roman" w:eastAsia="Arial Unicode MS" w:cs="Times New Roman"/>
          <w:sz w:val="24"/>
          <w:szCs w:val="24"/>
          <w:lang w:val="es-ES"/>
        </w:rPr>
        <w:t>la</w:t>
      </w:r>
      <w:r w:rsidRPr="60DBB968" w:rsidR="000C0585">
        <w:rPr>
          <w:rFonts w:ascii="Times New Roman" w:hAnsi="Times New Roman" w:eastAsia="Arial Unicode MS" w:cs="Times New Roman"/>
          <w:sz w:val="24"/>
          <w:szCs w:val="24"/>
          <w:lang w:val="es-PE"/>
        </w:rPr>
        <w:t xml:space="preserve"> reclamación interpuesta por doña </w:t>
      </w:r>
      <w:r w:rsidRPr="60DBB968" w:rsidR="3049E274">
        <w:rPr>
          <w:rFonts w:ascii="Times New Roman" w:hAnsi="Times New Roman" w:cs="Times New Roman"/>
          <w:sz w:val="24"/>
          <w:szCs w:val="24"/>
          <w:lang w:val="es-ES"/>
        </w:rPr>
        <w:t>.......................................................................</w:t>
      </w:r>
      <w:r w:rsidRPr="60DBB968" w:rsidR="000C0585">
        <w:rPr>
          <w:rFonts w:ascii="Times New Roman" w:hAnsi="Times New Roman" w:cs="Times New Roman"/>
          <w:sz w:val="24"/>
          <w:szCs w:val="24"/>
          <w:lang w:val="es-ES"/>
        </w:rPr>
        <w:t xml:space="preserve"> </w:t>
      </w:r>
      <w:bookmarkStart w:name="OLE_LINK2" w:id="0"/>
      <w:r w:rsidRPr="60DBB968" w:rsidR="000C0585">
        <w:rPr>
          <w:rFonts w:ascii="Times New Roman" w:hAnsi="Times New Roman" w:cs="Times New Roman"/>
          <w:sz w:val="24"/>
          <w:szCs w:val="24"/>
          <w:lang w:val="es-ES"/>
        </w:rPr>
        <w:t>sobre otorgamiento de</w:t>
      </w:r>
      <w:r w:rsidRPr="60DBB968" w:rsidR="000C0585">
        <w:rPr>
          <w:rFonts w:ascii="Times New Roman" w:hAnsi="Times New Roman" w:eastAsia="Times New Roman" w:cs="Times New Roman"/>
          <w:sz w:val="24"/>
          <w:szCs w:val="24"/>
          <w:lang w:val="es-PE" w:eastAsia="es-ES"/>
        </w:rPr>
        <w:t xml:space="preserve"> cobertura al siniestro de fecha </w:t>
      </w:r>
      <w:bookmarkEnd w:id="0"/>
      <w:r w:rsidRPr="60DBB968" w:rsidR="000C0585">
        <w:rPr>
          <w:rFonts w:ascii="Times New Roman" w:hAnsi="Times New Roman" w:cs="Times New Roman"/>
          <w:sz w:val="24"/>
          <w:szCs w:val="24"/>
          <w:lang w:val="es-PE" w:eastAsia="es-ES"/>
        </w:rPr>
        <w:t>8 de diciembre de 2021, que corresponde al fallecimiento de la asegurada, su señora madre</w:t>
      </w:r>
      <w:r w:rsidRPr="60DBB968" w:rsidR="000C0585">
        <w:rPr>
          <w:rFonts w:ascii="Times New Roman" w:hAnsi="Times New Roman" w:eastAsia="Times New Roman" w:cs="Times New Roman"/>
          <w:sz w:val="24"/>
          <w:szCs w:val="24"/>
          <w:lang w:val="es-PE" w:eastAsia="es-ES"/>
        </w:rPr>
        <w:t xml:space="preserve">, </w:t>
      </w:r>
      <w:r w:rsidRPr="60DBB968" w:rsidR="000C0585">
        <w:rPr>
          <w:rFonts w:ascii="Times New Roman" w:hAnsi="Times New Roman" w:cs="Times New Roman"/>
          <w:sz w:val="24"/>
          <w:szCs w:val="24"/>
          <w:lang w:val="es-PE" w:eastAsia="es-ES"/>
        </w:rPr>
        <w:t xml:space="preserve">doña </w:t>
      </w:r>
      <w:r w:rsidRPr="60DBB968" w:rsidR="7A27AAFC">
        <w:rPr>
          <w:rFonts w:ascii="Times New Roman" w:hAnsi="Times New Roman" w:cs="Times New Roman"/>
          <w:sz w:val="24"/>
          <w:szCs w:val="24"/>
          <w:lang w:val="es-PE" w:eastAsia="es-ES"/>
        </w:rPr>
        <w:t>.......................................................................</w:t>
      </w:r>
      <w:r w:rsidRPr="60DBB968" w:rsidR="000C0585">
        <w:rPr>
          <w:rFonts w:ascii="Times New Roman" w:hAnsi="Times New Roman" w:cs="Times New Roman"/>
          <w:sz w:val="24"/>
          <w:szCs w:val="24"/>
          <w:lang w:val="es-PE" w:eastAsia="es-ES"/>
        </w:rPr>
        <w:t xml:space="preserve">, </w:t>
      </w:r>
      <w:r w:rsidRPr="60DBB968" w:rsidR="000C0585">
        <w:rPr>
          <w:rFonts w:ascii="Times New Roman" w:hAnsi="Times New Roman" w:eastAsia="Times New Roman" w:cs="Times New Roman"/>
          <w:sz w:val="24"/>
          <w:szCs w:val="24"/>
          <w:lang w:val="es-PE" w:eastAsia="es-ES"/>
        </w:rPr>
        <w:t>conforme a los términos y condiciones del Seguro de Protección Familiar</w:t>
      </w:r>
      <w:r w:rsidRPr="60DBB968" w:rsidR="000C0585">
        <w:rPr>
          <w:rFonts w:ascii="Times New Roman" w:hAnsi="Times New Roman" w:cs="Times New Roman"/>
          <w:sz w:val="24"/>
          <w:szCs w:val="24"/>
          <w:lang w:val="es-PE"/>
        </w:rPr>
        <w:t xml:space="preserve"> / Póliza Nro. </w:t>
      </w:r>
      <w:r w:rsidRPr="60DBB968" w:rsidR="6D4A7C49">
        <w:rPr>
          <w:rFonts w:ascii="Times New Roman" w:hAnsi="Times New Roman" w:cs="Times New Roman"/>
          <w:sz w:val="24"/>
          <w:szCs w:val="24"/>
          <w:lang w:val="es-PE"/>
        </w:rPr>
        <w:t>......................</w:t>
      </w:r>
      <w:r w:rsidRPr="60DBB968" w:rsidR="000C0585">
        <w:rPr>
          <w:rFonts w:ascii="Times New Roman" w:hAnsi="Times New Roman" w:cs="Times New Roman"/>
          <w:sz w:val="24"/>
          <w:szCs w:val="24"/>
          <w:lang w:val="es-PE"/>
        </w:rPr>
        <w:t>;</w:t>
      </w:r>
    </w:p>
    <w:p w:rsidRPr="000C0585" w:rsidR="000C0585" w:rsidP="000C0585" w:rsidRDefault="000C0585" w14:paraId="6EE6E0E0"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bCs/>
          <w:sz w:val="24"/>
          <w:szCs w:val="24"/>
          <w:lang w:val="es-PE"/>
        </w:rPr>
      </w:pPr>
    </w:p>
    <w:p w:rsidRPr="000C0585" w:rsidR="000C0585" w:rsidP="60DBB968" w:rsidRDefault="000C0585" w14:paraId="2A4DE66A" w14:textId="63F70379">
      <w:pPr>
        <w:suppressAutoHyphens/>
        <w:spacing w:after="0" w:line="240" w:lineRule="auto"/>
        <w:jc w:val="both"/>
        <w:rPr>
          <w:rFonts w:ascii="Times New Roman" w:hAnsi="Times New Roman" w:eastAsia="Times New Roman" w:cs="Times New Roman"/>
          <w:sz w:val="24"/>
          <w:szCs w:val="24"/>
          <w:lang w:val="es-MX" w:eastAsia="ar-SA"/>
        </w:rPr>
      </w:pPr>
      <w:r w:rsidRPr="60DBB968" w:rsidR="000C0585">
        <w:rPr>
          <w:rFonts w:ascii="Times New Roman" w:hAnsi="Times New Roman" w:eastAsia="Times New Roman" w:cs="Times New Roman"/>
          <w:sz w:val="24"/>
          <w:szCs w:val="24"/>
          <w:lang w:val="es-MX" w:eastAsia="ar-SA"/>
        </w:rPr>
        <w:t xml:space="preserve">Que, a través del señalado recurso, </w:t>
      </w:r>
      <w:r w:rsidRPr="60DBB968" w:rsidR="690D5094">
        <w:rPr>
          <w:rFonts w:ascii="Times New Roman" w:hAnsi="Times New Roman" w:cs="Times New Roman"/>
          <w:sz w:val="24"/>
          <w:szCs w:val="24"/>
          <w:lang w:val="es-ES"/>
        </w:rPr>
        <w:t>...................................</w:t>
      </w:r>
      <w:r w:rsidRPr="60DBB968" w:rsidR="000C0585">
        <w:rPr>
          <w:rFonts w:ascii="Times New Roman" w:hAnsi="Times New Roman" w:cs="Times New Roman"/>
          <w:sz w:val="24"/>
          <w:szCs w:val="24"/>
          <w:lang w:val="es-ES"/>
        </w:rPr>
        <w:t xml:space="preserve"> </w:t>
      </w:r>
      <w:r w:rsidRPr="60DBB968" w:rsidR="000C0585">
        <w:rPr>
          <w:rFonts w:ascii="Times New Roman" w:hAnsi="Times New Roman" w:eastAsia="Times New Roman" w:cs="Times New Roman"/>
          <w:sz w:val="24"/>
          <w:szCs w:val="24"/>
          <w:lang w:val="es-MX" w:eastAsia="ar-SA"/>
        </w:rPr>
        <w:t xml:space="preserve">cuestiona lo resuelto por este colegiado, destacando resumidamente lo siguiente: a) Se ha </w:t>
      </w:r>
      <w:r w:rsidRPr="60DBB968" w:rsidR="000C0585">
        <w:rPr>
          <w:rFonts w:ascii="Times New Roman" w:hAnsi="Times New Roman" w:cs="Times New Roman"/>
          <w:color w:val="000000" w:themeColor="text1" w:themeTint="FF" w:themeShade="FF"/>
          <w:sz w:val="24"/>
          <w:szCs w:val="24"/>
          <w:lang w:val="es-PE"/>
        </w:rPr>
        <w:t>acreditado que el diagnóstico de cáncer de mama de la asegurada se registró en el año 2004, previo a la celebración del contrato de seguro en el año 2017, lo cual configuró la correspondiente exclusión (enfermedad preexistente), de manera que el rechazo se encuentra justificado conforme al artículo 24 de las condiciones específicas del seguro de protección familiar, y b) se adjunta la póliza del seguro de protección familiar contratada, por la cual se puede verificar que la asegurada tenía conocimiento de la causal de exclusión consistente en la existencia de una enfermedad diagnosticada con anterioridad a la contratación del seguro.  En consecuencia, se solicita revocar la resolución recurrida y desestimar finalmente la reclamación:</w:t>
      </w:r>
    </w:p>
    <w:p w:rsidRPr="000C0585" w:rsidR="000C0585" w:rsidP="000C0585" w:rsidRDefault="000C0585" w14:paraId="098D3FD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C0585" w:rsidR="000C0585" w:rsidP="000C0585" w:rsidRDefault="000C0585" w14:paraId="0AD79C1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C0585">
        <w:rPr>
          <w:rFonts w:ascii="Times New Roman" w:hAnsi="Times New Roman" w:eastAsia="Times New Roman" w:cs="Times New Roman"/>
          <w:bCs/>
          <w:sz w:val="24"/>
          <w:szCs w:val="24"/>
          <w:lang w:val="es-MX" w:eastAsia="ar-SA"/>
        </w:rPr>
        <w:t>Que, habiéndose corrido traslado de la señalada impugnación, la reclamante absolvió el respectivo trámite con fecha 21 de julio de 2022, haciendo referencia a documentación médica, contenida en la historia clínica certificada presentada en su oportunidad a la asegurada que permite acreditar que la causa del fallecimiento fue un cáncer de mama derecha, distinto al cáncer de mama izquierda diagnosticado en el año 2014, tratado y respecto del cual se dio de alta a la paciente;</w:t>
      </w:r>
    </w:p>
    <w:p w:rsidRPr="000C0585" w:rsidR="000C0585" w:rsidP="000C0585" w:rsidRDefault="000C0585" w14:paraId="0C8CB91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C0585" w:rsidR="000C0585" w:rsidP="000C0585" w:rsidRDefault="000C0585" w14:paraId="0DA45AF4" w14:textId="77777777">
      <w:pPr>
        <w:suppressAutoHyphens/>
        <w:spacing w:after="0" w:line="240" w:lineRule="auto"/>
        <w:jc w:val="both"/>
        <w:rPr>
          <w:rFonts w:ascii="Times New Roman" w:hAnsi="Times New Roman" w:cs="Times New Roman"/>
          <w:bCs/>
          <w:sz w:val="24"/>
          <w:szCs w:val="24"/>
          <w:lang w:val="es-ES"/>
        </w:rPr>
      </w:pPr>
      <w:r w:rsidRPr="000C0585">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0C0585" w:rsidR="000C0585" w:rsidP="000C0585" w:rsidRDefault="000C0585" w14:paraId="754208B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C0585" w:rsidR="000C0585" w:rsidP="000C0585" w:rsidRDefault="000C0585" w14:paraId="01548E80"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C0585">
        <w:rPr>
          <w:rFonts w:ascii="Times New Roman" w:hAnsi="Times New Roman" w:eastAsia="Times New Roman" w:cs="Times New Roman"/>
          <w:b/>
          <w:bCs/>
          <w:sz w:val="24"/>
          <w:szCs w:val="24"/>
          <w:lang w:val="es-MX" w:eastAsia="ar-SA"/>
        </w:rPr>
        <w:t>Considerando:</w:t>
      </w:r>
    </w:p>
    <w:p w:rsidRPr="000C0585" w:rsidR="000C0585" w:rsidP="000C0585" w:rsidRDefault="000C0585" w14:paraId="23EB8577" w14:textId="77777777">
      <w:pPr>
        <w:suppressAutoHyphens/>
        <w:spacing w:after="0" w:line="240" w:lineRule="auto"/>
        <w:jc w:val="both"/>
        <w:rPr>
          <w:rFonts w:ascii="Times New Roman" w:hAnsi="Times New Roman" w:eastAsia="Times New Roman" w:cs="Times New Roman"/>
          <w:sz w:val="24"/>
          <w:szCs w:val="24"/>
          <w:lang w:val="es-ES" w:eastAsia="ar-SA"/>
        </w:rPr>
      </w:pPr>
    </w:p>
    <w:p w:rsidRPr="000C0585" w:rsidR="000C0585" w:rsidP="000C0585" w:rsidRDefault="000C0585" w14:paraId="1D6BEC38" w14:textId="77777777">
      <w:pPr>
        <w:spacing w:after="0" w:line="240" w:lineRule="auto"/>
        <w:jc w:val="both"/>
        <w:rPr>
          <w:rFonts w:ascii="Times New Roman" w:hAnsi="Times New Roman" w:cs="Times New Roman"/>
          <w:sz w:val="24"/>
          <w:szCs w:val="24"/>
          <w:lang w:val="es-PE"/>
        </w:rPr>
      </w:pPr>
      <w:r w:rsidRPr="000C0585">
        <w:rPr>
          <w:rFonts w:ascii="Times New Roman" w:hAnsi="Times New Roman" w:cs="Times New Roman"/>
          <w:b/>
          <w:sz w:val="24"/>
          <w:szCs w:val="24"/>
          <w:u w:val="single"/>
          <w:lang w:val="es-PE"/>
        </w:rPr>
        <w:t>Primero</w:t>
      </w:r>
      <w:r w:rsidRPr="000C0585">
        <w:rPr>
          <w:rFonts w:ascii="Times New Roman" w:hAnsi="Times New Roman" w:cs="Times New Roman"/>
          <w:b/>
          <w:sz w:val="24"/>
          <w:szCs w:val="24"/>
          <w:lang w:val="es-PE"/>
        </w:rPr>
        <w:t>:</w:t>
      </w:r>
      <w:r w:rsidRPr="000C0585">
        <w:rPr>
          <w:rFonts w:ascii="Times New Roman" w:hAnsi="Times New Roman" w:cs="Times New Roman"/>
          <w:sz w:val="24"/>
          <w:szCs w:val="24"/>
          <w:lang w:val="es-PE"/>
        </w:rPr>
        <w:t xml:space="preserve"> El Reglamento de la DEFASEG </w:t>
      </w:r>
      <w:r w:rsidRPr="000C0585">
        <w:rPr>
          <w:rFonts w:ascii="Times New Roman" w:hAnsi="Times New Roman" w:eastAsia="Arial Unicode MS" w:cs="Times New Roman"/>
          <w:sz w:val="24"/>
          <w:szCs w:val="24"/>
          <w:lang w:val="es-PE"/>
        </w:rPr>
        <w:t xml:space="preserve">(http://www.defaseg.com.pe/reglamento), en su artículo 10, </w:t>
      </w:r>
      <w:r w:rsidRPr="000C0585">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0C0585">
        <w:rPr>
          <w:rFonts w:ascii="Times New Roman" w:hAnsi="Times New Roman" w:cs="Times New Roman"/>
          <w:sz w:val="24"/>
          <w:szCs w:val="24"/>
          <w:lang w:val="es-ES"/>
        </w:rPr>
        <w:t>usuario de seguro recurre en forma voluntaria a la Defensoría, siendo que la presentación de una reclamación n</w:t>
      </w:r>
      <w:r w:rsidRPr="000C0585">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0C0585">
        <w:rPr>
          <w:rFonts w:ascii="Times New Roman" w:hAnsi="Times New Roman" w:cs="Times New Roman"/>
          <w:sz w:val="24"/>
          <w:szCs w:val="24"/>
          <w:lang w:val="es-PE"/>
        </w:rPr>
        <w:t>De acuerdo a</w:t>
      </w:r>
      <w:proofErr w:type="gramEnd"/>
      <w:r w:rsidRPr="000C0585">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0C0585" w:rsidR="000C0585" w:rsidP="000C0585" w:rsidRDefault="000C0585" w14:paraId="5051D1FC" w14:textId="77777777">
      <w:pPr>
        <w:spacing w:after="0" w:line="240" w:lineRule="auto"/>
        <w:jc w:val="both"/>
        <w:rPr>
          <w:rFonts w:ascii="Times New Roman" w:hAnsi="Times New Roman" w:cs="Times New Roman"/>
          <w:sz w:val="24"/>
          <w:szCs w:val="24"/>
          <w:lang w:val="es-PE"/>
        </w:rPr>
      </w:pPr>
    </w:p>
    <w:p w:rsidRPr="000C0585" w:rsidR="000C0585" w:rsidP="000C0585" w:rsidRDefault="000C0585" w14:paraId="6DF18420" w14:textId="16C9024D">
      <w:pPr>
        <w:tabs>
          <w:tab w:val="left" w:pos="0"/>
          <w:tab w:val="left" w:pos="2160"/>
        </w:tabs>
        <w:spacing w:after="0" w:line="240" w:lineRule="auto"/>
        <w:jc w:val="both"/>
        <w:rPr>
          <w:rFonts w:ascii="Times New Roman" w:hAnsi="Times New Roman" w:cs="Times New Roman"/>
          <w:sz w:val="24"/>
          <w:szCs w:val="24"/>
          <w:lang w:val="es-PE"/>
        </w:rPr>
      </w:pPr>
      <w:r w:rsidRPr="60DBB968" w:rsidR="000C0585">
        <w:rPr>
          <w:rFonts w:ascii="Times New Roman" w:hAnsi="Times New Roman" w:cs="Times New Roman"/>
          <w:b w:val="1"/>
          <w:bCs w:val="1"/>
          <w:sz w:val="24"/>
          <w:szCs w:val="24"/>
          <w:u w:val="single"/>
          <w:lang w:val="es-PE"/>
        </w:rPr>
        <w:t>Segundo</w:t>
      </w:r>
      <w:r w:rsidRPr="60DBB968" w:rsidR="000C0585">
        <w:rPr>
          <w:rFonts w:ascii="Times New Roman" w:hAnsi="Times New Roman" w:cs="Times New Roman"/>
          <w:b w:val="1"/>
          <w:bCs w:val="1"/>
          <w:sz w:val="24"/>
          <w:szCs w:val="24"/>
          <w:lang w:val="es-PE"/>
        </w:rPr>
        <w:t>:</w:t>
      </w:r>
      <w:r w:rsidRPr="60DBB968" w:rsidR="000C0585">
        <w:rPr>
          <w:rFonts w:ascii="Times New Roman" w:hAnsi="Times New Roman" w:cs="Times New Roman"/>
          <w:sz w:val="24"/>
          <w:szCs w:val="24"/>
          <w:lang w:val="es-PE"/>
        </w:rPr>
        <w:t xml:space="preserve"> Atendiendo a los fundamentos de la impugnación interpuesta, se aprecia que </w:t>
      </w:r>
      <w:r w:rsidRPr="60DBB968" w:rsidR="690D5094">
        <w:rPr>
          <w:rFonts w:ascii="Times New Roman" w:hAnsi="Times New Roman" w:cs="Times New Roman"/>
          <w:sz w:val="24"/>
          <w:szCs w:val="24"/>
          <w:lang w:val="es-PE"/>
        </w:rPr>
        <w:t>...................................</w:t>
      </w:r>
      <w:r w:rsidRPr="60DBB968" w:rsidR="000C0585">
        <w:rPr>
          <w:rFonts w:ascii="Times New Roman" w:hAnsi="Times New Roman" w:cs="Times New Roman"/>
          <w:sz w:val="24"/>
          <w:szCs w:val="24"/>
          <w:lang w:val="es-PE"/>
        </w:rPr>
        <w:t xml:space="preserve"> se concentra nuevamente en invocar que la exclusión está acreditada, sin advertir que, conforme a la resolución recurrida, este colegiado ya concluyó en ello, por lo que resulta innecesario insistir sobre ello.  Por el contrario, siendo que en la señalada resolución se indica expresamente que la aseguradora no ha observado su carga probatoria de acreditar objetivamente que el contrato de seguro contiene la exclusión invocada, ni de demostrar que el régimen de exclusiones fue informado oportuna, adecuada y suficientemente a la asegurada, lo que se esperaría es que </w:t>
      </w:r>
      <w:r w:rsidRPr="60DBB968" w:rsidR="690D5094">
        <w:rPr>
          <w:rFonts w:ascii="Times New Roman" w:hAnsi="Times New Roman" w:cs="Times New Roman"/>
          <w:sz w:val="24"/>
          <w:szCs w:val="24"/>
          <w:lang w:val="es-PE"/>
        </w:rPr>
        <w:t>...................................</w:t>
      </w:r>
      <w:r w:rsidRPr="60DBB968" w:rsidR="000C0585">
        <w:rPr>
          <w:rFonts w:ascii="Times New Roman" w:hAnsi="Times New Roman" w:cs="Times New Roman"/>
          <w:sz w:val="24"/>
          <w:szCs w:val="24"/>
          <w:lang w:val="es-PE"/>
        </w:rPr>
        <w:t xml:space="preserve"> se concentre en probar tales aspectos, de manera que su rechazo de cobertura tenga pleno valor y efectos.  Sin embargo, no es así, porque la pretendida prueba aportada corresponde a una carta de remisión, de noviembre de 2017, de la póliza, y el correspondiente condicionado, lo cual no demuestra objetivamente que tales documentos haya sido entregados (y recibidos) por la asegurada, sea física o electrónicamente, situación está última que se encuentra expresamente referida en la propia póliza, estableciendo que la entrega y recepción se re registrarán en una bitácora electrónica, medio probatorio que no es ni siquiera referido por la aseguradora:</w:t>
      </w:r>
    </w:p>
    <w:p w:rsidRPr="000C0585" w:rsidR="000C0585" w:rsidP="000C0585" w:rsidRDefault="000C0585" w14:paraId="6566C465" w14:textId="77777777">
      <w:pPr>
        <w:tabs>
          <w:tab w:val="left" w:pos="0"/>
          <w:tab w:val="left" w:pos="2160"/>
        </w:tabs>
        <w:spacing w:after="0" w:line="240" w:lineRule="auto"/>
        <w:jc w:val="both"/>
        <w:rPr>
          <w:rFonts w:ascii="Times New Roman" w:hAnsi="Times New Roman" w:cs="Times New Roman"/>
          <w:sz w:val="24"/>
          <w:szCs w:val="24"/>
          <w:lang w:val="es-PE"/>
        </w:rPr>
      </w:pPr>
    </w:p>
    <w:p w:rsidRPr="000C0585" w:rsidR="000C0585" w:rsidP="000C0585" w:rsidRDefault="000C0585" w14:paraId="328951CD" w14:textId="129A018E">
      <w:pPr>
        <w:tabs>
          <w:tab w:val="left" w:pos="0"/>
          <w:tab w:val="left" w:pos="2160"/>
        </w:tabs>
        <w:spacing w:after="0" w:line="240" w:lineRule="auto"/>
        <w:jc w:val="both"/>
        <w:rPr>
          <w:rFonts w:ascii="Times New Roman" w:hAnsi="Times New Roman" w:cs="Times New Roman"/>
          <w:sz w:val="24"/>
          <w:szCs w:val="24"/>
          <w:lang w:val="es-PE"/>
        </w:rPr>
      </w:pPr>
      <w:r w:rsidRPr="000C0585">
        <w:rPr>
          <w:rFonts w:ascii="Times New Roman" w:hAnsi="Times New Roman" w:cs="Times New Roman"/>
          <w:noProof/>
          <w:sz w:val="24"/>
          <w:szCs w:val="24"/>
          <w:lang w:val="es-PE"/>
        </w:rPr>
        <w:drawing>
          <wp:inline distT="0" distB="0" distL="0" distR="0" wp14:anchorId="10EAC484" wp14:editId="6220779F">
            <wp:extent cx="5753100" cy="409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409575"/>
                    </a:xfrm>
                    <a:prstGeom prst="rect">
                      <a:avLst/>
                    </a:prstGeom>
                    <a:noFill/>
                    <a:ln>
                      <a:noFill/>
                    </a:ln>
                  </pic:spPr>
                </pic:pic>
              </a:graphicData>
            </a:graphic>
          </wp:inline>
        </w:drawing>
      </w:r>
    </w:p>
    <w:p w:rsidRPr="000C0585" w:rsidR="000C0585" w:rsidP="000C0585" w:rsidRDefault="000C0585" w14:paraId="5913E9A8" w14:textId="77777777">
      <w:pPr>
        <w:tabs>
          <w:tab w:val="left" w:pos="0"/>
          <w:tab w:val="left" w:pos="2160"/>
        </w:tabs>
        <w:spacing w:after="0" w:line="240" w:lineRule="auto"/>
        <w:jc w:val="both"/>
        <w:rPr>
          <w:rFonts w:ascii="Times New Roman" w:hAnsi="Times New Roman" w:cs="Times New Roman"/>
          <w:sz w:val="24"/>
          <w:szCs w:val="24"/>
          <w:lang w:val="es-PE"/>
        </w:rPr>
      </w:pPr>
    </w:p>
    <w:p w:rsidRPr="000C0585" w:rsidR="000C0585" w:rsidP="000C0585" w:rsidRDefault="000C0585" w14:paraId="6BF7B71B" w14:textId="044EABC1">
      <w:pPr>
        <w:tabs>
          <w:tab w:val="left" w:pos="0"/>
          <w:tab w:val="left" w:pos="2160"/>
        </w:tabs>
        <w:spacing w:after="0" w:line="240" w:lineRule="auto"/>
        <w:jc w:val="both"/>
        <w:rPr>
          <w:rFonts w:ascii="Times New Roman" w:hAnsi="Times New Roman" w:cs="Times New Roman"/>
          <w:sz w:val="24"/>
          <w:szCs w:val="24"/>
          <w:lang w:val="es-ES"/>
        </w:rPr>
      </w:pPr>
      <w:r w:rsidRPr="60DBB968" w:rsidR="000C0585">
        <w:rPr>
          <w:rFonts w:ascii="Times New Roman" w:hAnsi="Times New Roman" w:cs="Times New Roman"/>
          <w:sz w:val="24"/>
          <w:szCs w:val="24"/>
          <w:lang w:val="es-ES"/>
        </w:rPr>
        <w:t xml:space="preserve">Conforme a lo anterior, es el simple dicho de </w:t>
      </w:r>
      <w:r w:rsidRPr="60DBB968" w:rsidR="690D5094">
        <w:rPr>
          <w:rFonts w:ascii="Times New Roman" w:hAnsi="Times New Roman" w:cs="Times New Roman"/>
          <w:sz w:val="24"/>
          <w:szCs w:val="24"/>
          <w:lang w:val="es-ES"/>
        </w:rPr>
        <w:t>...................................</w:t>
      </w:r>
      <w:r w:rsidRPr="60DBB968" w:rsidR="000C0585">
        <w:rPr>
          <w:rFonts w:ascii="Times New Roman" w:hAnsi="Times New Roman" w:cs="Times New Roman"/>
          <w:sz w:val="24"/>
          <w:szCs w:val="24"/>
          <w:lang w:val="es-ES"/>
        </w:rPr>
        <w:t xml:space="preserve"> lo que sustentaría que la póliza y su condicionado fue efectivamente recibido por la asegurada, lo cual no genera certeza ni convicción, por lo que se mantiene lo ya resuelto sobre estos aspectos.</w:t>
      </w:r>
    </w:p>
    <w:p w:rsidRPr="000C0585" w:rsidR="000C0585" w:rsidP="000C0585" w:rsidRDefault="000C0585" w14:paraId="1938884A" w14:textId="77777777">
      <w:pPr>
        <w:tabs>
          <w:tab w:val="left" w:pos="0"/>
          <w:tab w:val="left" w:pos="2160"/>
        </w:tabs>
        <w:spacing w:after="0" w:line="240" w:lineRule="auto"/>
        <w:jc w:val="both"/>
        <w:rPr>
          <w:rFonts w:ascii="Times New Roman" w:hAnsi="Times New Roman" w:cs="Times New Roman"/>
          <w:sz w:val="24"/>
          <w:szCs w:val="24"/>
          <w:lang w:val="es-ES"/>
        </w:rPr>
      </w:pPr>
    </w:p>
    <w:p w:rsidRPr="000C0585" w:rsidR="000C0585" w:rsidP="000C0585" w:rsidRDefault="000C0585" w14:paraId="28D12D91" w14:textId="77777777">
      <w:pPr>
        <w:tabs>
          <w:tab w:val="left" w:pos="0"/>
          <w:tab w:val="left" w:pos="2160"/>
        </w:tabs>
        <w:spacing w:after="0" w:line="240" w:lineRule="auto"/>
        <w:jc w:val="both"/>
        <w:rPr>
          <w:rFonts w:ascii="Times New Roman" w:hAnsi="Times New Roman" w:cs="Times New Roman"/>
          <w:sz w:val="24"/>
          <w:szCs w:val="24"/>
          <w:lang w:val="es-ES"/>
        </w:rPr>
      </w:pPr>
      <w:r w:rsidRPr="000C0585">
        <w:rPr>
          <w:rFonts w:ascii="Times New Roman" w:hAnsi="Times New Roman" w:cs="Times New Roman"/>
          <w:sz w:val="24"/>
          <w:szCs w:val="24"/>
          <w:lang w:val="es-ES"/>
        </w:rPr>
        <w:t xml:space="preserve">En lo que concierne a la absolución del traslado de la impugnación, este colegiado advierte que la reclamante insiste en su línea argumentativa que la causa de </w:t>
      </w:r>
      <w:proofErr w:type="spellStart"/>
      <w:r w:rsidRPr="000C0585">
        <w:rPr>
          <w:rFonts w:ascii="Times New Roman" w:hAnsi="Times New Roman" w:cs="Times New Roman"/>
          <w:sz w:val="24"/>
          <w:szCs w:val="24"/>
          <w:lang w:val="es-ES"/>
        </w:rPr>
        <w:t>a</w:t>
      </w:r>
      <w:proofErr w:type="spellEnd"/>
      <w:r w:rsidRPr="000C0585">
        <w:rPr>
          <w:rFonts w:ascii="Times New Roman" w:hAnsi="Times New Roman" w:cs="Times New Roman"/>
          <w:sz w:val="24"/>
          <w:szCs w:val="24"/>
          <w:lang w:val="es-ES"/>
        </w:rPr>
        <w:t xml:space="preserve"> muerte de la asegurada no fue una preexistencia, tema que ya fue analizado en la resolución recurrida y sobre lo cual se concluyó cosa distinta, admitiéndose que sí se estaba ante una preexistencia.  Conforme a ello, el escrito presentado no contribuye en nada a resolver sobre la impugnación interpuesta por la aseguradora.</w:t>
      </w:r>
    </w:p>
    <w:p w:rsidRPr="000C0585" w:rsidR="000C0585" w:rsidP="000C0585" w:rsidRDefault="000C0585" w14:paraId="7BCDCD5E" w14:textId="77777777">
      <w:pPr>
        <w:tabs>
          <w:tab w:val="left" w:pos="0"/>
          <w:tab w:val="left" w:pos="2160"/>
        </w:tabs>
        <w:spacing w:after="0" w:line="240" w:lineRule="auto"/>
        <w:jc w:val="both"/>
        <w:rPr>
          <w:rFonts w:ascii="Times New Roman" w:hAnsi="Times New Roman" w:cs="Times New Roman"/>
          <w:sz w:val="24"/>
          <w:szCs w:val="24"/>
          <w:lang w:val="es-ES"/>
        </w:rPr>
      </w:pPr>
    </w:p>
    <w:p w:rsidRPr="000C0585" w:rsidR="000C0585" w:rsidP="000C0585" w:rsidRDefault="000C0585" w14:paraId="214C8A1C" w14:textId="0C530D42">
      <w:pPr>
        <w:tabs>
          <w:tab w:val="left" w:pos="0"/>
          <w:tab w:val="left" w:pos="2160"/>
        </w:tabs>
        <w:spacing w:after="0" w:line="240" w:lineRule="auto"/>
        <w:jc w:val="both"/>
        <w:rPr>
          <w:rFonts w:ascii="Times New Roman" w:hAnsi="Times New Roman" w:cs="Times New Roman"/>
          <w:sz w:val="24"/>
          <w:szCs w:val="24"/>
          <w:lang w:val="es-ES"/>
        </w:rPr>
      </w:pPr>
      <w:r w:rsidRPr="60DBB968" w:rsidR="000C0585">
        <w:rPr>
          <w:rFonts w:ascii="Times New Roman" w:hAnsi="Times New Roman" w:cs="Times New Roman"/>
          <w:b w:val="1"/>
          <w:bCs w:val="1"/>
          <w:sz w:val="24"/>
          <w:szCs w:val="24"/>
          <w:u w:val="single"/>
          <w:lang w:val="es-PE"/>
        </w:rPr>
        <w:t>Tercero</w:t>
      </w:r>
      <w:r w:rsidRPr="60DBB968" w:rsidR="000C0585">
        <w:rPr>
          <w:rFonts w:ascii="Times New Roman" w:hAnsi="Times New Roman" w:cs="Times New Roman"/>
          <w:b w:val="1"/>
          <w:bCs w:val="1"/>
          <w:sz w:val="24"/>
          <w:szCs w:val="24"/>
          <w:lang w:val="es-PE"/>
        </w:rPr>
        <w:t xml:space="preserve">: </w:t>
      </w:r>
      <w:r w:rsidRPr="60DBB968" w:rsidR="000C0585">
        <w:rPr>
          <w:rFonts w:ascii="Times New Roman" w:hAnsi="Times New Roman" w:cs="Times New Roman"/>
          <w:sz w:val="24"/>
          <w:szCs w:val="24"/>
          <w:lang w:val="es-PE"/>
        </w:rPr>
        <w:t xml:space="preserve">Teniendo presente los fundamentos de la impugnación interpuesta y </w:t>
      </w:r>
      <w:r w:rsidRPr="60DBB968" w:rsidR="000C0585">
        <w:rPr>
          <w:rFonts w:ascii="Times New Roman" w:hAnsi="Times New Roman" w:cs="Times New Roman"/>
          <w:sz w:val="24"/>
          <w:szCs w:val="24"/>
          <w:lang w:val="es-ES"/>
        </w:rPr>
        <w:t xml:space="preserve">las consideraciones precedentes, ratificando íntegramente el análisis y conclusión contenidos en la resolución recurrida, y siendo que </w:t>
      </w:r>
      <w:r w:rsidRPr="60DBB968" w:rsidR="690D5094">
        <w:rPr>
          <w:rFonts w:ascii="Times New Roman" w:hAnsi="Times New Roman" w:cs="Times New Roman"/>
          <w:sz w:val="24"/>
          <w:szCs w:val="24"/>
          <w:lang w:val="es-ES"/>
        </w:rPr>
        <w:t>...................................</w:t>
      </w:r>
      <w:r w:rsidRPr="60DBB968" w:rsidR="000C0585">
        <w:rPr>
          <w:rFonts w:ascii="Times New Roman" w:hAnsi="Times New Roman" w:cs="Times New Roman"/>
          <w:sz w:val="24"/>
          <w:szCs w:val="24"/>
          <w:lang w:val="es-ES"/>
        </w:rPr>
        <w:t xml:space="preserve"> no ha satisfecho el </w:t>
      </w:r>
      <w:r w:rsidRPr="60DBB968" w:rsidR="000C0585">
        <w:rPr>
          <w:rFonts w:ascii="Times New Roman" w:hAnsi="Times New Roman" w:cs="Times New Roman"/>
          <w:sz w:val="24"/>
          <w:szCs w:val="24"/>
          <w:lang w:val="es-ES"/>
        </w:rPr>
        <w:t>correspondiente test</w:t>
      </w:r>
      <w:r w:rsidRPr="60DBB968" w:rsidR="000C0585">
        <w:rPr>
          <w:rFonts w:ascii="Times New Roman" w:hAnsi="Times New Roman" w:cs="Times New Roman"/>
          <w:sz w:val="24"/>
          <w:szCs w:val="24"/>
          <w:lang w:val="es-ES"/>
        </w:rPr>
        <w:t xml:space="preserve"> de validación, este colegiado aprecia que no existe mérito para revocar la resolución recurrida; por lo tanto,</w:t>
      </w:r>
    </w:p>
    <w:p w:rsidRPr="000C0585" w:rsidR="000C0585" w:rsidP="000C0585" w:rsidRDefault="000C0585" w14:paraId="105B0A80" w14:textId="77777777">
      <w:pPr>
        <w:spacing w:after="0" w:line="240" w:lineRule="auto"/>
        <w:jc w:val="both"/>
        <w:rPr>
          <w:rFonts w:ascii="Times New Roman" w:hAnsi="Times New Roman" w:eastAsia="Times New Roman" w:cs="Times New Roman"/>
          <w:bCs/>
          <w:sz w:val="24"/>
          <w:szCs w:val="24"/>
          <w:lang w:val="es-PE" w:eastAsia="ar-SA"/>
        </w:rPr>
      </w:pPr>
    </w:p>
    <w:p w:rsidRPr="000C0585" w:rsidR="000C0585" w:rsidP="000C0585" w:rsidRDefault="000C0585" w14:paraId="0FAE7811" w14:textId="77777777">
      <w:pPr>
        <w:spacing w:after="0" w:line="240" w:lineRule="auto"/>
        <w:jc w:val="both"/>
        <w:rPr>
          <w:rFonts w:ascii="Times New Roman" w:hAnsi="Times New Roman" w:cs="Times New Roman"/>
          <w:b/>
          <w:sz w:val="24"/>
          <w:szCs w:val="24"/>
          <w:lang w:val="es-PE"/>
        </w:rPr>
      </w:pPr>
      <w:r w:rsidRPr="000C0585">
        <w:rPr>
          <w:rFonts w:ascii="Times New Roman" w:hAnsi="Times New Roman" w:cs="Times New Roman"/>
          <w:b/>
          <w:sz w:val="24"/>
          <w:szCs w:val="24"/>
          <w:lang w:val="es-PE"/>
        </w:rPr>
        <w:t>Atendiendo a lo expresado, conforme a su reglamento, esta Defensoría resuelve:</w:t>
      </w:r>
    </w:p>
    <w:p w:rsidRPr="000C0585" w:rsidR="000C0585" w:rsidP="000C0585" w:rsidRDefault="000C0585" w14:paraId="3340D40E" w14:textId="77777777">
      <w:pPr>
        <w:spacing w:after="0" w:line="240" w:lineRule="auto"/>
        <w:jc w:val="both"/>
        <w:rPr>
          <w:rFonts w:ascii="Times New Roman" w:hAnsi="Times New Roman" w:eastAsia="Arial Unicode MS" w:cs="Times New Roman"/>
          <w:b/>
          <w:sz w:val="24"/>
          <w:szCs w:val="24"/>
          <w:lang w:val="es-PE"/>
        </w:rPr>
      </w:pPr>
    </w:p>
    <w:p w:rsidRPr="000C0585" w:rsidR="000C0585" w:rsidP="60DBB968" w:rsidRDefault="000C0585" w14:paraId="5913F98C" w14:textId="38E98299">
      <w:pPr>
        <w:spacing w:after="0" w:line="240" w:lineRule="auto"/>
        <w:jc w:val="both"/>
        <w:rPr>
          <w:rFonts w:ascii="Times New Roman" w:hAnsi="Times New Roman" w:cs="Times New Roman"/>
          <w:sz w:val="24"/>
          <w:szCs w:val="24"/>
          <w:lang w:val="es-ES"/>
        </w:rPr>
      </w:pPr>
      <w:r w:rsidRPr="60DBB968" w:rsidR="000C0585">
        <w:rPr>
          <w:rFonts w:ascii="Times New Roman" w:hAnsi="Times New Roman" w:eastAsia="Arial Unicode MS" w:cs="Times New Roman"/>
          <w:b w:val="1"/>
          <w:bCs w:val="1"/>
          <w:sz w:val="24"/>
          <w:szCs w:val="24"/>
          <w:lang w:val="es-PE"/>
        </w:rPr>
        <w:t xml:space="preserve">Declarar INFUNDADO el recurso impugnativo </w:t>
      </w:r>
      <w:r w:rsidRPr="60DBB968" w:rsidR="000C0585">
        <w:rPr>
          <w:rFonts w:ascii="Times New Roman" w:hAnsi="Times New Roman" w:eastAsia="Arial Unicode MS" w:cs="Times New Roman"/>
          <w:sz w:val="24"/>
          <w:szCs w:val="24"/>
          <w:lang w:val="es-PE"/>
        </w:rPr>
        <w:t xml:space="preserve">interpuesto por </w:t>
      </w:r>
      <w:r w:rsidRPr="60DBB968" w:rsidR="690D5094">
        <w:rPr>
          <w:rFonts w:ascii="Times New Roman" w:hAnsi="Times New Roman" w:eastAsia="Times New Roman" w:cs="Times New Roman"/>
          <w:sz w:val="24"/>
          <w:szCs w:val="24"/>
          <w:lang w:val="es-ES" w:eastAsia="ar-SA"/>
        </w:rPr>
        <w:t>...................................</w:t>
      </w:r>
      <w:r w:rsidRPr="60DBB968" w:rsidR="000C0585">
        <w:rPr>
          <w:rFonts w:ascii="Times New Roman" w:hAnsi="Times New Roman" w:eastAsia="Times New Roman" w:cs="Times New Roman"/>
          <w:sz w:val="24"/>
          <w:szCs w:val="24"/>
          <w:lang w:val="es-ES" w:eastAsia="ar-SA"/>
        </w:rPr>
        <w:t xml:space="preserve"> y, por consiguiente, ratificar la Resolución Nro. 146/22, de fecha 11 de julio de 2022, que declaró FUNDADA la reclamación.</w:t>
      </w:r>
    </w:p>
    <w:p w:rsidRPr="000C0585" w:rsidR="00AE22DB" w:rsidP="005D2FD8" w:rsidRDefault="00AE22DB" w14:paraId="76522F82" w14:textId="77777777">
      <w:pPr>
        <w:suppressAutoHyphens/>
        <w:spacing w:after="0" w:line="240" w:lineRule="auto"/>
        <w:outlineLvl w:val="0"/>
        <w:rPr>
          <w:rFonts w:ascii="Times New Roman" w:hAnsi="Times New Roman" w:eastAsia="Times New Roman" w:cs="Times New Roman"/>
          <w:b/>
          <w:bCs/>
          <w:sz w:val="24"/>
          <w:szCs w:val="24"/>
          <w:lang w:val="es-ES" w:eastAsia="ar-SA"/>
        </w:rPr>
      </w:pPr>
    </w:p>
    <w:p w:rsidRPr="000C0585" w:rsidR="00C173A8" w:rsidP="00092C2E" w:rsidRDefault="00C173A8" w14:paraId="21EFD7D3" w14:textId="2496AC28">
      <w:pPr>
        <w:suppressAutoHyphens/>
        <w:spacing w:after="0" w:line="240" w:lineRule="auto"/>
        <w:jc w:val="right"/>
        <w:outlineLvl w:val="0"/>
        <w:rPr>
          <w:rFonts w:ascii="Times New Roman" w:hAnsi="Times New Roman" w:eastAsia="Arial Unicode MS" w:cs="Times New Roman"/>
          <w:sz w:val="24"/>
          <w:szCs w:val="24"/>
          <w:lang w:val="es-PE" w:eastAsia="ar-SA"/>
        </w:rPr>
      </w:pPr>
      <w:r w:rsidRPr="000C0585">
        <w:rPr>
          <w:rFonts w:ascii="Times New Roman" w:hAnsi="Times New Roman" w:eastAsia="Arial Unicode MS" w:cs="Times New Roman"/>
          <w:sz w:val="24"/>
          <w:szCs w:val="24"/>
          <w:lang w:val="es-PE" w:eastAsia="ar-SA"/>
        </w:rPr>
        <w:t xml:space="preserve">Lima, </w:t>
      </w:r>
      <w:r w:rsidRPr="000C0585" w:rsidR="006315FA">
        <w:rPr>
          <w:rFonts w:ascii="Times New Roman" w:hAnsi="Times New Roman" w:eastAsia="Arial Unicode MS" w:cs="Times New Roman"/>
          <w:sz w:val="24"/>
          <w:szCs w:val="24"/>
          <w:lang w:val="es-PE" w:eastAsia="ar-SA"/>
        </w:rPr>
        <w:t>01</w:t>
      </w:r>
      <w:r w:rsidRPr="000C0585" w:rsidR="00E72889">
        <w:rPr>
          <w:rFonts w:ascii="Times New Roman" w:hAnsi="Times New Roman" w:eastAsia="Arial Unicode MS" w:cs="Times New Roman"/>
          <w:sz w:val="24"/>
          <w:szCs w:val="24"/>
          <w:lang w:val="es-PE" w:eastAsia="ar-SA"/>
        </w:rPr>
        <w:t xml:space="preserve"> </w:t>
      </w:r>
      <w:r w:rsidRPr="000C0585">
        <w:rPr>
          <w:rFonts w:ascii="Times New Roman" w:hAnsi="Times New Roman" w:eastAsia="Arial Unicode MS" w:cs="Times New Roman"/>
          <w:sz w:val="24"/>
          <w:szCs w:val="24"/>
          <w:lang w:val="es-PE" w:eastAsia="ar-SA"/>
        </w:rPr>
        <w:t xml:space="preserve">de </w:t>
      </w:r>
      <w:r w:rsidRPr="000C0585" w:rsidR="006315FA">
        <w:rPr>
          <w:rFonts w:ascii="Times New Roman" w:hAnsi="Times New Roman" w:eastAsia="Arial Unicode MS" w:cs="Times New Roman"/>
          <w:sz w:val="24"/>
          <w:szCs w:val="24"/>
          <w:lang w:val="es-PE" w:eastAsia="ar-SA"/>
        </w:rPr>
        <w:t>agosto</w:t>
      </w:r>
      <w:r w:rsidRPr="000C0585">
        <w:rPr>
          <w:rFonts w:ascii="Times New Roman" w:hAnsi="Times New Roman" w:eastAsia="Arial Unicode MS" w:cs="Times New Roman"/>
          <w:sz w:val="24"/>
          <w:szCs w:val="24"/>
          <w:lang w:val="es-PE" w:eastAsia="ar-SA"/>
        </w:rPr>
        <w:t xml:space="preserve"> de 2022</w:t>
      </w:r>
      <w:r w:rsidRPr="000C0585">
        <w:rPr>
          <w:rFonts w:ascii="Times New Roman" w:hAnsi="Times New Roman" w:eastAsia="Times New Roman" w:cs="Times New Roman"/>
          <w:sz w:val="24"/>
          <w:szCs w:val="24"/>
          <w:lang w:val="es-PE" w:eastAsia="ar-SA"/>
        </w:rPr>
        <w:t xml:space="preserve"> </w:t>
      </w:r>
    </w:p>
    <w:p w:rsidRPr="000C058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C058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0C058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C0585"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0C0585"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C0585">
        <w:rPr>
          <w:rFonts w:ascii="Times New Roman" w:hAnsi="Times New Roman" w:cs="Times New Roman"/>
          <w:b/>
          <w:bCs/>
          <w:sz w:val="24"/>
          <w:szCs w:val="24"/>
          <w:lang w:val="es-PE"/>
        </w:rPr>
        <w:lastRenderedPageBreak/>
        <w:t xml:space="preserve">Marco Antonio Ortega Piana – </w:t>
      </w:r>
      <w:proofErr w:type="gramStart"/>
      <w:r w:rsidRPr="000C0585">
        <w:rPr>
          <w:rFonts w:ascii="Times New Roman" w:hAnsi="Times New Roman" w:cs="Times New Roman"/>
          <w:b/>
          <w:bCs/>
          <w:sz w:val="24"/>
          <w:szCs w:val="24"/>
          <w:lang w:val="es-PE"/>
        </w:rPr>
        <w:t>Presidente</w:t>
      </w:r>
      <w:proofErr w:type="gramEnd"/>
    </w:p>
    <w:p w:rsidRPr="000C0585"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C0585">
        <w:rPr>
          <w:rFonts w:ascii="Times New Roman" w:hAnsi="Times New Roman" w:cs="Times New Roman"/>
          <w:b/>
          <w:bCs/>
          <w:sz w:val="24"/>
          <w:szCs w:val="24"/>
          <w:lang w:val="es-PE"/>
        </w:rPr>
        <w:t xml:space="preserve">María Eugenia Valdez Fernández Baca – </w:t>
      </w:r>
      <w:r w:rsidRPr="000C0585" w:rsidR="001B1998">
        <w:rPr>
          <w:rFonts w:ascii="Times New Roman" w:hAnsi="Times New Roman" w:cs="Times New Roman"/>
          <w:b/>
          <w:bCs/>
          <w:sz w:val="24"/>
          <w:szCs w:val="24"/>
          <w:lang w:val="es-PE"/>
        </w:rPr>
        <w:t>Vocal</w:t>
      </w:r>
    </w:p>
    <w:p w:rsidRPr="000C0585"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C0585">
        <w:rPr>
          <w:rFonts w:ascii="Times New Roman" w:hAnsi="Times New Roman" w:cs="Times New Roman"/>
          <w:b/>
          <w:bCs/>
          <w:sz w:val="24"/>
          <w:szCs w:val="24"/>
          <w:lang w:val="es-PE"/>
        </w:rPr>
        <w:t xml:space="preserve">Rolando Eyzaguirre </w:t>
      </w:r>
      <w:proofErr w:type="spellStart"/>
      <w:r w:rsidRPr="000C0585">
        <w:rPr>
          <w:rFonts w:ascii="Times New Roman" w:hAnsi="Times New Roman" w:cs="Times New Roman"/>
          <w:b/>
          <w:bCs/>
          <w:sz w:val="24"/>
          <w:szCs w:val="24"/>
          <w:lang w:val="es-PE"/>
        </w:rPr>
        <w:t>Maccan</w:t>
      </w:r>
      <w:proofErr w:type="spellEnd"/>
      <w:r w:rsidRPr="000C0585">
        <w:rPr>
          <w:rFonts w:ascii="Times New Roman" w:hAnsi="Times New Roman" w:cs="Times New Roman"/>
          <w:b/>
          <w:bCs/>
          <w:sz w:val="24"/>
          <w:szCs w:val="24"/>
          <w:lang w:val="es-PE"/>
        </w:rPr>
        <w:t xml:space="preserve"> - Vocal</w:t>
      </w:r>
    </w:p>
    <w:p w:rsidRPr="000C0585"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C0585">
        <w:rPr>
          <w:rFonts w:ascii="Times New Roman" w:hAnsi="Times New Roman" w:cs="Times New Roman"/>
          <w:b/>
          <w:bCs/>
          <w:sz w:val="24"/>
          <w:szCs w:val="24"/>
          <w:lang w:val="es-PE"/>
        </w:rPr>
        <w:t>Gonzalo Abad del Busto – Vocal</w:t>
      </w:r>
    </w:p>
    <w:p w:rsidRPr="0090308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966" w:rsidP="00784355" w:rsidRDefault="005A1966" w14:paraId="47AA32D6" w14:textId="77777777">
      <w:pPr>
        <w:spacing w:after="0" w:line="240" w:lineRule="auto"/>
      </w:pPr>
      <w:r>
        <w:separator/>
      </w:r>
    </w:p>
  </w:endnote>
  <w:endnote w:type="continuationSeparator" w:id="0">
    <w:p w:rsidR="005A1966" w:rsidP="00784355" w:rsidRDefault="005A1966" w14:paraId="60ADB2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966" w:rsidP="00784355" w:rsidRDefault="005A1966" w14:paraId="24D3EC73" w14:textId="77777777">
      <w:pPr>
        <w:spacing w:after="0" w:line="240" w:lineRule="auto"/>
      </w:pPr>
      <w:r>
        <w:separator/>
      </w:r>
    </w:p>
  </w:footnote>
  <w:footnote w:type="continuationSeparator" w:id="0">
    <w:p w:rsidR="005A1966" w:rsidP="00784355" w:rsidRDefault="005A1966" w14:paraId="5A7549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585"/>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95F76"/>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3049E274"/>
    <w:rsid w:val="37437260"/>
    <w:rsid w:val="44FAAC74"/>
    <w:rsid w:val="60DBB968"/>
    <w:rsid w:val="690D5094"/>
    <w:rsid w:val="6D4A7C49"/>
    <w:rsid w:val="7A27A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5A6092E-0F58-4492-ACD8-415ED6E1CC0C}"/>
</file>

<file path=customXml/itemProps3.xml><?xml version="1.0" encoding="utf-8"?>
<ds:datastoreItem xmlns:ds="http://schemas.openxmlformats.org/officeDocument/2006/customXml" ds:itemID="{6D780F1D-0790-4ADB-90F9-EE24A2C8BE67}"/>
</file>

<file path=customXml/itemProps4.xml><?xml version="1.0" encoding="utf-8"?>
<ds:datastoreItem xmlns:ds="http://schemas.openxmlformats.org/officeDocument/2006/customXml" ds:itemID="{352BCAD6-03D1-4C89-9A8A-168C3547FC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183</cp:revision>
  <cp:lastPrinted>2022-08-01T15:29:00Z</cp:lastPrinted>
  <dcterms:created xsi:type="dcterms:W3CDTF">2020-12-18T20:17:00Z</dcterms:created>
  <dcterms:modified xsi:type="dcterms:W3CDTF">2025-12-01T16:00:53Z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