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B65D7" w:rsidR="00B10F71" w:rsidP="00041B86" w:rsidRDefault="00201C0D" w14:paraId="51974F0B" w14:textId="17590B0A">
      <w:pPr>
        <w:spacing w:after="0" w:line="240" w:lineRule="auto"/>
        <w:jc w:val="center"/>
        <w:rPr>
          <w:rFonts w:ascii="Times New Roman" w:hAnsi="Times New Roman" w:cs="Times New Roman"/>
          <w:b/>
          <w:sz w:val="24"/>
          <w:szCs w:val="24"/>
          <w:lang w:val="es-PE" w:eastAsia="ar-SA"/>
        </w:rPr>
      </w:pPr>
      <w:r w:rsidRPr="00BB65D7">
        <w:rPr>
          <w:rFonts w:ascii="Times New Roman" w:hAnsi="Times New Roman" w:cs="Times New Roman"/>
          <w:b/>
          <w:sz w:val="24"/>
          <w:szCs w:val="24"/>
          <w:lang w:val="es-PE" w:eastAsia="ar-SA"/>
        </w:rPr>
        <w:t xml:space="preserve">RESOLUCIÓN DE RECURSO IMPUGNATIVO </w:t>
      </w:r>
      <w:proofErr w:type="spellStart"/>
      <w:r w:rsidRPr="00BB65D7" w:rsidR="00707C99">
        <w:rPr>
          <w:rFonts w:ascii="Times New Roman" w:hAnsi="Times New Roman" w:cs="Times New Roman"/>
          <w:b/>
          <w:sz w:val="24"/>
          <w:szCs w:val="24"/>
          <w:lang w:val="es-PE" w:eastAsia="ar-SA"/>
        </w:rPr>
        <w:t>N°</w:t>
      </w:r>
      <w:proofErr w:type="spellEnd"/>
      <w:r w:rsidRPr="00BB65D7" w:rsidR="00707C99">
        <w:rPr>
          <w:rFonts w:ascii="Times New Roman" w:hAnsi="Times New Roman" w:cs="Times New Roman"/>
          <w:b/>
          <w:sz w:val="24"/>
          <w:szCs w:val="24"/>
          <w:lang w:val="es-PE" w:eastAsia="ar-SA"/>
        </w:rPr>
        <w:t xml:space="preserve"> </w:t>
      </w:r>
      <w:r w:rsidRPr="00BB65D7" w:rsidR="00C671F5">
        <w:rPr>
          <w:rFonts w:ascii="Times New Roman" w:hAnsi="Times New Roman" w:cs="Times New Roman"/>
          <w:b/>
          <w:sz w:val="24"/>
          <w:szCs w:val="24"/>
          <w:lang w:val="es-PE" w:eastAsia="ar-SA"/>
        </w:rPr>
        <w:t>0</w:t>
      </w:r>
      <w:r w:rsidRPr="00BB65D7" w:rsidR="00A200ED">
        <w:rPr>
          <w:rFonts w:ascii="Times New Roman" w:hAnsi="Times New Roman" w:cs="Times New Roman"/>
          <w:b/>
          <w:sz w:val="24"/>
          <w:szCs w:val="24"/>
          <w:lang w:val="es-PE" w:eastAsia="ar-SA"/>
        </w:rPr>
        <w:t>5</w:t>
      </w:r>
      <w:r w:rsidRPr="00BB65D7" w:rsidR="00B81382">
        <w:rPr>
          <w:rFonts w:ascii="Times New Roman" w:hAnsi="Times New Roman" w:cs="Times New Roman"/>
          <w:b/>
          <w:sz w:val="24"/>
          <w:szCs w:val="24"/>
          <w:lang w:val="es-PE" w:eastAsia="ar-SA"/>
        </w:rPr>
        <w:t>6</w:t>
      </w:r>
      <w:r w:rsidRPr="00BB65D7" w:rsidR="00C671F5">
        <w:rPr>
          <w:rFonts w:ascii="Times New Roman" w:hAnsi="Times New Roman" w:cs="Times New Roman"/>
          <w:b/>
          <w:sz w:val="24"/>
          <w:szCs w:val="24"/>
          <w:lang w:val="es-PE" w:eastAsia="ar-SA"/>
        </w:rPr>
        <w:t>/2</w:t>
      </w:r>
      <w:r w:rsidRPr="00BB65D7" w:rsidR="00B93C7A">
        <w:rPr>
          <w:rFonts w:ascii="Times New Roman" w:hAnsi="Times New Roman" w:cs="Times New Roman"/>
          <w:b/>
          <w:sz w:val="24"/>
          <w:szCs w:val="24"/>
          <w:lang w:val="es-PE" w:eastAsia="ar-SA"/>
        </w:rPr>
        <w:t>2</w:t>
      </w:r>
    </w:p>
    <w:p w:rsidRPr="00BB65D7" w:rsidR="0090308F" w:rsidP="00092C2E" w:rsidRDefault="0090308F" w14:paraId="7AB8EDC7" w14:textId="7B89F392">
      <w:pPr>
        <w:suppressAutoHyphens/>
        <w:spacing w:after="0" w:line="240" w:lineRule="auto"/>
        <w:jc w:val="right"/>
        <w:outlineLvl w:val="0"/>
        <w:rPr>
          <w:rFonts w:ascii="Times New Roman" w:hAnsi="Times New Roman" w:eastAsia="Times New Roman" w:cs="Times New Roman"/>
          <w:b/>
          <w:bCs/>
          <w:sz w:val="24"/>
          <w:szCs w:val="24"/>
          <w:lang w:val="es-MX" w:eastAsia="ar-SA"/>
        </w:rPr>
      </w:pPr>
    </w:p>
    <w:p w:rsidRPr="00BB65D7" w:rsidR="00BB65D7" w:rsidP="00BB65D7" w:rsidRDefault="00BB65D7" w14:paraId="1542FD05" w14:textId="77777777">
      <w:pPr>
        <w:spacing w:after="0" w:line="240" w:lineRule="auto"/>
        <w:jc w:val="both"/>
        <w:rPr>
          <w:rFonts w:ascii="Times New Roman" w:hAnsi="Times New Roman" w:cs="Times New Roman"/>
          <w:sz w:val="24"/>
          <w:szCs w:val="24"/>
          <w:lang w:val="es-PE"/>
        </w:rPr>
      </w:pPr>
      <w:r w:rsidRPr="00BB65D7">
        <w:rPr>
          <w:rFonts w:ascii="Times New Roman" w:hAnsi="Times New Roman" w:cs="Times New Roman"/>
          <w:b/>
          <w:sz w:val="24"/>
          <w:szCs w:val="24"/>
          <w:lang w:val="es-PE"/>
        </w:rPr>
        <w:t xml:space="preserve">Vistos: </w:t>
      </w:r>
    </w:p>
    <w:p w:rsidRPr="00BB65D7" w:rsidR="00BB65D7" w:rsidP="00BB65D7" w:rsidRDefault="00BB65D7" w14:paraId="45F15387" w14:textId="77777777">
      <w:pPr>
        <w:spacing w:after="0" w:line="240" w:lineRule="auto"/>
        <w:jc w:val="both"/>
        <w:rPr>
          <w:rFonts w:ascii="Times New Roman" w:hAnsi="Times New Roman" w:cs="Times New Roman"/>
          <w:sz w:val="24"/>
          <w:szCs w:val="24"/>
          <w:lang w:val="es-PE"/>
        </w:rPr>
      </w:pPr>
    </w:p>
    <w:p w:rsidRPr="00BB65D7" w:rsidR="00BB65D7" w:rsidP="00BB65D7" w:rsidRDefault="00BB65D7" w14:paraId="561E2A0C" w14:textId="25ED51E6">
      <w:pPr>
        <w:spacing w:line="240" w:lineRule="auto"/>
        <w:jc w:val="both"/>
        <w:rPr>
          <w:rFonts w:ascii="Times New Roman" w:hAnsi="Times New Roman" w:cs="Times New Roman"/>
          <w:sz w:val="24"/>
          <w:szCs w:val="24"/>
          <w:lang w:val="es-PE"/>
        </w:rPr>
      </w:pPr>
      <w:r w:rsidRPr="4D426F47" w:rsidR="00BB65D7">
        <w:rPr>
          <w:rFonts w:ascii="Times New Roman" w:hAnsi="Times New Roman" w:cs="Times New Roman"/>
          <w:sz w:val="24"/>
          <w:szCs w:val="24"/>
          <w:lang w:val="es-PE"/>
        </w:rPr>
        <w:t xml:space="preserve">El Recurso Impugnativo presentado el 04 de julio de 2022, por </w:t>
      </w:r>
      <w:r w:rsidRPr="4D426F47" w:rsidR="7279A816">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xml:space="preserve">, respecto de la Resolución </w:t>
      </w:r>
      <w:r w:rsidRPr="4D426F47" w:rsidR="00BB65D7">
        <w:rPr>
          <w:rFonts w:ascii="Times New Roman" w:hAnsi="Times New Roman" w:cs="Times New Roman"/>
          <w:sz w:val="24"/>
          <w:szCs w:val="24"/>
          <w:lang w:val="es-PE"/>
        </w:rPr>
        <w:t>N°</w:t>
      </w:r>
      <w:r w:rsidRPr="4D426F47" w:rsidR="00BB65D7">
        <w:rPr>
          <w:rFonts w:ascii="Times New Roman" w:hAnsi="Times New Roman" w:cs="Times New Roman"/>
          <w:sz w:val="24"/>
          <w:szCs w:val="24"/>
          <w:lang w:val="es-PE"/>
        </w:rPr>
        <w:t xml:space="preserve"> 133/22 emitida el 27 de junio de 2022 por esta Defensoría del Asegurado (DEFASEG) que declaró INFUNDADA la reclamación interpuesta sobre otorgamiento de cobertura al siniestro ocurrido bajo la Póliza de Seguro de Vehículos contratada.</w:t>
      </w:r>
    </w:p>
    <w:p w:rsidRPr="00BB65D7" w:rsidR="00BB65D7" w:rsidP="00BB65D7" w:rsidRDefault="00BB65D7" w14:paraId="5E3FFD8D" w14:textId="0D408584">
      <w:pPr>
        <w:spacing w:line="240" w:lineRule="auto"/>
        <w:jc w:val="both"/>
        <w:rPr>
          <w:rFonts w:ascii="Times New Roman" w:hAnsi="Times New Roman" w:cs="Times New Roman"/>
          <w:sz w:val="24"/>
          <w:szCs w:val="24"/>
          <w:lang w:val="es-PE"/>
        </w:rPr>
      </w:pPr>
      <w:r w:rsidRPr="4D426F47" w:rsidR="00BB65D7">
        <w:rPr>
          <w:rFonts w:ascii="Times New Roman" w:hAnsi="Times New Roman" w:cs="Times New Roman"/>
          <w:sz w:val="24"/>
          <w:szCs w:val="24"/>
          <w:lang w:val="es-PE"/>
        </w:rPr>
        <w:t xml:space="preserve">Que el señalado Recurso Impugnativo se fundamenta resumidamente en lo siguiente: 1) Que, el reclamante comunicó en el tiempo perentorio a </w:t>
      </w:r>
      <w:r w:rsidRPr="4D426F47" w:rsidR="79450B67">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xml:space="preserve"> el siniestro ocurrido, apersonándose el bróker y el Abogado </w:t>
      </w:r>
      <w:r w:rsidRPr="4D426F47" w:rsidR="0F398B07">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xml:space="preserve"> quienes tomaron conocimiento del hecho, circunstancias, participes, lesionados, daños materiales y principalmente que el conductor del vehículo asegurado se encontraba en estado ecuánime. 2) Que, el reclamante y  su abogado particular, luego de entrevistarse con el abogado </w:t>
      </w:r>
      <w:r w:rsidRPr="4D426F47" w:rsidR="6F494C34">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xml:space="preserve"> de </w:t>
      </w:r>
      <w:r w:rsidRPr="4D426F47" w:rsidR="79450B67">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xml:space="preserve">, infirieron que era pertinente que se oriente las diligencias preliminares para lograr la aplicación del Principio de Oportunidad a favor del conductor del vehículo asegurado y, para lograr ese fin, era imperativo que se suscriba las respectivas transacciones extrajudiciales con las personas que resultaron lesionadas y con los propietarias de los dos (2) vehículos que resultaron con daños materiales y, por estrategia, considerando que serían seis (6) las personas con las que se debería negociar, y evitar que surja en alguno de ellos expectativas demasiado onerosas al solicitar la  reparación civil, lo cual dilataría o entramparía arribar a una transacción, el reclamante y su abogado optaron por conveniente realicen en forma directa esa gestión, comunicándole al abogado de </w:t>
      </w:r>
      <w:r w:rsidRPr="4D426F47" w:rsidR="79450B67">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quien el 07 de noviembre de 2021, remitió al abogado del reclamante, el modelo de transacción a formular, con el siguiente texto:</w:t>
      </w:r>
    </w:p>
    <w:p w:rsidRPr="00BB65D7" w:rsidR="00BB65D7" w:rsidP="00BB65D7" w:rsidRDefault="00BB65D7" w14:paraId="57EEF957" w14:textId="7FB6B00E">
      <w:pPr>
        <w:spacing w:line="240" w:lineRule="auto"/>
        <w:jc w:val="both"/>
        <w:rPr>
          <w:rFonts w:ascii="Times New Roman" w:hAnsi="Times New Roman" w:cs="Times New Roman"/>
          <w:sz w:val="24"/>
          <w:szCs w:val="24"/>
          <w:lang w:val="es-PE"/>
        </w:rPr>
      </w:pPr>
      <w:r w:rsidRPr="4D426F47" w:rsidR="00BB65D7">
        <w:rPr>
          <w:rFonts w:ascii="Times New Roman" w:hAnsi="Times New Roman" w:cs="Times New Roman"/>
          <w:sz w:val="24"/>
          <w:szCs w:val="24"/>
          <w:lang w:val="es-PE"/>
        </w:rPr>
        <w:t xml:space="preserve">““Estimado Dr. </w:t>
      </w:r>
      <w:r w:rsidRPr="4D426F47" w:rsidR="5117CFE6">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xml:space="preserve"> </w:t>
      </w:r>
      <w:r w:rsidRPr="4D426F47" w:rsidR="00BB65D7">
        <w:rPr>
          <w:rFonts w:ascii="Times New Roman" w:hAnsi="Times New Roman" w:cs="Times New Roman"/>
          <w:sz w:val="24"/>
          <w:szCs w:val="24"/>
          <w:lang w:val="es-PE"/>
        </w:rPr>
        <w:t>de acuerdo a</w:t>
      </w:r>
      <w:r w:rsidRPr="4D426F47" w:rsidR="00BB65D7">
        <w:rPr>
          <w:rFonts w:ascii="Times New Roman" w:hAnsi="Times New Roman" w:cs="Times New Roman"/>
          <w:sz w:val="24"/>
          <w:szCs w:val="24"/>
          <w:lang w:val="es-PE"/>
        </w:rPr>
        <w:t xml:space="preserve"> lo solicitado, adjunto al presente se remite el proyecto de Transacción Extrajudicial a suscribir con el propietario del vehículo tercero y el conductor lesionado, (se recomienda verificar los datos consignados de las partes), en los términos que permitiría se pueda considerar para la evaluación de un posible rembolso, así como el importe que pudiera corresponder de ser el caso. Conforme a lo conversado, siendo que el monto aproximado de S/ 3,500 soles que nos  refieren estarían conviniendo por la reparación del vehículo tercero y las lesiones del conductor, aún no ha sido evaluado y/o autorizado por la Compañía, es que se deberá estar a la espera del resultado de dicha evaluación, en su oportunidad (una vez presenten la documentación respectiva) para determinar la posibilidad de aprobarse un reembolso, así como el importe del mismo de ser el caso, descontando el deducible que pudiera corresponder de acuerdo a los términos de la póliza”.</w:t>
      </w:r>
    </w:p>
    <w:p w:rsidRPr="00BB65D7" w:rsidR="00BB65D7" w:rsidP="00BB65D7" w:rsidRDefault="00BB65D7" w14:paraId="05E066C2" w14:textId="6D1C1A85">
      <w:pPr>
        <w:spacing w:line="240" w:lineRule="auto"/>
        <w:jc w:val="both"/>
        <w:rPr>
          <w:rFonts w:ascii="Times New Roman" w:hAnsi="Times New Roman" w:cs="Times New Roman"/>
          <w:sz w:val="24"/>
          <w:szCs w:val="24"/>
          <w:lang w:val="es-PE"/>
        </w:rPr>
      </w:pPr>
      <w:r w:rsidRPr="4D426F47" w:rsidR="00BB65D7">
        <w:rPr>
          <w:rFonts w:ascii="Times New Roman" w:hAnsi="Times New Roman" w:cs="Times New Roman"/>
          <w:sz w:val="24"/>
          <w:szCs w:val="24"/>
          <w:lang w:val="es-PE"/>
        </w:rPr>
        <w:t xml:space="preserve">3) Que, el 23 de noviembre de 2021, se obtuvieron las respectivas transacciones extrajudiciales, cuyo monto final asciende a S/. 9,561.79 soles. Que, dichas transacciones fueron meritadas por el fiscal provincial del 1er Despacho de la Primera Fiscalía Corporativa Penal de San isidro – Lince, quien dispuso el archivo definitivo del accidente de tránsito. 4) Que, el 24 de diciembre de 2021, </w:t>
      </w:r>
      <w:r w:rsidRPr="4D426F47" w:rsidR="79450B67">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xml:space="preserve"> notifica al reclamante que no realizará la cobertura del siniestro, al haber supuestamente infringido el artículo 5° del Contrato de Seguro. Que, este precepto contractual, establece la concurrencia obligatoria de dos (02) presuntas omisiones para recién negarse al asegurado la cobertura de un siniestro, es decir, que no cumpla las obligaciones y que ese incumplimiento le cause un perjuicio económico, sin embargo, en ninguna de las dos, señala explicita y </w:t>
      </w:r>
      <w:r w:rsidRPr="4D426F47" w:rsidR="00BB65D7">
        <w:rPr>
          <w:rFonts w:ascii="Times New Roman" w:hAnsi="Times New Roman" w:cs="Times New Roman"/>
          <w:sz w:val="24"/>
          <w:szCs w:val="24"/>
          <w:lang w:val="es-PE"/>
        </w:rPr>
        <w:t>fundamentadamente</w:t>
      </w:r>
      <w:r w:rsidRPr="4D426F47" w:rsidR="00BB65D7">
        <w:rPr>
          <w:rFonts w:ascii="Times New Roman" w:hAnsi="Times New Roman" w:cs="Times New Roman"/>
          <w:sz w:val="24"/>
          <w:szCs w:val="24"/>
          <w:lang w:val="es-PE"/>
        </w:rPr>
        <w:t xml:space="preserve"> en qué medida se le causó perjuicio económico.  </w:t>
      </w:r>
    </w:p>
    <w:p w:rsidRPr="00BB65D7" w:rsidR="00BB65D7" w:rsidP="00BB65D7" w:rsidRDefault="00BB65D7" w14:paraId="0CD2E663" w14:textId="088FD580">
      <w:pPr>
        <w:spacing w:line="240" w:lineRule="auto"/>
        <w:jc w:val="both"/>
        <w:rPr>
          <w:rFonts w:ascii="Times New Roman" w:hAnsi="Times New Roman" w:cs="Times New Roman"/>
          <w:sz w:val="24"/>
          <w:szCs w:val="24"/>
          <w:lang w:val="es-PE"/>
        </w:rPr>
      </w:pPr>
      <w:r w:rsidRPr="4D426F47" w:rsidR="00BB65D7">
        <w:rPr>
          <w:rFonts w:ascii="Times New Roman" w:hAnsi="Times New Roman" w:cs="Times New Roman"/>
          <w:sz w:val="24"/>
          <w:szCs w:val="24"/>
          <w:lang w:val="es-PE"/>
        </w:rPr>
        <w:t xml:space="preserve">Que, habiéndose corrido traslado a la aseguradora del referido Recurso impugnatorio, la misma con fecha 12 de julio, expresa lo siguiente: 1) Que, el rechazo de cobertura del siniestro </w:t>
      </w:r>
      <w:r w:rsidRPr="4D426F47" w:rsidR="00BB65D7">
        <w:rPr>
          <w:rFonts w:ascii="Times New Roman" w:hAnsi="Times New Roman" w:cs="Times New Roman"/>
          <w:sz w:val="24"/>
          <w:szCs w:val="24"/>
          <w:lang w:val="es-PE"/>
        </w:rPr>
        <w:t>reclamado,</w:t>
      </w:r>
      <w:r w:rsidRPr="4D426F47" w:rsidR="00BB65D7">
        <w:rPr>
          <w:rFonts w:ascii="Times New Roman" w:hAnsi="Times New Roman" w:cs="Times New Roman"/>
          <w:sz w:val="24"/>
          <w:szCs w:val="24"/>
          <w:lang w:val="es-PE"/>
        </w:rPr>
        <w:t xml:space="preserve"> se debió al incumplimiento de una de las obligaciones contenidas en el artículo 5° del presente contrato, específicamente a la que se refiere a llegar a acuerdos con terceros sin el consentimiento expreso de </w:t>
      </w:r>
      <w:r w:rsidRPr="4D426F47" w:rsidR="79450B67">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2) Que, no siendo un hecho controvertido que el asegurado celebró diversas transacciones extrajudiciales con terceros afectados, reconociendo responsabilidad en el siniestro y pagando una suma dineraria a cada uno de estos, está acreditado el incumplimiento de una de las cargas de la póliza, lo cual conlleva, según la consecuencia establecida en el contrato, a que la aseguradora quede liberada de toda responsabilidad frente al siniestro. Que, en consecuencia, el primer argumento del reclamante no debe ser amparado. 3) Que, en relación a lo indicado por el asegurado de que la aseguradora no ha acreditado ningún perjuicio económico que habría sufrido por el incumplimiento de su obligación, cabe precisar nuevamente que, el perjuicio económico provocado se produjo en vista que no se le permitió participar en las negociaciones ni en la celebración de las transacciones extrajudiciales; en todo caso, dado que la voluntad del reclamante consistía en llegar a un acuerdo extrajudicial con los afectados, la participación de la aseguradora hubiera posibilitado mejores términos respecto del monto a pagar, máximo teniendo en cuenta de que en un inicio se le indicó al abogado designado que el monto a transigir podría ser de S/ 3,500 soles, pero al final terminó resultando un monto casi de S/ 10,000 soles, siendo que el asegurado no ha explicado los motivos por los cuales excluyó a la aseguradora de las transacciones.</w:t>
      </w:r>
    </w:p>
    <w:p w:rsidRPr="00BB65D7" w:rsidR="00BB65D7" w:rsidP="00BB65D7" w:rsidRDefault="00BB65D7" w14:paraId="11DD2980" w14:textId="77777777">
      <w:pPr>
        <w:spacing w:line="240" w:lineRule="auto"/>
        <w:jc w:val="both"/>
        <w:rPr>
          <w:rFonts w:ascii="Times New Roman" w:hAnsi="Times New Roman" w:cs="Times New Roman"/>
          <w:sz w:val="24"/>
          <w:szCs w:val="24"/>
          <w:lang w:val="es-PE"/>
        </w:rPr>
      </w:pPr>
      <w:r w:rsidRPr="00BB65D7">
        <w:rPr>
          <w:rFonts w:ascii="Times New Roman" w:hAnsi="Times New Roman" w:cs="Times New Roman"/>
          <w:sz w:val="24"/>
          <w:szCs w:val="24"/>
          <w:lang w:val="es-PE"/>
        </w:rPr>
        <w:t>Que, atendiendo a lo expuesto, esta Defensoría resuelve finalmente lo siguiente:</w:t>
      </w:r>
    </w:p>
    <w:p w:rsidRPr="00BB65D7" w:rsidR="00BB65D7" w:rsidP="00BB65D7" w:rsidRDefault="00BB65D7" w14:paraId="6C8DDC8D" w14:textId="52C423BA">
      <w:pPr>
        <w:spacing w:line="240" w:lineRule="auto"/>
        <w:jc w:val="both"/>
        <w:rPr>
          <w:rFonts w:ascii="Times New Roman" w:hAnsi="Times New Roman" w:cs="Times New Roman"/>
          <w:sz w:val="24"/>
          <w:szCs w:val="24"/>
          <w:lang w:val="es-PE"/>
        </w:rPr>
      </w:pPr>
      <w:r w:rsidRPr="4D426F47" w:rsidR="00BB65D7">
        <w:rPr>
          <w:rFonts w:ascii="Times New Roman" w:hAnsi="Times New Roman" w:cs="Times New Roman"/>
          <w:b w:val="1"/>
          <w:bCs w:val="1"/>
          <w:sz w:val="24"/>
          <w:szCs w:val="24"/>
          <w:lang w:val="es-PE"/>
        </w:rPr>
        <w:t>PRIMERO:</w:t>
      </w:r>
      <w:r w:rsidRPr="4D426F47" w:rsidR="00BB65D7">
        <w:rPr>
          <w:rFonts w:ascii="Times New Roman" w:hAnsi="Times New Roman" w:cs="Times New Roman"/>
          <w:sz w:val="24"/>
          <w:szCs w:val="24"/>
          <w:lang w:val="es-PE"/>
        </w:rPr>
        <w:t xml:space="preserve"> Que el artículo 10 (Procedimiento) del Reglamento de la DEFASEG (</w:t>
      </w:r>
      <w:hyperlink r:id="R7806067dc0914939">
        <w:r w:rsidRPr="4D426F47" w:rsidR="00BB65D7">
          <w:rPr>
            <w:rStyle w:val="Hipervnculo"/>
            <w:rFonts w:ascii="Times New Roman" w:hAnsi="Times New Roman" w:cs="Times New Roman"/>
            <w:sz w:val="24"/>
            <w:szCs w:val="24"/>
            <w:lang w:val="es-PE"/>
          </w:rPr>
          <w:t>http://www.defaseg.com.pe/reglamento</w:t>
        </w:r>
      </w:hyperlink>
      <w:r w:rsidRPr="4D426F47" w:rsidR="00BB65D7">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4D426F47" w:rsidR="7279A816">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BB65D7" w:rsidR="00BB65D7" w:rsidP="00BB65D7" w:rsidRDefault="00BB65D7" w14:paraId="19531140" w14:textId="77777777">
      <w:pPr>
        <w:spacing w:line="240" w:lineRule="auto"/>
        <w:jc w:val="both"/>
        <w:rPr>
          <w:rFonts w:ascii="Times New Roman" w:hAnsi="Times New Roman" w:cs="Times New Roman"/>
          <w:sz w:val="24"/>
          <w:szCs w:val="24"/>
          <w:lang w:val="es-PE"/>
        </w:rPr>
      </w:pPr>
      <w:r w:rsidRPr="00BB65D7">
        <w:rPr>
          <w:rFonts w:ascii="Times New Roman" w:hAnsi="Times New Roman" w:cs="Times New Roman"/>
          <w:b/>
          <w:sz w:val="24"/>
          <w:szCs w:val="24"/>
          <w:lang w:val="es-PE"/>
        </w:rPr>
        <w:t>SEGUNDO:</w:t>
      </w:r>
      <w:r w:rsidRPr="00BB65D7">
        <w:rPr>
          <w:rFonts w:ascii="Times New Roman" w:hAnsi="Times New Roman" w:cs="Times New Roman"/>
          <w:sz w:val="24"/>
          <w:szCs w:val="24"/>
          <w:lang w:val="es-PE"/>
        </w:rPr>
        <w:t xml:space="preserve"> Que, de la lectura del Recurso Impugnativo interpuesto se aprecia que el asegurado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BB65D7" w:rsidR="00BB65D7" w:rsidP="00BB65D7" w:rsidRDefault="00BB65D7" w14:paraId="22C979D3" w14:textId="77777777">
      <w:pPr>
        <w:spacing w:line="240" w:lineRule="auto"/>
        <w:jc w:val="both"/>
        <w:rPr>
          <w:rFonts w:ascii="Times New Roman" w:hAnsi="Times New Roman" w:cs="Times New Roman"/>
          <w:sz w:val="24"/>
          <w:szCs w:val="24"/>
          <w:lang w:val="es-PE"/>
        </w:rPr>
      </w:pPr>
      <w:r w:rsidRPr="00BB65D7">
        <w:rPr>
          <w:rFonts w:ascii="Times New Roman" w:hAnsi="Times New Roman" w:cs="Times New Roman"/>
          <w:sz w:val="24"/>
          <w:szCs w:val="24"/>
          <w:lang w:val="es-PE"/>
        </w:rPr>
        <w:t xml:space="preserve">Sin perjuicio de lo anterior, la DEFASEG considera oportuno mencionar nuevamente que, al haber el asegurado transado con los terceros afectados, sin el consentimiento expreso de la aseguradora, ha incumplido lo indicado en el artículo 5° Cargas y Obligaciones de la Póliza contratada. </w:t>
      </w:r>
    </w:p>
    <w:p w:rsidRPr="00BB65D7" w:rsidR="00BB65D7" w:rsidP="00BB65D7" w:rsidRDefault="00BB65D7" w14:paraId="2653689F" w14:textId="77777777">
      <w:pPr>
        <w:spacing w:line="240" w:lineRule="auto"/>
        <w:jc w:val="both"/>
        <w:rPr>
          <w:rFonts w:ascii="Times New Roman" w:hAnsi="Times New Roman" w:cs="Times New Roman"/>
          <w:sz w:val="24"/>
          <w:szCs w:val="24"/>
          <w:lang w:val="es-PE"/>
        </w:rPr>
      </w:pPr>
      <w:r w:rsidRPr="00BB65D7">
        <w:rPr>
          <w:rFonts w:ascii="Times New Roman" w:hAnsi="Times New Roman" w:cs="Times New Roman"/>
          <w:sz w:val="24"/>
          <w:szCs w:val="24"/>
          <w:lang w:val="es-PE"/>
        </w:rPr>
        <w:lastRenderedPageBreak/>
        <w:t>En atención a las consideraciones precedentes, este colegiado no aprecia mérito ni razón objetiva para revocar la resolución recurrida y, por lo tanto</w:t>
      </w:r>
    </w:p>
    <w:p w:rsidRPr="00BB65D7" w:rsidR="00BB65D7" w:rsidP="00BB65D7" w:rsidRDefault="00BB65D7" w14:paraId="68E174D9" w14:textId="77777777">
      <w:pPr>
        <w:spacing w:line="240" w:lineRule="auto"/>
        <w:jc w:val="both"/>
        <w:rPr>
          <w:rFonts w:ascii="Times New Roman" w:hAnsi="Times New Roman" w:cs="Times New Roman"/>
          <w:b/>
          <w:sz w:val="24"/>
          <w:szCs w:val="24"/>
          <w:lang w:val="es-PE"/>
        </w:rPr>
      </w:pPr>
      <w:r w:rsidRPr="00BB65D7">
        <w:rPr>
          <w:rFonts w:ascii="Times New Roman" w:hAnsi="Times New Roman" w:cs="Times New Roman"/>
          <w:b/>
          <w:sz w:val="24"/>
          <w:szCs w:val="24"/>
          <w:lang w:val="es-PE"/>
        </w:rPr>
        <w:t xml:space="preserve">RESUELVE: </w:t>
      </w:r>
    </w:p>
    <w:p w:rsidRPr="00BB65D7" w:rsidR="00BB65D7" w:rsidP="00BB65D7" w:rsidRDefault="00BB65D7" w14:paraId="2C4CA7E9" w14:textId="4389994E">
      <w:pPr>
        <w:spacing w:line="240" w:lineRule="auto"/>
        <w:jc w:val="both"/>
        <w:rPr>
          <w:rFonts w:ascii="Times New Roman" w:hAnsi="Times New Roman" w:cs="Times New Roman"/>
          <w:sz w:val="24"/>
          <w:szCs w:val="24"/>
          <w:lang w:val="es-PE"/>
        </w:rPr>
      </w:pPr>
      <w:r w:rsidRPr="4D426F47" w:rsidR="00BB65D7">
        <w:rPr>
          <w:rFonts w:ascii="Times New Roman" w:hAnsi="Times New Roman" w:cs="Times New Roman"/>
          <w:sz w:val="24"/>
          <w:szCs w:val="24"/>
          <w:lang w:val="es-PE"/>
        </w:rPr>
        <w:t xml:space="preserve">Declarar </w:t>
      </w:r>
      <w:r w:rsidRPr="4D426F47" w:rsidR="00BB65D7">
        <w:rPr>
          <w:rFonts w:ascii="Times New Roman" w:hAnsi="Times New Roman" w:cs="Times New Roman"/>
          <w:b w:val="1"/>
          <w:bCs w:val="1"/>
          <w:sz w:val="24"/>
          <w:szCs w:val="24"/>
          <w:lang w:val="es-PE"/>
        </w:rPr>
        <w:t>INFUNDADO</w:t>
      </w:r>
      <w:r w:rsidRPr="4D426F47" w:rsidR="00BB65D7">
        <w:rPr>
          <w:rFonts w:ascii="Times New Roman" w:hAnsi="Times New Roman" w:cs="Times New Roman"/>
          <w:sz w:val="24"/>
          <w:szCs w:val="24"/>
          <w:lang w:val="es-PE"/>
        </w:rPr>
        <w:t xml:space="preserve"> el Recurso Impugnativo interpuesto y, por consiguiente, RATIFICAR la Resolución </w:t>
      </w:r>
      <w:r w:rsidRPr="4D426F47" w:rsidR="00BB65D7">
        <w:rPr>
          <w:rFonts w:ascii="Times New Roman" w:hAnsi="Times New Roman" w:cs="Times New Roman"/>
          <w:sz w:val="24"/>
          <w:szCs w:val="24"/>
          <w:lang w:val="es-PE"/>
        </w:rPr>
        <w:t>N°</w:t>
      </w:r>
      <w:r w:rsidRPr="4D426F47" w:rsidR="00BB65D7">
        <w:rPr>
          <w:rFonts w:ascii="Times New Roman" w:hAnsi="Times New Roman" w:cs="Times New Roman"/>
          <w:sz w:val="24"/>
          <w:szCs w:val="24"/>
          <w:lang w:val="es-PE"/>
        </w:rPr>
        <w:t xml:space="preserve"> 133/22 que declaró INFUNDADA la reclamación interpuesta por </w:t>
      </w:r>
      <w:r w:rsidRPr="4D426F47" w:rsidR="04CB7C0A">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xml:space="preserve"> contra </w:t>
      </w:r>
      <w:r w:rsidRPr="4D426F47" w:rsidR="79450B67">
        <w:rPr>
          <w:rFonts w:ascii="Times New Roman" w:hAnsi="Times New Roman" w:cs="Times New Roman"/>
          <w:sz w:val="24"/>
          <w:szCs w:val="24"/>
          <w:lang w:val="es-PE"/>
        </w:rPr>
        <w:t>..................................</w:t>
      </w:r>
      <w:r w:rsidRPr="4D426F47" w:rsidR="00BB65D7">
        <w:rPr>
          <w:rFonts w:ascii="Times New Roman" w:hAnsi="Times New Roman" w:cs="Times New Roman"/>
          <w:sz w:val="24"/>
          <w:szCs w:val="24"/>
          <w:lang w:val="es-PE"/>
        </w:rPr>
        <w:t>, dejando en libertad al asegurado, para que pueda recurrir a las instancias que considere pertinentes.</w:t>
      </w:r>
    </w:p>
    <w:p w:rsidRPr="00BB65D7" w:rsidR="00AE22DB" w:rsidP="005D2FD8" w:rsidRDefault="00AE22DB" w14:paraId="76522F82" w14:textId="77777777">
      <w:pPr>
        <w:suppressAutoHyphens/>
        <w:spacing w:after="0" w:line="240" w:lineRule="auto"/>
        <w:outlineLvl w:val="0"/>
        <w:rPr>
          <w:rFonts w:ascii="Times New Roman" w:hAnsi="Times New Roman" w:eastAsia="Times New Roman" w:cs="Times New Roman"/>
          <w:b/>
          <w:bCs/>
          <w:sz w:val="24"/>
          <w:szCs w:val="24"/>
          <w:lang w:val="es-ES" w:eastAsia="ar-SA"/>
        </w:rPr>
      </w:pPr>
    </w:p>
    <w:p w:rsidRPr="00BB65D7" w:rsidR="00C173A8" w:rsidP="00092C2E" w:rsidRDefault="00C173A8" w14:paraId="21EFD7D3" w14:textId="2496AC28">
      <w:pPr>
        <w:suppressAutoHyphens/>
        <w:spacing w:after="0" w:line="240" w:lineRule="auto"/>
        <w:jc w:val="right"/>
        <w:outlineLvl w:val="0"/>
        <w:rPr>
          <w:rFonts w:ascii="Times New Roman" w:hAnsi="Times New Roman" w:eastAsia="Arial Unicode MS" w:cs="Times New Roman"/>
          <w:sz w:val="24"/>
          <w:szCs w:val="24"/>
          <w:lang w:val="es-PE" w:eastAsia="ar-SA"/>
        </w:rPr>
      </w:pPr>
      <w:r w:rsidRPr="00BB65D7">
        <w:rPr>
          <w:rFonts w:ascii="Times New Roman" w:hAnsi="Times New Roman" w:eastAsia="Arial Unicode MS" w:cs="Times New Roman"/>
          <w:sz w:val="24"/>
          <w:szCs w:val="24"/>
          <w:lang w:val="es-PE" w:eastAsia="ar-SA"/>
        </w:rPr>
        <w:t xml:space="preserve">Lima, </w:t>
      </w:r>
      <w:r w:rsidRPr="00BB65D7" w:rsidR="006315FA">
        <w:rPr>
          <w:rFonts w:ascii="Times New Roman" w:hAnsi="Times New Roman" w:eastAsia="Arial Unicode MS" w:cs="Times New Roman"/>
          <w:sz w:val="24"/>
          <w:szCs w:val="24"/>
          <w:lang w:val="es-PE" w:eastAsia="ar-SA"/>
        </w:rPr>
        <w:t>01</w:t>
      </w:r>
      <w:r w:rsidRPr="00BB65D7" w:rsidR="00E72889">
        <w:rPr>
          <w:rFonts w:ascii="Times New Roman" w:hAnsi="Times New Roman" w:eastAsia="Arial Unicode MS" w:cs="Times New Roman"/>
          <w:sz w:val="24"/>
          <w:szCs w:val="24"/>
          <w:lang w:val="es-PE" w:eastAsia="ar-SA"/>
        </w:rPr>
        <w:t xml:space="preserve"> </w:t>
      </w:r>
      <w:r w:rsidRPr="00BB65D7">
        <w:rPr>
          <w:rFonts w:ascii="Times New Roman" w:hAnsi="Times New Roman" w:eastAsia="Arial Unicode MS" w:cs="Times New Roman"/>
          <w:sz w:val="24"/>
          <w:szCs w:val="24"/>
          <w:lang w:val="es-PE" w:eastAsia="ar-SA"/>
        </w:rPr>
        <w:t xml:space="preserve">de </w:t>
      </w:r>
      <w:r w:rsidRPr="00BB65D7" w:rsidR="006315FA">
        <w:rPr>
          <w:rFonts w:ascii="Times New Roman" w:hAnsi="Times New Roman" w:eastAsia="Arial Unicode MS" w:cs="Times New Roman"/>
          <w:sz w:val="24"/>
          <w:szCs w:val="24"/>
          <w:lang w:val="es-PE" w:eastAsia="ar-SA"/>
        </w:rPr>
        <w:t>agosto</w:t>
      </w:r>
      <w:r w:rsidRPr="00BB65D7">
        <w:rPr>
          <w:rFonts w:ascii="Times New Roman" w:hAnsi="Times New Roman" w:eastAsia="Arial Unicode MS" w:cs="Times New Roman"/>
          <w:sz w:val="24"/>
          <w:szCs w:val="24"/>
          <w:lang w:val="es-PE" w:eastAsia="ar-SA"/>
        </w:rPr>
        <w:t xml:space="preserve"> de 2022</w:t>
      </w:r>
      <w:r w:rsidRPr="00BB65D7">
        <w:rPr>
          <w:rFonts w:ascii="Times New Roman" w:hAnsi="Times New Roman" w:eastAsia="Times New Roman" w:cs="Times New Roman"/>
          <w:sz w:val="24"/>
          <w:szCs w:val="24"/>
          <w:lang w:val="es-PE" w:eastAsia="ar-SA"/>
        </w:rPr>
        <w:t xml:space="preserve"> </w:t>
      </w:r>
    </w:p>
    <w:p w:rsidRPr="00BB65D7"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B65D7"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BB65D7">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B65D7"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BB65D7"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BB65D7">
        <w:rPr>
          <w:rFonts w:ascii="Times New Roman" w:hAnsi="Times New Roman" w:cs="Times New Roman"/>
          <w:b/>
          <w:bCs/>
          <w:sz w:val="24"/>
          <w:szCs w:val="24"/>
          <w:lang w:val="es-PE"/>
        </w:rPr>
        <w:t xml:space="preserve">Marco Antonio Ortega Piana – </w:t>
      </w:r>
      <w:proofErr w:type="gramStart"/>
      <w:r w:rsidRPr="00BB65D7">
        <w:rPr>
          <w:rFonts w:ascii="Times New Roman" w:hAnsi="Times New Roman" w:cs="Times New Roman"/>
          <w:b/>
          <w:bCs/>
          <w:sz w:val="24"/>
          <w:szCs w:val="24"/>
          <w:lang w:val="es-PE"/>
        </w:rPr>
        <w:t>Presidente</w:t>
      </w:r>
      <w:proofErr w:type="gramEnd"/>
    </w:p>
    <w:p w:rsidRPr="00BB65D7"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BB65D7">
        <w:rPr>
          <w:rFonts w:ascii="Times New Roman" w:hAnsi="Times New Roman" w:cs="Times New Roman"/>
          <w:b/>
          <w:bCs/>
          <w:sz w:val="24"/>
          <w:szCs w:val="24"/>
          <w:lang w:val="es-PE"/>
        </w:rPr>
        <w:t xml:space="preserve">María Eugenia Valdez Fernández Baca – </w:t>
      </w:r>
      <w:r w:rsidRPr="00BB65D7" w:rsidR="001B1998">
        <w:rPr>
          <w:rFonts w:ascii="Times New Roman" w:hAnsi="Times New Roman" w:cs="Times New Roman"/>
          <w:b/>
          <w:bCs/>
          <w:sz w:val="24"/>
          <w:szCs w:val="24"/>
          <w:lang w:val="es-PE"/>
        </w:rPr>
        <w:t>Vocal</w:t>
      </w:r>
    </w:p>
    <w:p w:rsidRPr="00BB65D7"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BB65D7">
        <w:rPr>
          <w:rFonts w:ascii="Times New Roman" w:hAnsi="Times New Roman" w:cs="Times New Roman"/>
          <w:b/>
          <w:bCs/>
          <w:sz w:val="24"/>
          <w:szCs w:val="24"/>
          <w:lang w:val="es-PE"/>
        </w:rPr>
        <w:t xml:space="preserve">Rolando Eyzaguirre </w:t>
      </w:r>
      <w:proofErr w:type="spellStart"/>
      <w:r w:rsidRPr="00BB65D7">
        <w:rPr>
          <w:rFonts w:ascii="Times New Roman" w:hAnsi="Times New Roman" w:cs="Times New Roman"/>
          <w:b/>
          <w:bCs/>
          <w:sz w:val="24"/>
          <w:szCs w:val="24"/>
          <w:lang w:val="es-PE"/>
        </w:rPr>
        <w:t>Maccan</w:t>
      </w:r>
      <w:proofErr w:type="spellEnd"/>
      <w:r w:rsidRPr="00BB65D7">
        <w:rPr>
          <w:rFonts w:ascii="Times New Roman" w:hAnsi="Times New Roman" w:cs="Times New Roman"/>
          <w:b/>
          <w:bCs/>
          <w:sz w:val="24"/>
          <w:szCs w:val="24"/>
          <w:lang w:val="es-PE"/>
        </w:rPr>
        <w:t xml:space="preserve"> - Vocal</w:t>
      </w:r>
    </w:p>
    <w:p w:rsidRPr="00BB65D7"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BB65D7">
        <w:rPr>
          <w:rFonts w:ascii="Times New Roman" w:hAnsi="Times New Roman" w:cs="Times New Roman"/>
          <w:b/>
          <w:bCs/>
          <w:sz w:val="24"/>
          <w:szCs w:val="24"/>
          <w:lang w:val="es-PE"/>
        </w:rPr>
        <w:t>Gonzalo Abad del Busto – Vocal</w:t>
      </w:r>
    </w:p>
    <w:p w:rsidRPr="00BB65D7"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1966" w:rsidP="00784355" w:rsidRDefault="005A1966" w14:paraId="47AA32D6" w14:textId="77777777">
      <w:pPr>
        <w:spacing w:after="0" w:line="240" w:lineRule="auto"/>
      </w:pPr>
      <w:r>
        <w:separator/>
      </w:r>
    </w:p>
  </w:endnote>
  <w:endnote w:type="continuationSeparator" w:id="0">
    <w:p w:rsidR="005A1966" w:rsidP="00784355" w:rsidRDefault="005A1966" w14:paraId="60ADB2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1966" w:rsidP="00784355" w:rsidRDefault="005A1966" w14:paraId="24D3EC73" w14:textId="77777777">
      <w:pPr>
        <w:spacing w:after="0" w:line="240" w:lineRule="auto"/>
      </w:pPr>
      <w:r>
        <w:separator/>
      </w:r>
    </w:p>
  </w:footnote>
  <w:footnote w:type="continuationSeparator" w:id="0">
    <w:p w:rsidR="005A1966" w:rsidP="00784355" w:rsidRDefault="005A1966" w14:paraId="5A7549C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5"/>
  </w:num>
  <w:num w:numId="3" w16cid:durableId="760956054">
    <w:abstractNumId w:val="11"/>
  </w:num>
  <w:num w:numId="4" w16cid:durableId="1079518208">
    <w:abstractNumId w:val="10"/>
  </w:num>
  <w:num w:numId="5" w16cid:durableId="1198003566">
    <w:abstractNumId w:val="13"/>
  </w:num>
  <w:num w:numId="6" w16cid:durableId="1607540339">
    <w:abstractNumId w:val="0"/>
  </w:num>
  <w:num w:numId="7" w16cid:durableId="1490902120">
    <w:abstractNumId w:val="17"/>
  </w:num>
  <w:num w:numId="8" w16cid:durableId="615214413">
    <w:abstractNumId w:val="19"/>
  </w:num>
  <w:num w:numId="9" w16cid:durableId="10181194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585"/>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338"/>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7B08"/>
    <w:rsid w:val="00B928FB"/>
    <w:rsid w:val="00B93683"/>
    <w:rsid w:val="00B93C7A"/>
    <w:rsid w:val="00B956C4"/>
    <w:rsid w:val="00B95F76"/>
    <w:rsid w:val="00BA0192"/>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672"/>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516"/>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04CB7C0A"/>
    <w:rsid w:val="0F398B07"/>
    <w:rsid w:val="3730ADD1"/>
    <w:rsid w:val="40EBAAF8"/>
    <w:rsid w:val="4D426F47"/>
    <w:rsid w:val="5117CFE6"/>
    <w:rsid w:val="616A0C80"/>
    <w:rsid w:val="6F494C34"/>
    <w:rsid w:val="7279A816"/>
    <w:rsid w:val="78F0FDF8"/>
    <w:rsid w:val="79450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7806067dc0914939" Type="http://schemas.openxmlformats.org/officeDocument/2006/relationships/hyperlink" Target="http://www.defaseg.com.pe/reglament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8B4EE72-AC47-49DB-8E3E-67D93029C1BA}"/>
</file>

<file path=customXml/itemProps3.xml><?xml version="1.0" encoding="utf-8"?>
<ds:datastoreItem xmlns:ds="http://schemas.openxmlformats.org/officeDocument/2006/customXml" ds:itemID="{C3B0B453-61A8-4A88-88FC-F9254B387822}"/>
</file>

<file path=customXml/itemProps4.xml><?xml version="1.0" encoding="utf-8"?>
<ds:datastoreItem xmlns:ds="http://schemas.openxmlformats.org/officeDocument/2006/customXml" ds:itemID="{43441948-6947-4C6B-A52F-F621C9E255E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189</cp:revision>
  <cp:lastPrinted>2022-08-01T15:33:00Z</cp:lastPrinted>
  <dcterms:created xsi:type="dcterms:W3CDTF">2020-12-18T20:17:00Z</dcterms:created>
  <dcterms:modified xsi:type="dcterms:W3CDTF">2025-12-01T18:44:48Z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