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F6D7C" w:rsidR="00B10F71" w:rsidP="00041B86" w:rsidRDefault="00201C0D" w14:paraId="51974F0B" w14:textId="6ABC54C0">
      <w:pPr>
        <w:spacing w:after="0" w:line="240" w:lineRule="auto"/>
        <w:jc w:val="center"/>
        <w:rPr>
          <w:rFonts w:ascii="Times New Roman" w:hAnsi="Times New Roman" w:cs="Times New Roman"/>
          <w:b/>
          <w:sz w:val="24"/>
          <w:szCs w:val="24"/>
          <w:lang w:val="es-PE" w:eastAsia="ar-SA"/>
        </w:rPr>
      </w:pPr>
      <w:r w:rsidRPr="000F6D7C">
        <w:rPr>
          <w:rFonts w:ascii="Times New Roman" w:hAnsi="Times New Roman" w:cs="Times New Roman"/>
          <w:b/>
          <w:sz w:val="24"/>
          <w:szCs w:val="24"/>
          <w:lang w:val="es-PE" w:eastAsia="ar-SA"/>
        </w:rPr>
        <w:t xml:space="preserve">RESOLUCIÓN DE RECURSO IMPUGNATIVO </w:t>
      </w:r>
      <w:proofErr w:type="spellStart"/>
      <w:r w:rsidRPr="000F6D7C" w:rsidR="00707C99">
        <w:rPr>
          <w:rFonts w:ascii="Times New Roman" w:hAnsi="Times New Roman" w:cs="Times New Roman"/>
          <w:b/>
          <w:sz w:val="24"/>
          <w:szCs w:val="24"/>
          <w:lang w:val="es-PE" w:eastAsia="ar-SA"/>
        </w:rPr>
        <w:t>N°</w:t>
      </w:r>
      <w:proofErr w:type="spellEnd"/>
      <w:r w:rsidRPr="000F6D7C" w:rsidR="00707C99">
        <w:rPr>
          <w:rFonts w:ascii="Times New Roman" w:hAnsi="Times New Roman" w:cs="Times New Roman"/>
          <w:b/>
          <w:sz w:val="24"/>
          <w:szCs w:val="24"/>
          <w:lang w:val="es-PE" w:eastAsia="ar-SA"/>
        </w:rPr>
        <w:t xml:space="preserve"> </w:t>
      </w:r>
      <w:r w:rsidRPr="000F6D7C" w:rsidR="00C671F5">
        <w:rPr>
          <w:rFonts w:ascii="Times New Roman" w:hAnsi="Times New Roman" w:cs="Times New Roman"/>
          <w:b/>
          <w:sz w:val="24"/>
          <w:szCs w:val="24"/>
          <w:lang w:val="es-PE" w:eastAsia="ar-SA"/>
        </w:rPr>
        <w:t>0</w:t>
      </w:r>
      <w:r w:rsidRPr="000F6D7C" w:rsidR="00A200ED">
        <w:rPr>
          <w:rFonts w:ascii="Times New Roman" w:hAnsi="Times New Roman" w:cs="Times New Roman"/>
          <w:b/>
          <w:sz w:val="24"/>
          <w:szCs w:val="24"/>
          <w:lang w:val="es-PE" w:eastAsia="ar-SA"/>
        </w:rPr>
        <w:t>5</w:t>
      </w:r>
      <w:r w:rsidRPr="000F6D7C" w:rsidR="00EE7A78">
        <w:rPr>
          <w:rFonts w:ascii="Times New Roman" w:hAnsi="Times New Roman" w:cs="Times New Roman"/>
          <w:b/>
          <w:sz w:val="24"/>
          <w:szCs w:val="24"/>
          <w:lang w:val="es-PE" w:eastAsia="ar-SA"/>
        </w:rPr>
        <w:t>8</w:t>
      </w:r>
      <w:r w:rsidRPr="000F6D7C" w:rsidR="00C671F5">
        <w:rPr>
          <w:rFonts w:ascii="Times New Roman" w:hAnsi="Times New Roman" w:cs="Times New Roman"/>
          <w:b/>
          <w:sz w:val="24"/>
          <w:szCs w:val="24"/>
          <w:lang w:val="es-PE" w:eastAsia="ar-SA"/>
        </w:rPr>
        <w:t>/2</w:t>
      </w:r>
      <w:r w:rsidRPr="000F6D7C" w:rsidR="00B93C7A">
        <w:rPr>
          <w:rFonts w:ascii="Times New Roman" w:hAnsi="Times New Roman" w:cs="Times New Roman"/>
          <w:b/>
          <w:sz w:val="24"/>
          <w:szCs w:val="24"/>
          <w:lang w:val="es-PE" w:eastAsia="ar-SA"/>
        </w:rPr>
        <w:t>2</w:t>
      </w:r>
    </w:p>
    <w:p w:rsidRPr="000F6D7C" w:rsidR="000F6D7C" w:rsidP="000F6D7C" w:rsidRDefault="000F6D7C" w14:paraId="124B71E5" w14:textId="77777777">
      <w:pPr>
        <w:spacing w:after="0" w:line="240" w:lineRule="auto"/>
        <w:jc w:val="both"/>
        <w:rPr>
          <w:rFonts w:ascii="Times New Roman" w:hAnsi="Times New Roman" w:cs="Times New Roman"/>
          <w:b/>
          <w:sz w:val="24"/>
          <w:szCs w:val="24"/>
          <w:lang w:val="es-PE"/>
        </w:rPr>
      </w:pPr>
    </w:p>
    <w:p w:rsidRPr="000F6D7C" w:rsidR="000F6D7C" w:rsidP="000F6D7C" w:rsidRDefault="000F6D7C" w14:paraId="735D1975" w14:textId="77777777">
      <w:pPr>
        <w:jc w:val="both"/>
        <w:outlineLvl w:val="0"/>
        <w:rPr>
          <w:rFonts w:ascii="Times New Roman" w:hAnsi="Times New Roman" w:cs="Times New Roman"/>
          <w:b/>
          <w:bCs/>
          <w:sz w:val="24"/>
          <w:szCs w:val="24"/>
          <w:lang w:val="es-MX"/>
        </w:rPr>
      </w:pPr>
      <w:r w:rsidRPr="000F6D7C">
        <w:rPr>
          <w:rFonts w:ascii="Times New Roman" w:hAnsi="Times New Roman" w:cs="Times New Roman"/>
          <w:b/>
          <w:bCs/>
          <w:sz w:val="24"/>
          <w:szCs w:val="24"/>
          <w:lang w:val="es-MX"/>
        </w:rPr>
        <w:t>VISTOS:</w:t>
      </w:r>
    </w:p>
    <w:p w:rsidRPr="000F6D7C" w:rsidR="000F6D7C" w:rsidP="000F6D7C" w:rsidRDefault="000F6D7C" w14:paraId="55A69158" w14:textId="05505461">
      <w:pPr>
        <w:jc w:val="both"/>
        <w:outlineLvl w:val="0"/>
        <w:rPr>
          <w:rFonts w:ascii="Times New Roman" w:hAnsi="Times New Roman" w:cs="Times New Roman"/>
          <w:b w:val="1"/>
          <w:bCs w:val="1"/>
          <w:sz w:val="24"/>
          <w:szCs w:val="24"/>
          <w:lang w:val="es-MX"/>
        </w:rPr>
      </w:pPr>
      <w:r w:rsidRPr="42D1BD62" w:rsidR="000F6D7C">
        <w:rPr>
          <w:rFonts w:ascii="Times New Roman" w:hAnsi="Times New Roman" w:cs="Times New Roman"/>
          <w:sz w:val="24"/>
          <w:szCs w:val="24"/>
          <w:lang w:val="es-PE"/>
        </w:rPr>
        <w:t xml:space="preserve">El recurso de impugnación presentado por </w:t>
      </w:r>
      <w:r w:rsidRPr="42D1BD62" w:rsidR="04D0033E">
        <w:rPr>
          <w:rFonts w:ascii="Times New Roman" w:hAnsi="Times New Roman" w:cs="Times New Roman"/>
          <w:b w:val="1"/>
          <w:bCs w:val="1"/>
          <w:sz w:val="24"/>
          <w:szCs w:val="24"/>
          <w:lang w:val="es-PE"/>
        </w:rPr>
        <w:t>..................................</w:t>
      </w:r>
      <w:r w:rsidRPr="42D1BD62" w:rsidR="000F6D7C">
        <w:rPr>
          <w:rFonts w:ascii="Times New Roman" w:hAnsi="Times New Roman" w:cs="Times New Roman"/>
          <w:sz w:val="24"/>
          <w:szCs w:val="24"/>
          <w:lang w:val="es-PE"/>
        </w:rPr>
        <w:t xml:space="preserve"> respecto de la Resolución Nro. 132/22, expedida por el Órgano Resolutivo Unipersonal de esta Defensoría del Asegurado (DEFASEG), conforme a la cual se declaró FUNDADA la reclamación interpuesta por </w:t>
      </w:r>
      <w:r w:rsidRPr="42D1BD62" w:rsidR="482AEF8D">
        <w:rPr>
          <w:rFonts w:ascii="Times New Roman" w:hAnsi="Times New Roman" w:cs="Times New Roman"/>
          <w:b w:val="1"/>
          <w:bCs w:val="1"/>
          <w:sz w:val="24"/>
          <w:szCs w:val="24"/>
          <w:lang w:val="es-PE"/>
        </w:rPr>
        <w:t>...........................................................</w:t>
      </w:r>
      <w:r w:rsidRPr="42D1BD62" w:rsidR="000F6D7C">
        <w:rPr>
          <w:rFonts w:ascii="Times New Roman" w:hAnsi="Times New Roman" w:cs="Times New Roman"/>
          <w:sz w:val="24"/>
          <w:szCs w:val="24"/>
          <w:lang w:val="es-PE"/>
        </w:rPr>
        <w:t xml:space="preserve"> respecto al </w:t>
      </w:r>
      <w:r w:rsidRPr="42D1BD62" w:rsidR="000F6D7C">
        <w:rPr>
          <w:rFonts w:ascii="Times New Roman" w:hAnsi="Times New Roman" w:cs="Times New Roman"/>
          <w:b w:val="1"/>
          <w:bCs w:val="1"/>
          <w:sz w:val="24"/>
          <w:szCs w:val="24"/>
          <w:lang w:val="es-MX"/>
        </w:rPr>
        <w:t>SEGURO DE PROTECCIÓN DE TARJETA- PÓLIZA</w:t>
      </w:r>
      <w:r w:rsidRPr="42D1BD62" w:rsidR="000F6D7C">
        <w:rPr>
          <w:rFonts w:ascii="Times New Roman" w:hAnsi="Times New Roman" w:cs="Times New Roman"/>
          <w:b w:val="1"/>
          <w:bCs w:val="1"/>
          <w:sz w:val="24"/>
          <w:szCs w:val="24"/>
          <w:lang w:val="es-PE"/>
        </w:rPr>
        <w:t xml:space="preserve"> </w:t>
      </w:r>
      <w:r w:rsidRPr="42D1BD62" w:rsidR="7B40BA8B">
        <w:rPr>
          <w:rFonts w:ascii="Times New Roman" w:hAnsi="Times New Roman" w:cs="Times New Roman"/>
          <w:b w:val="1"/>
          <w:bCs w:val="1"/>
          <w:sz w:val="24"/>
          <w:szCs w:val="24"/>
          <w:lang w:val="es-PE"/>
        </w:rPr>
        <w:t>..............................</w:t>
      </w:r>
      <w:r w:rsidRPr="42D1BD62" w:rsidR="000F6D7C">
        <w:rPr>
          <w:rFonts w:ascii="Times New Roman" w:hAnsi="Times New Roman" w:cs="Times New Roman"/>
          <w:sz w:val="24"/>
          <w:szCs w:val="24"/>
          <w:lang w:val="es-PE"/>
        </w:rPr>
        <w:t>;</w:t>
      </w:r>
    </w:p>
    <w:p w:rsidRPr="000F6D7C" w:rsidR="000F6D7C" w:rsidP="000F6D7C" w:rsidRDefault="000F6D7C" w14:paraId="7222AFE9" w14:textId="0C48B912">
      <w:pPr>
        <w:pStyle w:val="Textoindependiente"/>
      </w:pPr>
      <w:r w:rsidR="000F6D7C">
        <w:rPr/>
        <w:t xml:space="preserve">Que, el indicado recurso se sustenta resumidamente en lo siguiente: a) El pronunciamiento emitido no se basa en una debida valoración de los medios probatorios y argumentos aportados por nuestra Compañía; b) conforme a lo señalado en nuestros descargos, el reclamante manifiesta haber sido víctima de un fraude informático el 12 de febrero de 2022, al haber notado transacciones no reconocidas en su APP del Banco BBVA. Asimismo, precisó que siempre mantuvo la tarjeta en su poder, es decir, que no fue víctima de robo o hurto de su tarjeta; c) mediante Carta del 08 de marzo de 2022, </w:t>
      </w:r>
      <w:r w:rsidR="77226D65">
        <w:rPr/>
        <w:t>..............................</w:t>
      </w:r>
      <w:r w:rsidR="000F6D7C">
        <w:rPr/>
        <w:t xml:space="preserve"> rechazó el reclamo del asegurado, puesto que, para que el Seguro cubra el siniestro, debía acreditarse el uso indebido de su tarjeta. Lamentablemente, el Banco constató que las operaciones supuestamente no reconocidas fueron efectuadas con presencia de todas las medidas de seguridad, lo cual no hubiese sido posible si es que el reclamante hubiese sido víctima del robo o hurto de su tarjeta; d) la supuesta operación no reconocidas se realizó desde un dispositivo móvil usual (es decir, un teléfono que ya había sido utilizado anteriormente para realizar otras operaciones reconocidas), con el ingreso de información confidencial, número de DNI, clave de acceso a la Banca por Internet y clave Token digital; e) no se ha demostrado la existencia de una definición de “uso indebido de tarjetas”. Así pues, hemos señalado claramente en nuestros descargos que se encuentra publicado en la página Web del Banco BBVA el concepto de “uso indebido” y esta definición también se encuentra en el Certificado de Seguros; f) si bien es cierto que en el supuesto de cobertura </w:t>
      </w:r>
      <w:r w:rsidR="000F6D7C">
        <w:rPr/>
        <w:t>N°</w:t>
      </w:r>
      <w:r w:rsidR="000F6D7C">
        <w:rPr/>
        <w:t xml:space="preserve"> 1 (Uso indebido) se establece expresamente que la cobertura del siniestro solo aplica en caso exista robo o hurto, a diferencia de lo señalado en el supuesto de cobertura </w:t>
      </w:r>
      <w:r w:rsidR="000F6D7C">
        <w:rPr/>
        <w:t>N°</w:t>
      </w:r>
      <w:r w:rsidR="000F6D7C">
        <w:rPr/>
        <w:t xml:space="preserve"> 4 (Uso indebido por Compra fraudulenta vía internet); es importante señalar que, en el supuesto de cobertura </w:t>
      </w:r>
      <w:r w:rsidR="000F6D7C">
        <w:rPr/>
        <w:t>N°</w:t>
      </w:r>
      <w:r w:rsidR="000F6D7C">
        <w:rPr/>
        <w:t xml:space="preserve"> 4, sobre la cual el reclamante ha solicitado cobertura, debe demostrarse que el siniestro haya sido causado utilizando la tarjeta de crédito y/o débito BBVA. 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w:t>
      </w:r>
      <w:r w:rsidR="000F6D7C">
        <w:rPr/>
        <w:t>Sin embargo, en el presente caso, el reclamante ha reconocido que, al momento en que se realizaron estas operaciones supuestamente no reconocidas, él tenía la tarjeta en su poder.</w:t>
      </w:r>
      <w:r w:rsidR="000F6D7C">
        <w:rPr/>
        <w:t xml:space="preserve"> Por lo tanto, no nos encontramos con la interpretación de la Póliza realizada por la Defensoría; g) el reclamante no ha presentado medio probatorio alguno que sustente efectivamente que fue víctima de un fraude – pese a que el Banco BBVA ha podido demostrar y argumentar los motivos por los cuales ello no habría sucedido.</w:t>
      </w:r>
    </w:p>
    <w:p w:rsidRPr="000F6D7C" w:rsidR="000F6D7C" w:rsidP="000F6D7C" w:rsidRDefault="000F6D7C" w14:paraId="37C380C5" w14:textId="77777777">
      <w:pPr>
        <w:pStyle w:val="Textoindependiente"/>
      </w:pPr>
    </w:p>
    <w:p w:rsidRPr="000F6D7C" w:rsidR="000F6D7C" w:rsidP="000F6D7C" w:rsidRDefault="000F6D7C" w14:paraId="622FDA9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0F6D7C">
        <w:rPr>
          <w:rFonts w:ascii="Times New Roman" w:hAnsi="Times New Roman" w:eastAsia="Times New Roman" w:cs="Times New Roman"/>
          <w:bCs/>
          <w:sz w:val="24"/>
          <w:szCs w:val="24"/>
          <w:lang w:val="es-MX" w:eastAsia="ar-SA"/>
        </w:rPr>
        <w:t>Que, habiéndosele corrido traslado de la señalada impugnación, a la parte reclamante, a la fecha ha vencido el plazo otorgado para que absuelva el recurso impugnatorio sin que se haya pronunciado al respecto. En consecuencia, el expediente está en condiciones para que este colegiado expida su pronunciamiento.</w:t>
      </w:r>
    </w:p>
    <w:p w:rsidRPr="000F6D7C" w:rsidR="000F6D7C" w:rsidP="000F6D7C" w:rsidRDefault="000F6D7C" w14:paraId="60E272BA" w14:textId="77777777">
      <w:pPr>
        <w:jc w:val="both"/>
        <w:rPr>
          <w:rFonts w:ascii="Times New Roman" w:hAnsi="Times New Roman" w:cs="Times New Roman"/>
          <w:b/>
          <w:sz w:val="24"/>
          <w:szCs w:val="24"/>
          <w:u w:val="single"/>
          <w:lang w:val="es-PE"/>
        </w:rPr>
      </w:pPr>
    </w:p>
    <w:p w:rsidRPr="000F6D7C" w:rsidR="000F6D7C" w:rsidP="000F6D7C" w:rsidRDefault="000F6D7C" w14:paraId="6A584486" w14:textId="77777777">
      <w:pPr>
        <w:jc w:val="both"/>
        <w:rPr>
          <w:rFonts w:ascii="Times New Roman" w:hAnsi="Times New Roman" w:cs="Times New Roman"/>
          <w:sz w:val="24"/>
          <w:szCs w:val="24"/>
          <w:lang w:val="es-PE"/>
        </w:rPr>
      </w:pPr>
      <w:r w:rsidRPr="000F6D7C">
        <w:rPr>
          <w:rFonts w:ascii="Times New Roman" w:hAnsi="Times New Roman" w:cs="Times New Roman"/>
          <w:b/>
          <w:sz w:val="24"/>
          <w:szCs w:val="24"/>
          <w:u w:val="single"/>
          <w:lang w:val="es-PE"/>
        </w:rPr>
        <w:t>PRIMERO</w:t>
      </w:r>
      <w:r w:rsidRPr="000F6D7C">
        <w:rPr>
          <w:rFonts w:ascii="Times New Roman" w:hAnsi="Times New Roman" w:cs="Times New Roman"/>
          <w:b/>
          <w:sz w:val="24"/>
          <w:szCs w:val="24"/>
          <w:lang w:val="es-PE"/>
        </w:rPr>
        <w:t>:</w:t>
      </w:r>
      <w:r w:rsidRPr="000F6D7C">
        <w:rPr>
          <w:rFonts w:ascii="Times New Roman" w:hAnsi="Times New Roman" w:cs="Times New Roman"/>
          <w:sz w:val="24"/>
          <w:szCs w:val="24"/>
          <w:lang w:val="es-PE"/>
        </w:rPr>
        <w:t xml:space="preserve"> El artículo 10 (Procedimiento) del Reglamento de la DEFASEG </w:t>
      </w:r>
      <w:r w:rsidRPr="000F6D7C">
        <w:rPr>
          <w:rFonts w:ascii="Times New Roman" w:hAnsi="Times New Roman" w:eastAsia="Arial Unicode MS" w:cs="Times New Roman"/>
          <w:sz w:val="24"/>
          <w:szCs w:val="24"/>
          <w:lang w:val="es-PE"/>
        </w:rPr>
        <w:t>(http://www.defaseg.com.pe/reglamento)</w:t>
      </w:r>
      <w:r w:rsidRPr="000F6D7C">
        <w:rPr>
          <w:rFonts w:ascii="Times New Roman" w:hAnsi="Times New Roman" w:cs="Times New Roman"/>
          <w:sz w:val="24"/>
          <w:szCs w:val="24"/>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0F6D7C" w:rsidR="000F6D7C" w:rsidP="000F6D7C" w:rsidRDefault="000F6D7C" w14:paraId="5749CBA7" w14:textId="77777777">
      <w:pPr>
        <w:jc w:val="both"/>
        <w:rPr>
          <w:rFonts w:ascii="Times New Roman" w:hAnsi="Times New Roman" w:cs="Times New Roman"/>
          <w:sz w:val="24"/>
          <w:szCs w:val="24"/>
          <w:lang w:val="es-PE"/>
        </w:rPr>
      </w:pPr>
      <w:r w:rsidRPr="000F6D7C">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0F6D7C" w:rsidR="000F6D7C" w:rsidP="000F6D7C" w:rsidRDefault="000F6D7C" w14:paraId="4516B2FD" w14:textId="77777777">
      <w:pPr>
        <w:jc w:val="both"/>
        <w:rPr>
          <w:rFonts w:ascii="Times New Roman" w:hAnsi="Times New Roman" w:cs="Times New Roman"/>
          <w:sz w:val="24"/>
          <w:szCs w:val="24"/>
          <w:highlight w:val="green"/>
          <w:lang w:val="es-PE"/>
        </w:rPr>
      </w:pPr>
      <w:r w:rsidRPr="000F6D7C">
        <w:rPr>
          <w:rFonts w:ascii="Times New Roman" w:hAnsi="Times New Roman" w:cs="Times New Roman"/>
          <w:b/>
          <w:bCs/>
          <w:sz w:val="24"/>
          <w:szCs w:val="24"/>
          <w:u w:val="single"/>
          <w:lang w:val="es-PE"/>
        </w:rPr>
        <w:t>SEGUNDO</w:t>
      </w:r>
      <w:r w:rsidRPr="000F6D7C">
        <w:rPr>
          <w:rFonts w:ascii="Times New Roman" w:hAnsi="Times New Roman" w:cs="Times New Roman"/>
          <w:b/>
          <w:bCs/>
          <w:sz w:val="24"/>
          <w:szCs w:val="24"/>
          <w:lang w:val="es-PE"/>
        </w:rPr>
        <w:t>:</w:t>
      </w:r>
      <w:r w:rsidRPr="000F6D7C">
        <w:rPr>
          <w:rFonts w:ascii="Times New Roman" w:hAnsi="Times New Roman" w:cs="Times New Roman"/>
          <w:bCs/>
          <w:sz w:val="24"/>
          <w:szCs w:val="24"/>
          <w:lang w:val="es-PE"/>
        </w:rPr>
        <w:t xml:space="preserve"> Que el recurso de impugnación presentado por la aseguradora se sustenta en señalar que </w:t>
      </w:r>
      <w:r w:rsidRPr="000F6D7C">
        <w:rPr>
          <w:rFonts w:ascii="Times New Roman" w:hAnsi="Times New Roman" w:cs="Times New Roman"/>
          <w:sz w:val="24"/>
          <w:szCs w:val="24"/>
          <w:lang w:val="es-PE"/>
        </w:rPr>
        <w:t>Para que se pueda aplicar la cobertura para casos de compras fraudulentas, no basta que solamente haya una ausencia de autorización o consentimiento del titular a la hora de realizar transacciones, sino también debe haber la necesidad de que dicha compra fraudulenta haya sido realizada mediante el uso indebido de las tarjetas de crédito o débito del asegurado; sin  embargo, el reclamante ha reconocido que cuando se realizaron las operaciones supuestamente no reconocidas, él tenía la tarjeta en su poder. Por lo tanto, no nos encontramos con la interpretación de la Póliza realizada por la Defensoría</w:t>
      </w:r>
    </w:p>
    <w:p w:rsidRPr="000F6D7C" w:rsidR="000F6D7C" w:rsidP="000F6D7C" w:rsidRDefault="000F6D7C" w14:paraId="12DD6E47" w14:textId="77777777">
      <w:pPr>
        <w:jc w:val="both"/>
        <w:rPr>
          <w:rFonts w:ascii="Times New Roman" w:hAnsi="Times New Roman" w:cs="Times New Roman"/>
          <w:sz w:val="24"/>
          <w:szCs w:val="24"/>
          <w:lang w:val="es-ES"/>
        </w:rPr>
      </w:pPr>
      <w:r w:rsidRPr="000F6D7C">
        <w:rPr>
          <w:rFonts w:ascii="Times New Roman" w:hAnsi="Times New Roman" w:cs="Times New Roman"/>
          <w:sz w:val="24"/>
          <w:szCs w:val="24"/>
          <w:lang w:val="es-PE"/>
        </w:rPr>
        <w:t xml:space="preserve">Sobre el particular, este Colegiado advierte que, la Resolución Nro. 132/22, expedida por el Órgano Resolutivo Unipersonal de esta Defensoría del Asegurado (DEFASEG), se fundamenta en que la definición de la cobertura </w:t>
      </w:r>
      <w:proofErr w:type="spellStart"/>
      <w:r w:rsidRPr="000F6D7C">
        <w:rPr>
          <w:rFonts w:ascii="Times New Roman" w:hAnsi="Times New Roman" w:cs="Times New Roman"/>
          <w:sz w:val="24"/>
          <w:szCs w:val="24"/>
          <w:lang w:val="es-PE"/>
        </w:rPr>
        <w:t>N°</w:t>
      </w:r>
      <w:proofErr w:type="spellEnd"/>
      <w:r w:rsidRPr="000F6D7C">
        <w:rPr>
          <w:rFonts w:ascii="Times New Roman" w:hAnsi="Times New Roman" w:cs="Times New Roman"/>
          <w:sz w:val="24"/>
          <w:szCs w:val="24"/>
          <w:lang w:val="es-PE"/>
        </w:rPr>
        <w:t xml:space="preserve"> 4 de compra fraudulenta vía internet mediante el uso indebido de la tarjeta, no limita el riesgo a determinadas modalidades delictivas que facilitan el uso indebido de la tarjeta, sólo condiciona que la compra haya sido sin autorización y conocimiento del asegurado. </w:t>
      </w:r>
    </w:p>
    <w:p w:rsidRPr="000F6D7C" w:rsidR="000F6D7C" w:rsidP="000F6D7C" w:rsidRDefault="000F6D7C" w14:paraId="53DC4F84" w14:textId="77777777">
      <w:pPr>
        <w:pStyle w:val="Default"/>
        <w:jc w:val="both"/>
        <w:rPr>
          <w:rFonts w:ascii="Times New Roman" w:hAnsi="Times New Roman" w:cs="Times New Roman"/>
        </w:rPr>
      </w:pPr>
      <w:r w:rsidRPr="000F6D7C">
        <w:rPr>
          <w:rFonts w:ascii="Times New Roman" w:hAnsi="Times New Roman" w:cs="Times New Roman"/>
        </w:rPr>
        <w:t xml:space="preserve">A este efecto, el Órgano Resolutorio Unipersonal verificó de las pruebas que obraban en autos, que en el certificado de seguro la descripción de la cobertura de compra fraudulenta no limitaba el supuesto de uso indebido a los casos de previo robo o hurto de la tarjeta como sostiene la aseguradora. </w:t>
      </w:r>
    </w:p>
    <w:p w:rsidRPr="000F6D7C" w:rsidR="000F6D7C" w:rsidP="000F6D7C" w:rsidRDefault="000F6D7C" w14:paraId="45E35DDC" w14:textId="77777777">
      <w:pPr>
        <w:pStyle w:val="Default"/>
        <w:jc w:val="both"/>
        <w:rPr>
          <w:rFonts w:ascii="Times New Roman" w:hAnsi="Times New Roman" w:cs="Times New Roman"/>
          <w:highlight w:val="green"/>
        </w:rPr>
      </w:pPr>
    </w:p>
    <w:p w:rsidRPr="000F6D7C" w:rsidR="000F6D7C" w:rsidP="000F6D7C" w:rsidRDefault="000F6D7C" w14:paraId="3E9491C5" w14:textId="56F630F9">
      <w:pPr>
        <w:pStyle w:val="Default"/>
        <w:jc w:val="both"/>
        <w:rPr>
          <w:rFonts w:ascii="Times New Roman" w:hAnsi="Times New Roman" w:cs="Times New Roman"/>
        </w:rPr>
      </w:pPr>
      <w:r w:rsidRPr="42D1BD62" w:rsidR="000F6D7C">
        <w:rPr>
          <w:rFonts w:ascii="Times New Roman" w:hAnsi="Times New Roman" w:cs="Times New Roman"/>
        </w:rPr>
        <w:t xml:space="preserve">Asimismo, </w:t>
      </w:r>
      <w:r w:rsidRPr="42D1BD62" w:rsidR="04D0033E">
        <w:rPr>
          <w:rFonts w:ascii="Times New Roman" w:hAnsi="Times New Roman" w:cs="Times New Roman"/>
        </w:rPr>
        <w:t>..................................</w:t>
      </w:r>
      <w:r w:rsidRPr="42D1BD62" w:rsidR="000F6D7C">
        <w:rPr>
          <w:rFonts w:ascii="Times New Roman" w:hAnsi="Times New Roman" w:cs="Times New Roman"/>
        </w:rPr>
        <w:t xml:space="preserve"> no ha presentado la póliza matriz a fin de verificar si se encuentra plasmada la definición de uso indebido que señala en su recurso impugnatorio, y así, poder ser valorado por este Colegiado.</w:t>
      </w:r>
    </w:p>
    <w:p w:rsidRPr="000F6D7C" w:rsidR="000F6D7C" w:rsidP="000F6D7C" w:rsidRDefault="000F6D7C" w14:paraId="64A90C07" w14:textId="77777777">
      <w:pPr>
        <w:pStyle w:val="Default"/>
        <w:jc w:val="both"/>
        <w:rPr>
          <w:rFonts w:ascii="Times New Roman" w:hAnsi="Times New Roman" w:cs="Times New Roman"/>
          <w:highlight w:val="green"/>
        </w:rPr>
      </w:pPr>
    </w:p>
    <w:p w:rsidRPr="000F6D7C" w:rsidR="000F6D7C" w:rsidP="000F6D7C" w:rsidRDefault="000F6D7C" w14:paraId="443F641A" w14:textId="77777777">
      <w:pPr>
        <w:pStyle w:val="Default"/>
        <w:jc w:val="both"/>
        <w:rPr>
          <w:rFonts w:ascii="Times New Roman" w:hAnsi="Times New Roman" w:cs="Times New Roman"/>
        </w:rPr>
      </w:pPr>
      <w:r w:rsidRPr="000F6D7C">
        <w:rPr>
          <w:rFonts w:ascii="Times New Roman" w:hAnsi="Times New Roman" w:cs="Times New Roman"/>
        </w:rPr>
        <w:t>En esa medida la información que obra en autos no es</w:t>
      </w:r>
      <w:r w:rsidRPr="000F6D7C">
        <w:rPr>
          <w:rFonts w:ascii="Times New Roman" w:hAnsi="Times New Roman" w:cs="Times New Roman"/>
          <w:color w:val="auto"/>
        </w:rPr>
        <w:t xml:space="preserve"> suficiente </w:t>
      </w:r>
      <w:r w:rsidRPr="000F6D7C">
        <w:rPr>
          <w:rFonts w:ascii="Times New Roman" w:hAnsi="Times New Roman" w:cs="Times New Roman"/>
        </w:rPr>
        <w:t xml:space="preserve">para generar convicción sobre la posición de la aseguradora en el presente caso. En efecto, podrían darse modificaciones a las condiciones contractuales a través del condicionado particular o de endosos, las que corresponderían evaluarlas para verificar si la interpretación que postula la impugnante es conforme a la Póliza completa. </w:t>
      </w:r>
    </w:p>
    <w:p w:rsidRPr="000F6D7C" w:rsidR="000F6D7C" w:rsidP="000F6D7C" w:rsidRDefault="000F6D7C" w14:paraId="4EF00114" w14:textId="77777777">
      <w:pPr>
        <w:pStyle w:val="Default"/>
        <w:jc w:val="both"/>
        <w:rPr>
          <w:rFonts w:ascii="Times New Roman" w:hAnsi="Times New Roman" w:cs="Times New Roman"/>
        </w:rPr>
      </w:pPr>
    </w:p>
    <w:p w:rsidRPr="000F6D7C" w:rsidR="000F6D7C" w:rsidP="000F6D7C" w:rsidRDefault="000F6D7C" w14:paraId="6866289E" w14:textId="77777777">
      <w:pPr>
        <w:jc w:val="both"/>
        <w:rPr>
          <w:rFonts w:ascii="Times New Roman" w:hAnsi="Times New Roman" w:cs="Times New Roman"/>
          <w:sz w:val="24"/>
          <w:szCs w:val="24"/>
          <w:lang w:val="es-PE"/>
        </w:rPr>
      </w:pPr>
      <w:r w:rsidRPr="000F6D7C">
        <w:rPr>
          <w:rFonts w:ascii="Times New Roman" w:hAnsi="Times New Roman" w:cs="Times New Roman"/>
          <w:b/>
          <w:sz w:val="24"/>
          <w:szCs w:val="24"/>
          <w:u w:val="single"/>
          <w:lang w:val="es-PE"/>
        </w:rPr>
        <w:t>TERCERO</w:t>
      </w:r>
      <w:r w:rsidRPr="000F6D7C">
        <w:rPr>
          <w:rFonts w:ascii="Times New Roman" w:hAnsi="Times New Roman" w:cs="Times New Roman"/>
          <w:b/>
          <w:sz w:val="24"/>
          <w:szCs w:val="24"/>
          <w:lang w:val="es-PE"/>
        </w:rPr>
        <w:t>:</w:t>
      </w:r>
      <w:r w:rsidRPr="000F6D7C">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0F6D7C" w:rsidR="000F6D7C" w:rsidP="000F6D7C" w:rsidRDefault="000F6D7C" w14:paraId="323112C3" w14:textId="77777777">
      <w:pPr>
        <w:jc w:val="both"/>
        <w:rPr>
          <w:rFonts w:ascii="Times New Roman" w:hAnsi="Times New Roman" w:cs="Times New Roman"/>
          <w:b/>
          <w:sz w:val="24"/>
          <w:szCs w:val="24"/>
          <w:lang w:val="es-PE"/>
        </w:rPr>
      </w:pPr>
      <w:r w:rsidRPr="000F6D7C">
        <w:rPr>
          <w:rFonts w:ascii="Times New Roman" w:hAnsi="Times New Roman" w:cs="Times New Roman"/>
          <w:b/>
          <w:sz w:val="24"/>
          <w:szCs w:val="24"/>
          <w:lang w:val="es-PE"/>
        </w:rPr>
        <w:t>ATENDIENDO A LO EXPRESADO, CONFORME A SU REGLAMENTO, ESTE COLEGIADO RESUELVE:</w:t>
      </w:r>
    </w:p>
    <w:p w:rsidR="000F6D7C" w:rsidP="42D1BD62" w:rsidRDefault="000F6D7C" w14:paraId="1FA982C2" w14:textId="49F5DE0D">
      <w:pPr>
        <w:pStyle w:val="Default"/>
        <w:jc w:val="both"/>
        <w:rPr>
          <w:rFonts w:ascii="Times New Roman" w:hAnsi="Times New Roman" w:cs="Times New Roman"/>
          <w:b w:val="1"/>
          <w:bCs w:val="1"/>
          <w:lang w:val="es-MX"/>
        </w:rPr>
      </w:pPr>
      <w:r w:rsidRPr="42D1BD62" w:rsidR="000F6D7C">
        <w:rPr>
          <w:rFonts w:ascii="Times New Roman" w:hAnsi="Times New Roman" w:cs="Times New Roman"/>
          <w:b w:val="1"/>
          <w:bCs w:val="1"/>
        </w:rPr>
        <w:t xml:space="preserve">DECLARAR INFUNDADO </w:t>
      </w:r>
      <w:r w:rsidRPr="42D1BD62" w:rsidR="000F6D7C">
        <w:rPr>
          <w:rFonts w:ascii="Times New Roman" w:hAnsi="Times New Roman" w:cs="Times New Roman"/>
        </w:rPr>
        <w:t>el recurso de impugnación interpuesto por</w:t>
      </w:r>
      <w:r w:rsidRPr="42D1BD62" w:rsidR="000F6D7C">
        <w:rPr>
          <w:rFonts w:ascii="Times New Roman" w:hAnsi="Times New Roman" w:cs="Times New Roman"/>
          <w:b w:val="1"/>
          <w:bCs w:val="1"/>
        </w:rPr>
        <w:t xml:space="preserve"> </w:t>
      </w:r>
      <w:r w:rsidRPr="42D1BD62" w:rsidR="04D0033E">
        <w:rPr>
          <w:rFonts w:ascii="Times New Roman" w:hAnsi="Times New Roman" w:cs="Times New Roman"/>
          <w:b w:val="1"/>
          <w:bCs w:val="1"/>
        </w:rPr>
        <w:t>..................................</w:t>
      </w:r>
      <w:r w:rsidRPr="42D1BD62" w:rsidR="000F6D7C">
        <w:rPr>
          <w:rFonts w:ascii="Times New Roman" w:hAnsi="Times New Roman" w:cs="Times New Roman"/>
          <w:b w:val="1"/>
          <w:bCs w:val="1"/>
        </w:rPr>
        <w:t xml:space="preserve"> </w:t>
      </w:r>
      <w:r w:rsidRPr="42D1BD62" w:rsidR="30CEC659">
        <w:rPr>
          <w:rFonts w:ascii="Times New Roman" w:hAnsi="Times New Roman" w:cs="Times New Roman"/>
          <w:b w:val="1"/>
          <w:bCs w:val="1"/>
        </w:rPr>
        <w:t>..............................</w:t>
      </w:r>
      <w:r w:rsidRPr="42D1BD62" w:rsidR="000F6D7C">
        <w:rPr>
          <w:rFonts w:ascii="Times New Roman" w:hAnsi="Times New Roman" w:cs="Times New Roman"/>
          <w:b w:val="1"/>
          <w:bCs w:val="1"/>
        </w:rPr>
        <w:t xml:space="preserve"> </w:t>
      </w:r>
      <w:r w:rsidRPr="42D1BD62" w:rsidR="000F6D7C">
        <w:rPr>
          <w:rFonts w:ascii="Times New Roman" w:hAnsi="Times New Roman" w:cs="Times New Roman"/>
        </w:rPr>
        <w:t>y, por consiguiente,</w:t>
      </w:r>
      <w:r w:rsidRPr="42D1BD62" w:rsidR="000F6D7C">
        <w:rPr>
          <w:rFonts w:ascii="Times New Roman" w:hAnsi="Times New Roman" w:cs="Times New Roman"/>
          <w:b w:val="1"/>
          <w:bCs w:val="1"/>
        </w:rPr>
        <w:t xml:space="preserve"> CONFIRMAR la Resolución </w:t>
      </w:r>
      <w:r w:rsidRPr="42D1BD62" w:rsidR="000F6D7C">
        <w:rPr>
          <w:rFonts w:ascii="Times New Roman" w:hAnsi="Times New Roman" w:cs="Times New Roman"/>
          <w:b w:val="1"/>
          <w:bCs w:val="1"/>
        </w:rPr>
        <w:t>N°</w:t>
      </w:r>
      <w:r w:rsidRPr="42D1BD62" w:rsidR="000F6D7C">
        <w:rPr>
          <w:rFonts w:ascii="Times New Roman" w:hAnsi="Times New Roman" w:cs="Times New Roman"/>
          <w:b w:val="1"/>
          <w:bCs w:val="1"/>
        </w:rPr>
        <w:t xml:space="preserve"> 132/22</w:t>
      </w:r>
      <w:r w:rsidRPr="42D1BD62" w:rsidR="000F6D7C">
        <w:rPr>
          <w:rFonts w:ascii="Times New Roman" w:hAnsi="Times New Roman" w:cs="Times New Roman"/>
          <w:b w:val="1"/>
          <w:bCs w:val="1"/>
          <w:lang w:val="es-MX"/>
        </w:rPr>
        <w:t>.</w:t>
      </w:r>
    </w:p>
    <w:p w:rsidRPr="000F6D7C" w:rsidR="00BA24B0" w:rsidP="000F6D7C" w:rsidRDefault="00BA24B0" w14:paraId="382A7D77" w14:textId="77777777">
      <w:pPr>
        <w:pStyle w:val="Default"/>
        <w:jc w:val="both"/>
        <w:rPr>
          <w:rFonts w:ascii="Times New Roman" w:hAnsi="Times New Roman" w:cs="Times New Roman"/>
          <w:b/>
        </w:rPr>
      </w:pPr>
    </w:p>
    <w:p w:rsidRPr="000F6D7C" w:rsidR="00C173A8" w:rsidP="00092C2E" w:rsidRDefault="00C173A8" w14:paraId="21EFD7D3" w14:textId="2CC39240">
      <w:pPr>
        <w:suppressAutoHyphens/>
        <w:spacing w:after="0" w:line="240" w:lineRule="auto"/>
        <w:jc w:val="right"/>
        <w:outlineLvl w:val="0"/>
        <w:rPr>
          <w:rFonts w:ascii="Times New Roman" w:hAnsi="Times New Roman" w:eastAsia="Arial Unicode MS" w:cs="Times New Roman"/>
          <w:sz w:val="24"/>
          <w:szCs w:val="24"/>
          <w:lang w:val="es-PE" w:eastAsia="ar-SA"/>
        </w:rPr>
      </w:pPr>
      <w:r w:rsidRPr="000F6D7C">
        <w:rPr>
          <w:rFonts w:ascii="Times New Roman" w:hAnsi="Times New Roman" w:eastAsia="Arial Unicode MS" w:cs="Times New Roman"/>
          <w:sz w:val="24"/>
          <w:szCs w:val="24"/>
          <w:lang w:val="es-PE" w:eastAsia="ar-SA"/>
        </w:rPr>
        <w:t xml:space="preserve">Lima, </w:t>
      </w:r>
      <w:r w:rsidRPr="000F6D7C" w:rsidR="006315FA">
        <w:rPr>
          <w:rFonts w:ascii="Times New Roman" w:hAnsi="Times New Roman" w:eastAsia="Arial Unicode MS" w:cs="Times New Roman"/>
          <w:sz w:val="24"/>
          <w:szCs w:val="24"/>
          <w:lang w:val="es-PE" w:eastAsia="ar-SA"/>
        </w:rPr>
        <w:t>0</w:t>
      </w:r>
      <w:r w:rsidRPr="000F6D7C" w:rsidR="00EE7A78">
        <w:rPr>
          <w:rFonts w:ascii="Times New Roman" w:hAnsi="Times New Roman" w:eastAsia="Arial Unicode MS" w:cs="Times New Roman"/>
          <w:sz w:val="24"/>
          <w:szCs w:val="24"/>
          <w:lang w:val="es-PE" w:eastAsia="ar-SA"/>
        </w:rPr>
        <w:t>5</w:t>
      </w:r>
      <w:r w:rsidRPr="000F6D7C" w:rsidR="00E72889">
        <w:rPr>
          <w:rFonts w:ascii="Times New Roman" w:hAnsi="Times New Roman" w:eastAsia="Arial Unicode MS" w:cs="Times New Roman"/>
          <w:sz w:val="24"/>
          <w:szCs w:val="24"/>
          <w:lang w:val="es-PE" w:eastAsia="ar-SA"/>
        </w:rPr>
        <w:t xml:space="preserve"> </w:t>
      </w:r>
      <w:r w:rsidRPr="000F6D7C">
        <w:rPr>
          <w:rFonts w:ascii="Times New Roman" w:hAnsi="Times New Roman" w:eastAsia="Arial Unicode MS" w:cs="Times New Roman"/>
          <w:sz w:val="24"/>
          <w:szCs w:val="24"/>
          <w:lang w:val="es-PE" w:eastAsia="ar-SA"/>
        </w:rPr>
        <w:t xml:space="preserve">de </w:t>
      </w:r>
      <w:r w:rsidRPr="000F6D7C" w:rsidR="006315FA">
        <w:rPr>
          <w:rFonts w:ascii="Times New Roman" w:hAnsi="Times New Roman" w:eastAsia="Arial Unicode MS" w:cs="Times New Roman"/>
          <w:sz w:val="24"/>
          <w:szCs w:val="24"/>
          <w:lang w:val="es-PE" w:eastAsia="ar-SA"/>
        </w:rPr>
        <w:t>agosto</w:t>
      </w:r>
      <w:r w:rsidRPr="000F6D7C">
        <w:rPr>
          <w:rFonts w:ascii="Times New Roman" w:hAnsi="Times New Roman" w:eastAsia="Arial Unicode MS" w:cs="Times New Roman"/>
          <w:sz w:val="24"/>
          <w:szCs w:val="24"/>
          <w:lang w:val="es-PE" w:eastAsia="ar-SA"/>
        </w:rPr>
        <w:t xml:space="preserve"> de 2022</w:t>
      </w:r>
      <w:r w:rsidRPr="000F6D7C">
        <w:rPr>
          <w:rFonts w:ascii="Times New Roman" w:hAnsi="Times New Roman" w:eastAsia="Times New Roman" w:cs="Times New Roman"/>
          <w:sz w:val="24"/>
          <w:szCs w:val="24"/>
          <w:lang w:val="es-PE" w:eastAsia="ar-SA"/>
        </w:rPr>
        <w:t xml:space="preserve"> </w:t>
      </w:r>
    </w:p>
    <w:p w:rsidRPr="000F6D7C"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F6D7C"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0F6D7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F6D7C"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0F6D7C"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0F6D7C">
        <w:rPr>
          <w:rFonts w:ascii="Times New Roman" w:hAnsi="Times New Roman" w:cs="Times New Roman"/>
          <w:b/>
          <w:bCs/>
          <w:sz w:val="24"/>
          <w:szCs w:val="24"/>
          <w:lang w:val="es-PE"/>
        </w:rPr>
        <w:t xml:space="preserve">Marco Antonio Ortega Piana – </w:t>
      </w:r>
      <w:proofErr w:type="gramStart"/>
      <w:r w:rsidRPr="000F6D7C">
        <w:rPr>
          <w:rFonts w:ascii="Times New Roman" w:hAnsi="Times New Roman" w:cs="Times New Roman"/>
          <w:b/>
          <w:bCs/>
          <w:sz w:val="24"/>
          <w:szCs w:val="24"/>
          <w:lang w:val="es-PE"/>
        </w:rPr>
        <w:t>Presidente</w:t>
      </w:r>
      <w:proofErr w:type="gramEnd"/>
    </w:p>
    <w:p w:rsidRPr="000F6D7C"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0F6D7C">
        <w:rPr>
          <w:rFonts w:ascii="Times New Roman" w:hAnsi="Times New Roman" w:cs="Times New Roman"/>
          <w:b/>
          <w:bCs/>
          <w:sz w:val="24"/>
          <w:szCs w:val="24"/>
          <w:lang w:val="es-PE"/>
        </w:rPr>
        <w:t xml:space="preserve">María Eugenia Valdez Fernández Baca – </w:t>
      </w:r>
      <w:r w:rsidRPr="000F6D7C" w:rsidR="001B1998">
        <w:rPr>
          <w:rFonts w:ascii="Times New Roman" w:hAnsi="Times New Roman" w:cs="Times New Roman"/>
          <w:b/>
          <w:bCs/>
          <w:sz w:val="24"/>
          <w:szCs w:val="24"/>
          <w:lang w:val="es-PE"/>
        </w:rPr>
        <w:t>Vocal</w:t>
      </w:r>
    </w:p>
    <w:p w:rsidRPr="000F6D7C"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0F6D7C">
        <w:rPr>
          <w:rFonts w:ascii="Times New Roman" w:hAnsi="Times New Roman" w:cs="Times New Roman"/>
          <w:b/>
          <w:bCs/>
          <w:sz w:val="24"/>
          <w:szCs w:val="24"/>
          <w:lang w:val="es-PE"/>
        </w:rPr>
        <w:t xml:space="preserve">Rolando Eyzaguirre </w:t>
      </w:r>
      <w:proofErr w:type="spellStart"/>
      <w:r w:rsidRPr="000F6D7C">
        <w:rPr>
          <w:rFonts w:ascii="Times New Roman" w:hAnsi="Times New Roman" w:cs="Times New Roman"/>
          <w:b/>
          <w:bCs/>
          <w:sz w:val="24"/>
          <w:szCs w:val="24"/>
          <w:lang w:val="es-PE"/>
        </w:rPr>
        <w:t>Maccan</w:t>
      </w:r>
      <w:proofErr w:type="spellEnd"/>
      <w:r w:rsidRPr="000F6D7C">
        <w:rPr>
          <w:rFonts w:ascii="Times New Roman" w:hAnsi="Times New Roman" w:cs="Times New Roman"/>
          <w:b/>
          <w:bCs/>
          <w:sz w:val="24"/>
          <w:szCs w:val="24"/>
          <w:lang w:val="es-PE"/>
        </w:rPr>
        <w:t xml:space="preserve"> - Vocal</w:t>
      </w:r>
    </w:p>
    <w:p w:rsidRPr="000F6D7C"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F6D7C">
        <w:rPr>
          <w:rFonts w:ascii="Times New Roman" w:hAnsi="Times New Roman" w:cs="Times New Roman"/>
          <w:b/>
          <w:bCs/>
          <w:sz w:val="24"/>
          <w:szCs w:val="24"/>
          <w:lang w:val="es-PE"/>
        </w:rPr>
        <w:t>Gonzalo Abad del Busto – Vocal</w:t>
      </w:r>
    </w:p>
    <w:p w:rsidRPr="000868A1"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66CE" w:rsidP="00784355" w:rsidRDefault="00D166CE" w14:paraId="35605D75" w14:textId="77777777">
      <w:pPr>
        <w:spacing w:after="0" w:line="240" w:lineRule="auto"/>
      </w:pPr>
      <w:r>
        <w:separator/>
      </w:r>
    </w:p>
  </w:endnote>
  <w:endnote w:type="continuationSeparator" w:id="0">
    <w:p w:rsidR="00D166CE" w:rsidP="00784355" w:rsidRDefault="00D166CE" w14:paraId="65585F4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66CE" w:rsidP="00784355" w:rsidRDefault="00D166CE" w14:paraId="40499D1E" w14:textId="77777777">
      <w:pPr>
        <w:spacing w:after="0" w:line="240" w:lineRule="auto"/>
      </w:pPr>
      <w:r>
        <w:separator/>
      </w:r>
    </w:p>
  </w:footnote>
  <w:footnote w:type="continuationSeparator" w:id="0">
    <w:p w:rsidR="00D166CE" w:rsidP="00784355" w:rsidRDefault="00D166CE" w14:paraId="7949C0A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5"/>
  </w:num>
  <w:num w:numId="3" w16cid:durableId="760956054">
    <w:abstractNumId w:val="11"/>
  </w:num>
  <w:num w:numId="4" w16cid:durableId="1079518208">
    <w:abstractNumId w:val="10"/>
  </w:num>
  <w:num w:numId="5" w16cid:durableId="1198003566">
    <w:abstractNumId w:val="13"/>
  </w:num>
  <w:num w:numId="6" w16cid:durableId="1607540339">
    <w:abstractNumId w:val="0"/>
  </w:num>
  <w:num w:numId="7" w16cid:durableId="1490902120">
    <w:abstractNumId w:val="17"/>
  </w:num>
  <w:num w:numId="8" w16cid:durableId="615214413">
    <w:abstractNumId w:val="19"/>
  </w:num>
  <w:num w:numId="9" w16cid:durableId="10181194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4D0033E"/>
    <w:rsid w:val="1E35E86A"/>
    <w:rsid w:val="30CEC659"/>
    <w:rsid w:val="42D1BD62"/>
    <w:rsid w:val="482AEF8D"/>
    <w:rsid w:val="69291736"/>
    <w:rsid w:val="77226D65"/>
    <w:rsid w:val="7B40BA8B"/>
    <w:rsid w:val="7BA6D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FA460B9-DF66-43EB-9154-885211298437}"/>
</file>

<file path=customXml/itemProps3.xml><?xml version="1.0" encoding="utf-8"?>
<ds:datastoreItem xmlns:ds="http://schemas.openxmlformats.org/officeDocument/2006/customXml" ds:itemID="{F62A5508-80AF-4B38-AF8E-8D63A8C72994}"/>
</file>

<file path=customXml/itemProps4.xml><?xml version="1.0" encoding="utf-8"?>
<ds:datastoreItem xmlns:ds="http://schemas.openxmlformats.org/officeDocument/2006/customXml" ds:itemID="{C4E8F964-621D-4F69-ADA8-DF9C008489F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200</cp:revision>
  <cp:lastPrinted>2022-08-05T14:12:00Z</cp:lastPrinted>
  <dcterms:created xsi:type="dcterms:W3CDTF">2020-12-18T20:17:00Z</dcterms:created>
  <dcterms:modified xsi:type="dcterms:W3CDTF">2025-12-01T20:18:58Z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