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35EB3" w:rsidR="00B10F71" w:rsidP="00041B86" w:rsidRDefault="00201C0D" w14:paraId="51974F0B" w14:textId="045B1D8C">
      <w:pPr>
        <w:spacing w:after="0" w:line="240" w:lineRule="auto"/>
        <w:jc w:val="center"/>
        <w:rPr>
          <w:rFonts w:ascii="Times New Roman" w:hAnsi="Times New Roman" w:cs="Times New Roman"/>
          <w:b/>
          <w:sz w:val="24"/>
          <w:szCs w:val="24"/>
          <w:lang w:val="es-PE" w:eastAsia="ar-SA"/>
        </w:rPr>
      </w:pPr>
      <w:r w:rsidRPr="00335EB3">
        <w:rPr>
          <w:rFonts w:ascii="Times New Roman" w:hAnsi="Times New Roman" w:cs="Times New Roman"/>
          <w:b/>
          <w:sz w:val="24"/>
          <w:szCs w:val="24"/>
          <w:lang w:val="es-PE" w:eastAsia="ar-SA"/>
        </w:rPr>
        <w:t xml:space="preserve">RESOLUCIÓN DE RECURSO IMPUGNATIVO </w:t>
      </w:r>
      <w:proofErr w:type="spellStart"/>
      <w:r w:rsidRPr="00335EB3" w:rsidR="00707C99">
        <w:rPr>
          <w:rFonts w:ascii="Times New Roman" w:hAnsi="Times New Roman" w:cs="Times New Roman"/>
          <w:b/>
          <w:sz w:val="24"/>
          <w:szCs w:val="24"/>
          <w:lang w:val="es-PE" w:eastAsia="ar-SA"/>
        </w:rPr>
        <w:t>N°</w:t>
      </w:r>
      <w:proofErr w:type="spellEnd"/>
      <w:r w:rsidRPr="00335EB3" w:rsidR="00707C99">
        <w:rPr>
          <w:rFonts w:ascii="Times New Roman" w:hAnsi="Times New Roman" w:cs="Times New Roman"/>
          <w:b/>
          <w:sz w:val="24"/>
          <w:szCs w:val="24"/>
          <w:lang w:val="es-PE" w:eastAsia="ar-SA"/>
        </w:rPr>
        <w:t xml:space="preserve"> </w:t>
      </w:r>
      <w:r w:rsidRPr="00335EB3" w:rsidR="00C671F5">
        <w:rPr>
          <w:rFonts w:ascii="Times New Roman" w:hAnsi="Times New Roman" w:cs="Times New Roman"/>
          <w:b/>
          <w:sz w:val="24"/>
          <w:szCs w:val="24"/>
          <w:lang w:val="es-PE" w:eastAsia="ar-SA"/>
        </w:rPr>
        <w:t>0</w:t>
      </w:r>
      <w:r w:rsidRPr="00335EB3" w:rsidR="009D5E36">
        <w:rPr>
          <w:rFonts w:ascii="Times New Roman" w:hAnsi="Times New Roman" w:cs="Times New Roman"/>
          <w:b/>
          <w:sz w:val="24"/>
          <w:szCs w:val="24"/>
          <w:lang w:val="es-PE" w:eastAsia="ar-SA"/>
        </w:rPr>
        <w:t>6</w:t>
      </w:r>
      <w:r w:rsidRPr="00335EB3" w:rsidR="0051503F">
        <w:rPr>
          <w:rFonts w:ascii="Times New Roman" w:hAnsi="Times New Roman" w:cs="Times New Roman"/>
          <w:b/>
          <w:sz w:val="24"/>
          <w:szCs w:val="24"/>
          <w:lang w:val="es-PE" w:eastAsia="ar-SA"/>
        </w:rPr>
        <w:t>1</w:t>
      </w:r>
      <w:r w:rsidRPr="00335EB3" w:rsidR="00C671F5">
        <w:rPr>
          <w:rFonts w:ascii="Times New Roman" w:hAnsi="Times New Roman" w:cs="Times New Roman"/>
          <w:b/>
          <w:sz w:val="24"/>
          <w:szCs w:val="24"/>
          <w:lang w:val="es-PE" w:eastAsia="ar-SA"/>
        </w:rPr>
        <w:t>/2</w:t>
      </w:r>
      <w:r w:rsidRPr="00335EB3" w:rsidR="00B93C7A">
        <w:rPr>
          <w:rFonts w:ascii="Times New Roman" w:hAnsi="Times New Roman" w:cs="Times New Roman"/>
          <w:b/>
          <w:sz w:val="24"/>
          <w:szCs w:val="24"/>
          <w:lang w:val="es-PE" w:eastAsia="ar-SA"/>
        </w:rPr>
        <w:t>2</w:t>
      </w:r>
    </w:p>
    <w:p w:rsidRPr="00335EB3" w:rsidR="00060442" w:rsidP="00060442" w:rsidRDefault="00060442" w14:paraId="3B06E0C2" w14:textId="77777777">
      <w:pPr>
        <w:suppressAutoHyphens/>
        <w:spacing w:after="0" w:line="240" w:lineRule="auto"/>
        <w:rPr>
          <w:rFonts w:ascii="Times New Roman" w:hAnsi="Times New Roman" w:eastAsia="Times New Roman" w:cs="Times New Roman"/>
          <w:b/>
          <w:bCs/>
          <w:sz w:val="24"/>
          <w:szCs w:val="24"/>
          <w:lang w:val="es-MX" w:eastAsia="ar-SA"/>
        </w:rPr>
      </w:pPr>
    </w:p>
    <w:p w:rsidRPr="00335EB3" w:rsidR="00335EB3" w:rsidP="00335EB3" w:rsidRDefault="00335EB3" w14:paraId="309F0500" w14:textId="77777777">
      <w:pPr>
        <w:spacing w:after="0" w:line="240" w:lineRule="auto"/>
        <w:jc w:val="both"/>
        <w:rPr>
          <w:rFonts w:ascii="Times New Roman" w:hAnsi="Times New Roman" w:cs="Times New Roman"/>
          <w:sz w:val="24"/>
          <w:szCs w:val="24"/>
          <w:lang w:val="es-PE"/>
        </w:rPr>
      </w:pPr>
      <w:r w:rsidRPr="00335EB3">
        <w:rPr>
          <w:rFonts w:ascii="Times New Roman" w:hAnsi="Times New Roman" w:cs="Times New Roman"/>
          <w:b/>
          <w:sz w:val="24"/>
          <w:szCs w:val="24"/>
          <w:lang w:val="es-PE"/>
        </w:rPr>
        <w:t xml:space="preserve">Vistos: </w:t>
      </w:r>
    </w:p>
    <w:p w:rsidRPr="00335EB3" w:rsidR="00335EB3" w:rsidP="00335EB3" w:rsidRDefault="00335EB3" w14:paraId="5F8F9628" w14:textId="77777777">
      <w:pPr>
        <w:spacing w:after="0" w:line="240" w:lineRule="auto"/>
        <w:jc w:val="both"/>
        <w:rPr>
          <w:rFonts w:ascii="Times New Roman" w:hAnsi="Times New Roman" w:cs="Times New Roman"/>
          <w:sz w:val="24"/>
          <w:szCs w:val="24"/>
          <w:lang w:val="es-PE"/>
        </w:rPr>
      </w:pPr>
    </w:p>
    <w:p w:rsidRPr="00335EB3" w:rsidR="00335EB3" w:rsidP="00335EB3" w:rsidRDefault="00335EB3" w14:paraId="22806F79" w14:textId="29E7EB33">
      <w:pPr>
        <w:spacing w:line="240" w:lineRule="auto"/>
        <w:jc w:val="both"/>
        <w:rPr>
          <w:rFonts w:ascii="Times New Roman" w:hAnsi="Times New Roman" w:cs="Times New Roman"/>
          <w:sz w:val="24"/>
          <w:szCs w:val="24"/>
          <w:lang w:val="es-PE"/>
        </w:rPr>
      </w:pPr>
      <w:r w:rsidRPr="5BE26725" w:rsidR="00335EB3">
        <w:rPr>
          <w:rFonts w:ascii="Times New Roman" w:hAnsi="Times New Roman" w:cs="Times New Roman"/>
          <w:sz w:val="24"/>
          <w:szCs w:val="24"/>
          <w:lang w:val="es-PE"/>
        </w:rPr>
        <w:t xml:space="preserve">El Recurso Impugnativo presentado el 26 de julio de 2022 por </w:t>
      </w:r>
      <w:r w:rsidRPr="5BE26725" w:rsidR="74EC25F7">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respecto de la Resolución </w:t>
      </w:r>
      <w:r w:rsidRPr="5BE26725" w:rsidR="00335EB3">
        <w:rPr>
          <w:rFonts w:ascii="Times New Roman" w:hAnsi="Times New Roman" w:cs="Times New Roman"/>
          <w:sz w:val="24"/>
          <w:szCs w:val="24"/>
          <w:lang w:val="es-PE"/>
        </w:rPr>
        <w:t>N°</w:t>
      </w:r>
      <w:r w:rsidRPr="5BE26725" w:rsidR="00335EB3">
        <w:rPr>
          <w:rFonts w:ascii="Times New Roman" w:hAnsi="Times New Roman" w:cs="Times New Roman"/>
          <w:sz w:val="24"/>
          <w:szCs w:val="24"/>
          <w:lang w:val="es-PE"/>
        </w:rPr>
        <w:t xml:space="preserve"> 150/22 emitida el 19 de julio de 2022 por esta Defensoría del Asegurado (DEFASEG) que declaró FUNDADA la reclamación interpuesta sobre otorgamiento de cobertura al siniestro como consecuencia del accidente de tránsito sufrido.</w:t>
      </w:r>
    </w:p>
    <w:p w:rsidRPr="00335EB3" w:rsidR="00335EB3" w:rsidP="00335EB3" w:rsidRDefault="00335EB3" w14:paraId="344140DC" w14:textId="5A5569C9">
      <w:pPr>
        <w:spacing w:line="240" w:lineRule="auto"/>
        <w:jc w:val="both"/>
        <w:rPr>
          <w:rFonts w:ascii="Times New Roman" w:hAnsi="Times New Roman" w:cs="Times New Roman"/>
          <w:sz w:val="24"/>
          <w:szCs w:val="24"/>
          <w:lang w:val="es-PE"/>
        </w:rPr>
      </w:pPr>
      <w:r w:rsidRPr="5BE26725" w:rsidR="00335EB3">
        <w:rPr>
          <w:rFonts w:ascii="Times New Roman" w:hAnsi="Times New Roman" w:cs="Times New Roman"/>
          <w:sz w:val="24"/>
          <w:szCs w:val="24"/>
          <w:lang w:val="es-PE"/>
        </w:rPr>
        <w:t xml:space="preserve">Que el señalado Recurso Impugnativo se fundamenta resumidamente en lo siguiente: 1) Que, en primer lugar, </w:t>
      </w:r>
      <w:r w:rsidRPr="5BE26725" w:rsidR="74EC25F7">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considera dejar en claro a la DEFASEG que, el presente reclamo versa sobre dos coberturas: </w:t>
      </w:r>
      <w:r w:rsidRPr="5BE26725" w:rsidR="00335EB3">
        <w:rPr>
          <w:rFonts w:ascii="Times New Roman" w:hAnsi="Times New Roman" w:cs="Times New Roman"/>
          <w:b w:val="1"/>
          <w:bCs w:val="1"/>
          <w:sz w:val="24"/>
          <w:szCs w:val="24"/>
          <w:lang w:val="es-PE"/>
        </w:rPr>
        <w:t xml:space="preserve">indemnización por fallecimiento y sepelio, </w:t>
      </w:r>
      <w:r w:rsidRPr="5BE26725" w:rsidR="00335EB3">
        <w:rPr>
          <w:rFonts w:ascii="Times New Roman" w:hAnsi="Times New Roman" w:cs="Times New Roman"/>
          <w:sz w:val="24"/>
          <w:szCs w:val="24"/>
          <w:lang w:val="es-PE"/>
        </w:rPr>
        <w:t xml:space="preserve">lo cual no ha sido debidamente precisado en la parte resolutiva de la resolución impugnada. </w:t>
      </w:r>
      <w:r w:rsidRPr="5BE26725" w:rsidR="00335EB3">
        <w:rPr>
          <w:rFonts w:ascii="Times New Roman" w:hAnsi="Times New Roman" w:cs="Times New Roman"/>
          <w:sz w:val="24"/>
          <w:szCs w:val="24"/>
          <w:lang w:val="es-PE"/>
        </w:rPr>
        <w:t xml:space="preserve">Que, en este sentido, solicita a la DEFASEG tener en cuenta que, al momento de resolver el presente reclamo, debe evaluar y emitir un pronunciamiento respecto a la cobertura de </w:t>
      </w:r>
      <w:r w:rsidRPr="5BE26725" w:rsidR="00335EB3">
        <w:rPr>
          <w:rFonts w:ascii="Times New Roman" w:hAnsi="Times New Roman" w:cs="Times New Roman"/>
          <w:b w:val="1"/>
          <w:bCs w:val="1"/>
          <w:sz w:val="24"/>
          <w:szCs w:val="24"/>
          <w:lang w:val="es-PE"/>
        </w:rPr>
        <w:t xml:space="preserve">indemnización por fallecimiento </w:t>
      </w:r>
      <w:r w:rsidRPr="5BE26725" w:rsidR="00335EB3">
        <w:rPr>
          <w:rFonts w:ascii="Times New Roman" w:hAnsi="Times New Roman" w:cs="Times New Roman"/>
          <w:sz w:val="24"/>
          <w:szCs w:val="24"/>
          <w:lang w:val="es-PE"/>
        </w:rPr>
        <w:t xml:space="preserve">y la cobertura de </w:t>
      </w:r>
      <w:r w:rsidRPr="5BE26725" w:rsidR="00335EB3">
        <w:rPr>
          <w:rFonts w:ascii="Times New Roman" w:hAnsi="Times New Roman" w:cs="Times New Roman"/>
          <w:b w:val="1"/>
          <w:bCs w:val="1"/>
          <w:sz w:val="24"/>
          <w:szCs w:val="24"/>
          <w:lang w:val="es-PE"/>
        </w:rPr>
        <w:t>sepelio.</w:t>
      </w:r>
      <w:r w:rsidRPr="5BE26725" w:rsidR="00335EB3">
        <w:rPr>
          <w:rFonts w:ascii="Times New Roman" w:hAnsi="Times New Roman" w:cs="Times New Roman"/>
          <w:b w:val="1"/>
          <w:bCs w:val="1"/>
          <w:sz w:val="24"/>
          <w:szCs w:val="24"/>
          <w:lang w:val="es-PE"/>
        </w:rPr>
        <w:t xml:space="preserve"> </w:t>
      </w:r>
      <w:r w:rsidRPr="5BE26725" w:rsidR="00335EB3">
        <w:rPr>
          <w:rFonts w:ascii="Times New Roman" w:hAnsi="Times New Roman" w:cs="Times New Roman"/>
          <w:sz w:val="24"/>
          <w:szCs w:val="24"/>
          <w:lang w:val="es-PE"/>
        </w:rPr>
        <w:t xml:space="preserve">2) Que, respecto a la solicitud de cobertura de indemnización por fallecimiento, la aseguradora reitera que, el reclamante no ha acreditado que </w:t>
      </w:r>
      <w:r w:rsidRPr="5BE26725" w:rsidR="74EC25F7">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haya denegado la misma; inclusive, en la audiencia se informó que el señor </w:t>
      </w:r>
      <w:r w:rsidRPr="5BE26725" w:rsidR="0F18F43B">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no solicitó dicha cobertura, </w:t>
      </w:r>
      <w:r w:rsidRPr="5BE26725" w:rsidR="00335EB3">
        <w:rPr>
          <w:rFonts w:ascii="Times New Roman" w:hAnsi="Times New Roman" w:cs="Times New Roman"/>
          <w:b w:val="1"/>
          <w:bCs w:val="1"/>
          <w:sz w:val="24"/>
          <w:szCs w:val="24"/>
          <w:lang w:val="es-PE"/>
        </w:rPr>
        <w:t xml:space="preserve">tan es así que, hasta la fecha no existe solicitud de cobertura de indemnización por fallecimiento presentada por el reclamante. </w:t>
      </w:r>
      <w:r w:rsidRPr="5BE26725" w:rsidR="00335EB3">
        <w:rPr>
          <w:rFonts w:ascii="Times New Roman" w:hAnsi="Times New Roman" w:cs="Times New Roman"/>
          <w:sz w:val="24"/>
          <w:szCs w:val="24"/>
          <w:lang w:val="es-PE"/>
        </w:rPr>
        <w:t xml:space="preserve">Que, en este sentido, carece de sentido que </w:t>
      </w:r>
      <w:r w:rsidRPr="5BE26725" w:rsidR="74EC25F7">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proceda a atender el reclamo de indemnización por fallecimiento, ya que el señor </w:t>
      </w:r>
      <w:r w:rsidRPr="5BE26725" w:rsidR="0F18F43B">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jamás solicitó dicha cobertura y, como consecuencia de ello, este extremo del reclamo debe ser declarado infundado. 3) Que, respecto a la cobertura por sepelio, la aseguradora reitera que, luego de revisar la documentación presentada, </w:t>
      </w:r>
      <w:r w:rsidRPr="5BE26725" w:rsidR="74EC25F7">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determinó que no correspondía otorgar dicha cobertura. Que, la DEFASEG en forma equivocada señala que la aseguradora no ha probado documentariamente que el peatón no haya sufrido un atropello y que su fallecimiento no haya sido consecuencia del mismo; sin embargo, la aseguradora ha adjuntado la denuncia policial de la Comisaría PNP de Chaclacayo, que acredita que el peatón no sufrió atropello, por el contrario, acredita que el siniestro ocurrió debido a que resbalo y cayó en la parte delantera del vehículo asegurado, configurándose la exclusión por hecho fortuito y/o extraño a la circulación del vehículo.</w:t>
      </w:r>
    </w:p>
    <w:p w:rsidRPr="00335EB3" w:rsidR="00335EB3" w:rsidP="00335EB3" w:rsidRDefault="00335EB3" w14:paraId="466211D6" w14:textId="61C51305">
      <w:pPr>
        <w:spacing w:line="240" w:lineRule="auto"/>
        <w:jc w:val="both"/>
        <w:rPr>
          <w:rFonts w:ascii="Times New Roman" w:hAnsi="Times New Roman" w:cs="Times New Roman"/>
          <w:sz w:val="24"/>
          <w:szCs w:val="24"/>
          <w:lang w:val="es-PE"/>
        </w:rPr>
      </w:pPr>
      <w:r w:rsidRPr="5BE26725" w:rsidR="00335EB3">
        <w:rPr>
          <w:rFonts w:ascii="Times New Roman" w:hAnsi="Times New Roman" w:cs="Times New Roman"/>
          <w:sz w:val="24"/>
          <w:szCs w:val="24"/>
          <w:lang w:val="es-PE"/>
        </w:rPr>
        <w:t xml:space="preserve">Que, habiéndose corrido traslado del Recurso Impugnativo enviado por la aseguradora, el reclamante manifestó lo siguiente: 1) Que, Que, la aseguradora declara que el reclamante no realizó el trámite de indemnización a la fecha que debió realizarse, pero cabe mencionar que, al momento de realizar el trámite por sepelio, hizo llamadas a la central de la compañía, ya que esta había negado el trámite por correo; en la llamada le contestó un asesor diciendo que si ya había presentado el trámite de sepelio por correo y este había sido denegado, entonces tampoco podía realizar el trámite por indemnización, ya que este también sería negado, por lo que tomó la decisión de pedir ayuda a la DEFASEG. 2) </w:t>
      </w:r>
      <w:r w:rsidRPr="5BE26725" w:rsidR="00335EB3">
        <w:rPr>
          <w:rFonts w:ascii="Times New Roman" w:hAnsi="Times New Roman" w:cs="Times New Roman"/>
          <w:sz w:val="24"/>
          <w:szCs w:val="24"/>
          <w:lang w:val="es-PE"/>
        </w:rPr>
        <w:t>Que</w:t>
      </w:r>
      <w:r w:rsidRPr="5BE26725" w:rsidR="00335EB3">
        <w:rPr>
          <w:rFonts w:ascii="Times New Roman" w:hAnsi="Times New Roman" w:cs="Times New Roman"/>
          <w:sz w:val="24"/>
          <w:szCs w:val="24"/>
          <w:lang w:val="es-PE"/>
        </w:rPr>
        <w:t xml:space="preserve">,  </w:t>
      </w:r>
      <w:r w:rsidRPr="5BE26725" w:rsidR="74EC25F7">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declara que hasta la fecha el reclamante no ha realizado el trámite de indemnización, lo cual es falso, ya que, a los días de darse la audiencia, se realizó el trámite de indemnización presentando los documentos solicitados; le envían un </w:t>
      </w:r>
      <w:r w:rsidRPr="5BE26725" w:rsidR="00335EB3">
        <w:rPr>
          <w:rFonts w:ascii="Times New Roman" w:hAnsi="Times New Roman" w:cs="Times New Roman"/>
          <w:sz w:val="24"/>
          <w:szCs w:val="24"/>
          <w:lang w:val="es-PE"/>
        </w:rPr>
        <w:t>link</w:t>
      </w:r>
      <w:r w:rsidRPr="5BE26725" w:rsidR="00335EB3">
        <w:rPr>
          <w:rFonts w:ascii="Times New Roman" w:hAnsi="Times New Roman" w:cs="Times New Roman"/>
          <w:sz w:val="24"/>
          <w:szCs w:val="24"/>
          <w:lang w:val="es-PE"/>
        </w:rPr>
        <w:t xml:space="preserve"> que está congelado y no puede enviar documentos, siendo que hasta ahora está a espera de una respuesta ya que los ha reenviado más de tres (3) veces sin tener respuesta. 3) Que, la versión de que su padre resbala, la dio el Sr. </w:t>
      </w:r>
      <w:r w:rsidRPr="5BE26725" w:rsidR="3D861C17">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porque el reclamante cree que es para su conveniencia. Que, la aseguradora declara infundada la denuncia y señala que es un caso fortuito, pero cabe mencionar que le hicieron llamadas con su abogada la Srta. </w:t>
      </w:r>
      <w:r w:rsidRPr="5BE26725" w:rsidR="24D09FF5">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pidiendo las disculpas del caso, aceptando que fue un error el rechazo de las coberturas solicitadas y enviándole una propuesta conciliatoria en la cual </w:t>
      </w:r>
      <w:r w:rsidRPr="5BE26725" w:rsidR="00335EB3">
        <w:rPr>
          <w:rFonts w:ascii="Times New Roman" w:hAnsi="Times New Roman" w:cs="Times New Roman"/>
          <w:sz w:val="24"/>
          <w:szCs w:val="24"/>
          <w:lang w:val="es-PE"/>
        </w:rPr>
        <w:t>ellos accedían a pagar solo el trámite de sepelio previa firma del reclamante, aceptando sus términos, los cuales no aceptó, ya que cree que no están respetando sus derechos.</w:t>
      </w:r>
    </w:p>
    <w:p w:rsidRPr="00335EB3" w:rsidR="00335EB3" w:rsidP="00335EB3" w:rsidRDefault="00335EB3" w14:paraId="3B531762" w14:textId="7210DBAA">
      <w:pPr>
        <w:spacing w:line="240" w:lineRule="auto"/>
        <w:jc w:val="both"/>
        <w:rPr>
          <w:rFonts w:ascii="Times New Roman" w:hAnsi="Times New Roman" w:cs="Times New Roman"/>
          <w:sz w:val="24"/>
          <w:szCs w:val="24"/>
          <w:lang w:val="es-PE"/>
        </w:rPr>
      </w:pPr>
      <w:r w:rsidRPr="5BE26725" w:rsidR="00335EB3">
        <w:rPr>
          <w:rFonts w:ascii="Times New Roman" w:hAnsi="Times New Roman" w:cs="Times New Roman"/>
          <w:sz w:val="24"/>
          <w:szCs w:val="24"/>
          <w:lang w:val="es-PE"/>
        </w:rPr>
        <w:t xml:space="preserve">Que, con fecha 10 de agosto, </w:t>
      </w:r>
      <w:r w:rsidRPr="5BE26725" w:rsidR="74EC25F7">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envió a la DEFASEG un escrito adicional en respuesta a lo indicado por el reclamante, manifestando lo siguiente: 4) Que, en primer lugar, la aseguradora reitera que, a efectos de resolver el presente caso, debe tenerse en cuenta que, el análisis y el pronunciamiento debe estar referido por un lado a la cobertura de </w:t>
      </w:r>
      <w:r w:rsidRPr="5BE26725" w:rsidR="00335EB3">
        <w:rPr>
          <w:rFonts w:ascii="Times New Roman" w:hAnsi="Times New Roman" w:cs="Times New Roman"/>
          <w:b w:val="1"/>
          <w:bCs w:val="1"/>
          <w:sz w:val="24"/>
          <w:szCs w:val="24"/>
          <w:lang w:val="es-PE"/>
        </w:rPr>
        <w:t xml:space="preserve">fallecimiento </w:t>
      </w:r>
      <w:r w:rsidRPr="5BE26725" w:rsidR="00335EB3">
        <w:rPr>
          <w:rFonts w:ascii="Times New Roman" w:hAnsi="Times New Roman" w:cs="Times New Roman"/>
          <w:sz w:val="24"/>
          <w:szCs w:val="24"/>
          <w:lang w:val="es-PE"/>
        </w:rPr>
        <w:t xml:space="preserve">y, por otro lado, a la cobertura de </w:t>
      </w:r>
      <w:r w:rsidRPr="5BE26725" w:rsidR="00335EB3">
        <w:rPr>
          <w:rFonts w:ascii="Times New Roman" w:hAnsi="Times New Roman" w:cs="Times New Roman"/>
          <w:b w:val="1"/>
          <w:bCs w:val="1"/>
          <w:sz w:val="24"/>
          <w:szCs w:val="24"/>
          <w:lang w:val="es-PE"/>
        </w:rPr>
        <w:t xml:space="preserve">sepelio. </w:t>
      </w:r>
      <w:r w:rsidRPr="5BE26725" w:rsidR="00335EB3">
        <w:rPr>
          <w:rFonts w:ascii="Times New Roman" w:hAnsi="Times New Roman" w:cs="Times New Roman"/>
          <w:sz w:val="24"/>
          <w:szCs w:val="24"/>
          <w:lang w:val="es-PE"/>
        </w:rPr>
        <w:t xml:space="preserve">Que, con respecto a la solicitud de cobertura de fallecimiento, se reitera que el reclamante no ha acreditado que </w:t>
      </w:r>
      <w:r w:rsidRPr="5BE26725" w:rsidR="74EC25F7">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haya denegado la misma, inclusive en la audiencia se acreditó que el señor </w:t>
      </w:r>
      <w:r w:rsidRPr="5BE26725" w:rsidR="0F18F43B">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no solicitó dicha cobertura. 5) Que, ahora bien, el señor </w:t>
      </w:r>
      <w:r w:rsidRPr="5BE26725" w:rsidR="0F18F43B">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señala que no realizó el trámite de cobertura de fallecimiento, debido a que uno de los asesores le habría informado que también sería denegado tal como la cobertura de sepelio, no obstante, lo cierto es que no ha quedado acreditado que los asesores le habrían informado ello, siendo una mera alegación de parte del reclamante que no debe ser tomada en cuenta al emitir pronunciamiento en ese extremo. Que, a su vez el señor </w:t>
      </w:r>
      <w:r w:rsidRPr="5BE26725" w:rsidR="0F18F43B">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señala que ha realizado el trámite de cobertura por fallecimiento ante </w:t>
      </w:r>
      <w:r w:rsidRPr="5BE26725" w:rsidR="74EC25F7">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w:t>
      </w:r>
      <w:r w:rsidRPr="5BE26725" w:rsidR="00335EB3">
        <w:rPr>
          <w:rFonts w:ascii="Times New Roman" w:hAnsi="Times New Roman" w:cs="Times New Roman"/>
          <w:b w:val="1"/>
          <w:bCs w:val="1"/>
          <w:sz w:val="24"/>
          <w:szCs w:val="24"/>
          <w:lang w:val="es-PE"/>
        </w:rPr>
        <w:t xml:space="preserve">posterior </w:t>
      </w:r>
      <w:r w:rsidRPr="5BE26725" w:rsidR="00335EB3">
        <w:rPr>
          <w:rFonts w:ascii="Times New Roman" w:hAnsi="Times New Roman" w:cs="Times New Roman"/>
          <w:sz w:val="24"/>
          <w:szCs w:val="24"/>
          <w:lang w:val="es-PE"/>
        </w:rPr>
        <w:t xml:space="preserve">a la fecha de la audiencia, sin recibir respuesta hasta la fecha. Sobre el particular, la aseguradora es enfática en señalar que lo expuesto por el reclamante no puede ser materia de evaluación por la DEFASEG, ya que se trata de un hecho posterior al inicio del presente procedimiento. El señor </w:t>
      </w:r>
      <w:r w:rsidRPr="5BE26725" w:rsidR="0F18F43B">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no puede pretender que se declare fundado su reclamo sobre la cobertura por fallecimiento, cuando al momento del reclamo no había solicitado la cobertura ni mucho menos había negativa injustificada por parte de la aseguradora. 6) Que, con respecto a la solicitud de cobertura por sepelio, se reitera que luego de la revisión de los documentos presentados por el señor </w:t>
      </w:r>
      <w:r w:rsidRPr="5BE26725" w:rsidR="0F18F43B">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w:t>
      </w:r>
      <w:r w:rsidRPr="5BE26725" w:rsidR="74EC25F7">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determinó que no correspondía otorgar dicha cobertura. Que, la exclusión corresponde a que el accidente se debió a un hecho fortuito y/o extraño a la circulación de un vehículo, conforme a lo señalado en el artículo 37 del Reglamento Nacional de Responsabilidad Civil y Seguros Obligatorios por Accidentes de Tránsito, pues en la denuncia policial de la Comisaría PNP Chaclacayo se acreditó que el padre del reclamante no sufrió un atropello, sino que el siniestro ocurrió debido a que el peatón resbaló y cayó en la parte delantera del vehículo asegurado. 7) Que, efectivamente, </w:t>
      </w:r>
      <w:r w:rsidRPr="5BE26725" w:rsidR="74EC25F7">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se comunicó con el reclamante a través de la Srta. </w:t>
      </w:r>
      <w:r w:rsidRPr="5BE26725" w:rsidR="24D09FF5">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xml:space="preserve"> a efectos de enviarle una propuesta conciliatoria, sin que ello signifique que efectivamente correspondía otorgar la cobertura por gastos de sepelio; el contacto que se </w:t>
      </w:r>
      <w:r w:rsidRPr="5BE26725" w:rsidR="00335EB3">
        <w:rPr>
          <w:rFonts w:ascii="Times New Roman" w:hAnsi="Times New Roman" w:cs="Times New Roman"/>
          <w:sz w:val="24"/>
          <w:szCs w:val="24"/>
          <w:lang w:val="es-PE"/>
        </w:rPr>
        <w:t>tuvo,</w:t>
      </w:r>
      <w:r w:rsidRPr="5BE26725" w:rsidR="00335EB3">
        <w:rPr>
          <w:rFonts w:ascii="Times New Roman" w:hAnsi="Times New Roman" w:cs="Times New Roman"/>
          <w:sz w:val="24"/>
          <w:szCs w:val="24"/>
          <w:lang w:val="es-PE"/>
        </w:rPr>
        <w:t xml:space="preserve"> fue únicamente por razones de política empresarial a efectos de no dilatar el presente procedimiento.</w:t>
      </w:r>
    </w:p>
    <w:p w:rsidRPr="00335EB3" w:rsidR="00335EB3" w:rsidP="00335EB3" w:rsidRDefault="00335EB3" w14:paraId="7DB4DFDE" w14:textId="77777777">
      <w:pPr>
        <w:spacing w:line="240" w:lineRule="auto"/>
        <w:jc w:val="both"/>
        <w:rPr>
          <w:rFonts w:ascii="Times New Roman" w:hAnsi="Times New Roman" w:cs="Times New Roman"/>
          <w:sz w:val="24"/>
          <w:szCs w:val="24"/>
          <w:lang w:val="es-PE"/>
        </w:rPr>
      </w:pPr>
      <w:r w:rsidRPr="00335EB3">
        <w:rPr>
          <w:rFonts w:ascii="Times New Roman" w:hAnsi="Times New Roman" w:cs="Times New Roman"/>
          <w:sz w:val="24"/>
          <w:szCs w:val="24"/>
          <w:lang w:val="es-PE"/>
        </w:rPr>
        <w:t>Que, atendiendo a lo expuesto, esta Defensoría resuelve finalmente lo siguiente:</w:t>
      </w:r>
    </w:p>
    <w:p w:rsidRPr="00335EB3" w:rsidR="00335EB3" w:rsidP="00335EB3" w:rsidRDefault="00335EB3" w14:paraId="1EFD3C9D" w14:textId="11906581">
      <w:pPr>
        <w:spacing w:line="240" w:lineRule="auto"/>
        <w:jc w:val="both"/>
        <w:rPr>
          <w:rFonts w:ascii="Times New Roman" w:hAnsi="Times New Roman" w:cs="Times New Roman"/>
          <w:sz w:val="24"/>
          <w:szCs w:val="24"/>
          <w:lang w:val="es-PE"/>
        </w:rPr>
      </w:pPr>
      <w:r w:rsidRPr="5BE26725" w:rsidR="00335EB3">
        <w:rPr>
          <w:rFonts w:ascii="Times New Roman" w:hAnsi="Times New Roman" w:cs="Times New Roman"/>
          <w:b w:val="1"/>
          <w:bCs w:val="1"/>
          <w:sz w:val="24"/>
          <w:szCs w:val="24"/>
          <w:lang w:val="es-PE"/>
        </w:rPr>
        <w:t>PRIMERO:</w:t>
      </w:r>
      <w:r w:rsidRPr="5BE26725" w:rsidR="00335EB3">
        <w:rPr>
          <w:rFonts w:ascii="Times New Roman" w:hAnsi="Times New Roman" w:cs="Times New Roman"/>
          <w:sz w:val="24"/>
          <w:szCs w:val="24"/>
          <w:lang w:val="es-PE"/>
        </w:rPr>
        <w:t xml:space="preserve"> Que el artículo 10 (Procedimiento) del Reglamento de la DEFASEG (</w:t>
      </w:r>
      <w:hyperlink r:id="Rc1283a207d4148eb">
        <w:r w:rsidRPr="5BE26725" w:rsidR="00335EB3">
          <w:rPr>
            <w:rStyle w:val="Hipervnculo"/>
            <w:rFonts w:ascii="Times New Roman" w:hAnsi="Times New Roman" w:cs="Times New Roman"/>
            <w:sz w:val="24"/>
            <w:szCs w:val="24"/>
            <w:lang w:val="es-PE"/>
          </w:rPr>
          <w:t>http://www.defaseg.com.pe/reglamento</w:t>
        </w:r>
      </w:hyperlink>
      <w:r w:rsidRPr="5BE26725" w:rsidR="00335EB3">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5BE26725" w:rsidR="74EC25F7">
        <w:rPr>
          <w:rFonts w:ascii="Times New Roman" w:hAnsi="Times New Roman" w:cs="Times New Roman"/>
          <w:sz w:val="24"/>
          <w:szCs w:val="24"/>
          <w:lang w:val="es-PE"/>
        </w:rPr>
        <w:t>...............................</w:t>
      </w:r>
      <w:r w:rsidRPr="5BE26725" w:rsidR="00335EB3">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335EB3" w:rsidR="00335EB3" w:rsidP="00335EB3" w:rsidRDefault="00335EB3" w14:paraId="740B1B57" w14:textId="77777777">
      <w:pPr>
        <w:spacing w:line="240" w:lineRule="auto"/>
        <w:jc w:val="both"/>
        <w:rPr>
          <w:rFonts w:ascii="Times New Roman" w:hAnsi="Times New Roman" w:cs="Times New Roman"/>
          <w:sz w:val="24"/>
          <w:szCs w:val="24"/>
          <w:lang w:val="es-PE"/>
        </w:rPr>
      </w:pPr>
      <w:r w:rsidRPr="00335EB3">
        <w:rPr>
          <w:rFonts w:ascii="Times New Roman" w:hAnsi="Times New Roman" w:cs="Times New Roman"/>
          <w:b/>
          <w:sz w:val="24"/>
          <w:szCs w:val="24"/>
          <w:lang w:val="es-PE"/>
        </w:rPr>
        <w:lastRenderedPageBreak/>
        <w:t>SEGUNDO:</w:t>
      </w:r>
      <w:r w:rsidRPr="00335EB3">
        <w:rPr>
          <w:rFonts w:ascii="Times New Roman" w:hAnsi="Times New Roman" w:cs="Times New Roman"/>
          <w:sz w:val="24"/>
          <w:szCs w:val="24"/>
          <w:lang w:val="es-PE"/>
        </w:rPr>
        <w:t xml:space="preserve"> Que, de la lectura del Recurso Impugnativo interpuesto se aprecia que la aseguradora solicita que, para el análisis del mencionado Recurso Impugnativo, se trate en forma diferenciada:</w:t>
      </w:r>
    </w:p>
    <w:p w:rsidRPr="00335EB3" w:rsidR="00335EB3" w:rsidP="00335EB3" w:rsidRDefault="00335EB3" w14:paraId="6924BD4F" w14:textId="77777777">
      <w:pPr>
        <w:pStyle w:val="Prrafodelista"/>
        <w:numPr>
          <w:ilvl w:val="0"/>
          <w:numId w:val="22"/>
        </w:numPr>
        <w:spacing w:after="200" w:line="240" w:lineRule="auto"/>
        <w:jc w:val="both"/>
        <w:rPr>
          <w:rFonts w:ascii="Times New Roman" w:hAnsi="Times New Roman" w:cs="Times New Roman"/>
          <w:sz w:val="24"/>
          <w:szCs w:val="24"/>
          <w:lang w:val="es-PE"/>
        </w:rPr>
      </w:pPr>
      <w:r w:rsidRPr="00335EB3">
        <w:rPr>
          <w:rFonts w:ascii="Times New Roman" w:hAnsi="Times New Roman" w:cs="Times New Roman"/>
          <w:sz w:val="24"/>
          <w:szCs w:val="24"/>
          <w:lang w:val="es-PE"/>
        </w:rPr>
        <w:t xml:space="preserve"> La solicitud de cobertura de Indemnización por fallecimiento.</w:t>
      </w:r>
    </w:p>
    <w:p w:rsidRPr="00335EB3" w:rsidR="00335EB3" w:rsidP="00335EB3" w:rsidRDefault="00335EB3" w14:paraId="417F5E55" w14:textId="77777777">
      <w:pPr>
        <w:pStyle w:val="Prrafodelista"/>
        <w:numPr>
          <w:ilvl w:val="0"/>
          <w:numId w:val="22"/>
        </w:numPr>
        <w:spacing w:after="200" w:line="240" w:lineRule="auto"/>
        <w:jc w:val="both"/>
        <w:rPr>
          <w:rFonts w:ascii="Times New Roman" w:hAnsi="Times New Roman" w:cs="Times New Roman"/>
          <w:sz w:val="24"/>
          <w:szCs w:val="24"/>
          <w:lang w:val="es-PE"/>
        </w:rPr>
      </w:pPr>
      <w:r w:rsidRPr="00335EB3">
        <w:rPr>
          <w:rFonts w:ascii="Times New Roman" w:hAnsi="Times New Roman" w:cs="Times New Roman"/>
          <w:sz w:val="24"/>
          <w:szCs w:val="24"/>
          <w:lang w:val="es-PE"/>
        </w:rPr>
        <w:t xml:space="preserve"> La solicitud de cobertura por Gastos de Sepelio.</w:t>
      </w:r>
    </w:p>
    <w:p w:rsidRPr="00335EB3" w:rsidR="00335EB3" w:rsidP="00335EB3" w:rsidRDefault="00335EB3" w14:paraId="4E52CC87" w14:textId="77777777">
      <w:pPr>
        <w:spacing w:line="240" w:lineRule="auto"/>
        <w:jc w:val="both"/>
        <w:rPr>
          <w:rFonts w:ascii="Times New Roman" w:hAnsi="Times New Roman" w:cs="Times New Roman"/>
          <w:sz w:val="24"/>
          <w:szCs w:val="24"/>
          <w:lang w:val="es-PE"/>
        </w:rPr>
      </w:pPr>
      <w:r w:rsidRPr="00335EB3">
        <w:rPr>
          <w:rFonts w:ascii="Times New Roman" w:hAnsi="Times New Roman" w:cs="Times New Roman"/>
          <w:sz w:val="24"/>
          <w:szCs w:val="24"/>
          <w:lang w:val="es-PE"/>
        </w:rPr>
        <w:t xml:space="preserve">Que, </w:t>
      </w:r>
      <w:proofErr w:type="gramStart"/>
      <w:r w:rsidRPr="00335EB3">
        <w:rPr>
          <w:rFonts w:ascii="Times New Roman" w:hAnsi="Times New Roman" w:cs="Times New Roman"/>
          <w:sz w:val="24"/>
          <w:szCs w:val="24"/>
          <w:lang w:val="es-PE"/>
        </w:rPr>
        <w:t>en relación a</w:t>
      </w:r>
      <w:proofErr w:type="gramEnd"/>
      <w:r w:rsidRPr="00335EB3">
        <w:rPr>
          <w:rFonts w:ascii="Times New Roman" w:hAnsi="Times New Roman" w:cs="Times New Roman"/>
          <w:sz w:val="24"/>
          <w:szCs w:val="24"/>
          <w:lang w:val="es-PE"/>
        </w:rPr>
        <w:t xml:space="preserve"> la cobertura de Indemnización por Fallecimiento, el colegiado verifica que, efectivamente, a la fecha de reclamación, contestación a la misma y de la audiencia virtual, el reclamante no había probado documentariamente que su reclamación comprendía no solamente los gastos de sepelio, sino también la indemnización por fallecimiento, por lo que, no se podía analizar un reclamo no efectuado y por lo tanto no rechazado por la aseguradora.</w:t>
      </w:r>
    </w:p>
    <w:p w:rsidRPr="00335EB3" w:rsidR="00335EB3" w:rsidP="00335EB3" w:rsidRDefault="00335EB3" w14:paraId="597D353A" w14:textId="77777777">
      <w:pPr>
        <w:spacing w:line="240" w:lineRule="auto"/>
        <w:jc w:val="both"/>
        <w:rPr>
          <w:rFonts w:ascii="Times New Roman" w:hAnsi="Times New Roman" w:cs="Times New Roman"/>
          <w:sz w:val="24"/>
          <w:szCs w:val="24"/>
          <w:lang w:val="es-PE"/>
        </w:rPr>
      </w:pPr>
      <w:r w:rsidRPr="00335EB3">
        <w:rPr>
          <w:rFonts w:ascii="Times New Roman" w:hAnsi="Times New Roman" w:cs="Times New Roman"/>
          <w:sz w:val="24"/>
          <w:szCs w:val="24"/>
          <w:lang w:val="es-PE"/>
        </w:rPr>
        <w:t xml:space="preserve">Que, </w:t>
      </w:r>
      <w:proofErr w:type="gramStart"/>
      <w:r w:rsidRPr="00335EB3">
        <w:rPr>
          <w:rFonts w:ascii="Times New Roman" w:hAnsi="Times New Roman" w:cs="Times New Roman"/>
          <w:sz w:val="24"/>
          <w:szCs w:val="24"/>
          <w:lang w:val="es-PE"/>
        </w:rPr>
        <w:t>en relación a</w:t>
      </w:r>
      <w:proofErr w:type="gramEnd"/>
      <w:r w:rsidRPr="00335EB3">
        <w:rPr>
          <w:rFonts w:ascii="Times New Roman" w:hAnsi="Times New Roman" w:cs="Times New Roman"/>
          <w:sz w:val="24"/>
          <w:szCs w:val="24"/>
          <w:lang w:val="es-PE"/>
        </w:rPr>
        <w:t xml:space="preserve"> la cobertura de Gastos de Sepelio, la DEFASEG ratifica que, en el documento policial remitido por la aseguradora, se expresa literalmente lo siguiente:</w:t>
      </w:r>
    </w:p>
    <w:p w:rsidRPr="00335EB3" w:rsidR="00335EB3" w:rsidP="5BE26725" w:rsidRDefault="00335EB3" w14:paraId="336FD846" w14:textId="0EDE8F81">
      <w:pPr>
        <w:spacing w:after="0" w:line="240" w:lineRule="auto"/>
        <w:jc w:val="both"/>
        <w:rPr>
          <w:rFonts w:ascii="Times New Roman" w:hAnsi="Times New Roman" w:cs="Times New Roman"/>
          <w:b w:val="1"/>
          <w:bCs w:val="1"/>
          <w:i w:val="1"/>
          <w:iCs w:val="1"/>
          <w:sz w:val="24"/>
          <w:szCs w:val="24"/>
          <w:lang w:val="es-PE"/>
        </w:rPr>
      </w:pPr>
      <w:r w:rsidRPr="5BE26725" w:rsidR="00335EB3">
        <w:rPr>
          <w:rFonts w:ascii="Times New Roman" w:hAnsi="Times New Roman" w:cs="Times New Roman"/>
          <w:sz w:val="24"/>
          <w:szCs w:val="24"/>
          <w:lang w:val="es-PE"/>
        </w:rPr>
        <w:t>“</w:t>
      </w:r>
      <w:r w:rsidRPr="5BE26725" w:rsidR="00335EB3">
        <w:rPr>
          <w:rFonts w:ascii="Times New Roman" w:hAnsi="Times New Roman" w:cs="Times New Roman"/>
          <w:b w:val="1"/>
          <w:bCs w:val="1"/>
          <w:i w:val="1"/>
          <w:iCs w:val="1"/>
          <w:sz w:val="24"/>
          <w:szCs w:val="24"/>
          <w:lang w:val="es-PE"/>
        </w:rPr>
        <w:t xml:space="preserve">“(…) el vehículo de rodaje </w:t>
      </w:r>
      <w:r w:rsidRPr="5BE26725" w:rsidR="3D999D0D">
        <w:rPr>
          <w:rFonts w:ascii="Times New Roman" w:hAnsi="Times New Roman" w:cs="Times New Roman"/>
          <w:b w:val="1"/>
          <w:bCs w:val="1"/>
          <w:i w:val="1"/>
          <w:iCs w:val="1"/>
          <w:sz w:val="24"/>
          <w:szCs w:val="24"/>
          <w:lang w:val="es-PE"/>
        </w:rPr>
        <w:t>.................</w:t>
      </w:r>
      <w:r w:rsidRPr="5BE26725" w:rsidR="00335EB3">
        <w:rPr>
          <w:rFonts w:ascii="Times New Roman" w:hAnsi="Times New Roman" w:cs="Times New Roman"/>
          <w:b w:val="1"/>
          <w:bCs w:val="1"/>
          <w:i w:val="1"/>
          <w:iCs w:val="1"/>
          <w:sz w:val="24"/>
          <w:szCs w:val="24"/>
          <w:lang w:val="es-PE"/>
        </w:rPr>
        <w:t xml:space="preserve">, conducido por el señor </w:t>
      </w:r>
      <w:r w:rsidRPr="5BE26725" w:rsidR="13F0062D">
        <w:rPr>
          <w:rFonts w:ascii="Times New Roman" w:hAnsi="Times New Roman" w:cs="Times New Roman"/>
          <w:b w:val="1"/>
          <w:bCs w:val="1"/>
          <w:i w:val="1"/>
          <w:iCs w:val="1"/>
          <w:sz w:val="24"/>
          <w:szCs w:val="24"/>
          <w:lang w:val="es-PE"/>
        </w:rPr>
        <w:t>.............................................</w:t>
      </w:r>
      <w:r w:rsidRPr="5BE26725" w:rsidR="00335EB3">
        <w:rPr>
          <w:rFonts w:ascii="Times New Roman" w:hAnsi="Times New Roman" w:cs="Times New Roman"/>
          <w:b w:val="1"/>
          <w:bCs w:val="1"/>
          <w:i w:val="1"/>
          <w:iCs w:val="1"/>
          <w:sz w:val="24"/>
          <w:szCs w:val="24"/>
          <w:lang w:val="es-PE"/>
        </w:rPr>
        <w:t>, el mismo que refiere que en circunstancias que se desplazaba a unos 15 kilómetros por hora, un peatón de la tercera edad pasó y se resbaló cayendo en la parte delante de su vehículo, por lo que bajó para poder ayudarlo, (…)”</w:t>
      </w:r>
    </w:p>
    <w:p w:rsidRPr="00335EB3" w:rsidR="00335EB3" w:rsidP="00335EB3" w:rsidRDefault="00335EB3" w14:paraId="64C8C5FA" w14:textId="77777777">
      <w:pPr>
        <w:spacing w:after="0" w:line="240" w:lineRule="auto"/>
        <w:jc w:val="both"/>
        <w:rPr>
          <w:rFonts w:ascii="Times New Roman" w:hAnsi="Times New Roman" w:cs="Times New Roman"/>
          <w:b/>
          <w:bCs/>
          <w:i/>
          <w:iCs/>
          <w:sz w:val="24"/>
          <w:szCs w:val="24"/>
          <w:lang w:val="es-PE"/>
        </w:rPr>
      </w:pPr>
    </w:p>
    <w:p w:rsidRPr="00335EB3" w:rsidR="00335EB3" w:rsidP="00335EB3" w:rsidRDefault="00335EB3" w14:paraId="055FEBC7" w14:textId="77777777">
      <w:pPr>
        <w:spacing w:after="0" w:line="240" w:lineRule="auto"/>
        <w:jc w:val="both"/>
        <w:rPr>
          <w:rFonts w:ascii="Times New Roman" w:hAnsi="Times New Roman" w:cs="Times New Roman"/>
          <w:sz w:val="24"/>
          <w:szCs w:val="24"/>
          <w:lang w:val="es-PE"/>
        </w:rPr>
      </w:pPr>
      <w:r w:rsidRPr="00335EB3">
        <w:rPr>
          <w:rFonts w:ascii="Times New Roman" w:hAnsi="Times New Roman" w:cs="Times New Roman"/>
          <w:sz w:val="24"/>
          <w:szCs w:val="24"/>
          <w:lang w:val="es-PE"/>
        </w:rPr>
        <w:t>Lo que prueba que el fallecimiento ocurrió como consecuencia de un accidente de tránsito</w:t>
      </w:r>
    </w:p>
    <w:p w:rsidRPr="00335EB3" w:rsidR="00335EB3" w:rsidP="00335EB3" w:rsidRDefault="00335EB3" w14:paraId="4BE4F09B" w14:textId="77777777">
      <w:pPr>
        <w:spacing w:line="240" w:lineRule="auto"/>
        <w:jc w:val="both"/>
        <w:rPr>
          <w:rFonts w:ascii="Times New Roman" w:hAnsi="Times New Roman" w:cs="Times New Roman"/>
          <w:sz w:val="24"/>
          <w:szCs w:val="24"/>
          <w:lang w:val="es-PE"/>
        </w:rPr>
      </w:pPr>
    </w:p>
    <w:p w:rsidRPr="00335EB3" w:rsidR="00335EB3" w:rsidP="00335EB3" w:rsidRDefault="00335EB3" w14:paraId="28EF56CE" w14:textId="77777777">
      <w:pPr>
        <w:spacing w:line="240" w:lineRule="auto"/>
        <w:jc w:val="both"/>
        <w:rPr>
          <w:rFonts w:ascii="Times New Roman" w:hAnsi="Times New Roman" w:cs="Times New Roman"/>
          <w:sz w:val="24"/>
          <w:szCs w:val="24"/>
          <w:lang w:val="es-PE"/>
        </w:rPr>
      </w:pPr>
      <w:r w:rsidRPr="00335EB3">
        <w:rPr>
          <w:rFonts w:ascii="Times New Roman" w:hAnsi="Times New Roman" w:cs="Times New Roman"/>
          <w:sz w:val="24"/>
          <w:szCs w:val="24"/>
          <w:lang w:val="es-PE"/>
        </w:rPr>
        <w:t>Que, en atención a las consideraciones precedentes, este colegiado,</w:t>
      </w:r>
    </w:p>
    <w:p w:rsidRPr="00335EB3" w:rsidR="00335EB3" w:rsidP="00335EB3" w:rsidRDefault="00335EB3" w14:paraId="00E1F747" w14:textId="77777777">
      <w:pPr>
        <w:spacing w:line="240" w:lineRule="auto"/>
        <w:jc w:val="both"/>
        <w:rPr>
          <w:rFonts w:ascii="Times New Roman" w:hAnsi="Times New Roman" w:cs="Times New Roman"/>
          <w:b/>
          <w:sz w:val="24"/>
          <w:szCs w:val="24"/>
          <w:lang w:val="es-PE"/>
        </w:rPr>
      </w:pPr>
      <w:r w:rsidRPr="00335EB3">
        <w:rPr>
          <w:rFonts w:ascii="Times New Roman" w:hAnsi="Times New Roman" w:cs="Times New Roman"/>
          <w:b/>
          <w:sz w:val="24"/>
          <w:szCs w:val="24"/>
          <w:lang w:val="es-PE"/>
        </w:rPr>
        <w:t xml:space="preserve">RESUELVE: </w:t>
      </w:r>
    </w:p>
    <w:p w:rsidRPr="00335EB3" w:rsidR="00335EB3" w:rsidP="00335EB3" w:rsidRDefault="00335EB3" w14:paraId="77D81B7B" w14:textId="77777777">
      <w:pPr>
        <w:spacing w:line="240" w:lineRule="auto"/>
        <w:jc w:val="both"/>
        <w:rPr>
          <w:rFonts w:ascii="Times New Roman" w:hAnsi="Times New Roman" w:cs="Times New Roman"/>
          <w:sz w:val="24"/>
          <w:szCs w:val="24"/>
          <w:lang w:val="es-PE"/>
        </w:rPr>
      </w:pPr>
      <w:r w:rsidRPr="00335EB3">
        <w:rPr>
          <w:rFonts w:ascii="Times New Roman" w:hAnsi="Times New Roman" w:cs="Times New Roman"/>
          <w:sz w:val="24"/>
          <w:szCs w:val="24"/>
          <w:lang w:val="es-PE"/>
        </w:rPr>
        <w:t xml:space="preserve">Declarar </w:t>
      </w:r>
      <w:r w:rsidRPr="00335EB3">
        <w:rPr>
          <w:rFonts w:ascii="Times New Roman" w:hAnsi="Times New Roman" w:cs="Times New Roman"/>
          <w:b/>
          <w:sz w:val="24"/>
          <w:szCs w:val="24"/>
          <w:lang w:val="es-PE"/>
        </w:rPr>
        <w:t>FUNDADO</w:t>
      </w:r>
      <w:r w:rsidRPr="00335EB3">
        <w:rPr>
          <w:rFonts w:ascii="Times New Roman" w:hAnsi="Times New Roman" w:cs="Times New Roman"/>
          <w:sz w:val="24"/>
          <w:szCs w:val="24"/>
          <w:lang w:val="es-PE"/>
        </w:rPr>
        <w:t xml:space="preserve"> el Recurso Impugnativo interpuesto </w:t>
      </w:r>
      <w:proofErr w:type="gramStart"/>
      <w:r w:rsidRPr="00335EB3">
        <w:rPr>
          <w:rFonts w:ascii="Times New Roman" w:hAnsi="Times New Roman" w:cs="Times New Roman"/>
          <w:sz w:val="24"/>
          <w:szCs w:val="24"/>
          <w:lang w:val="es-PE"/>
        </w:rPr>
        <w:t>en relación a</w:t>
      </w:r>
      <w:proofErr w:type="gramEnd"/>
      <w:r w:rsidRPr="00335EB3">
        <w:rPr>
          <w:rFonts w:ascii="Times New Roman" w:hAnsi="Times New Roman" w:cs="Times New Roman"/>
          <w:sz w:val="24"/>
          <w:szCs w:val="24"/>
          <w:lang w:val="es-PE"/>
        </w:rPr>
        <w:t xml:space="preserve"> la Cobertura de Indemnización por Fallecimiento e </w:t>
      </w:r>
      <w:r w:rsidRPr="00335EB3">
        <w:rPr>
          <w:rFonts w:ascii="Times New Roman" w:hAnsi="Times New Roman" w:cs="Times New Roman"/>
          <w:b/>
          <w:bCs/>
          <w:sz w:val="24"/>
          <w:szCs w:val="24"/>
          <w:lang w:val="es-PE"/>
        </w:rPr>
        <w:t xml:space="preserve">INFUNDADO </w:t>
      </w:r>
      <w:r w:rsidRPr="00335EB3">
        <w:rPr>
          <w:rFonts w:ascii="Times New Roman" w:hAnsi="Times New Roman" w:cs="Times New Roman"/>
          <w:sz w:val="24"/>
          <w:szCs w:val="24"/>
          <w:lang w:val="es-PE"/>
        </w:rPr>
        <w:t>el mencionado Recurso Impugnativo interpuesto en relación a la Cobertura de gastos de Sepelio, dejando a salvo el derecho del reclamante de acudir a otras instancias que considere pertinentes.</w:t>
      </w:r>
    </w:p>
    <w:p w:rsidRPr="00335EB3" w:rsidR="0051503F" w:rsidP="00060442" w:rsidRDefault="0051503F" w14:paraId="49CEE7E5" w14:textId="77777777">
      <w:pPr>
        <w:spacing w:after="0" w:line="240" w:lineRule="auto"/>
        <w:jc w:val="both"/>
        <w:rPr>
          <w:rFonts w:ascii="Times New Roman" w:hAnsi="Times New Roman" w:cs="Times New Roman"/>
          <w:bCs/>
          <w:sz w:val="24"/>
          <w:szCs w:val="24"/>
          <w:lang w:val="es-ES"/>
        </w:rPr>
      </w:pPr>
    </w:p>
    <w:p w:rsidRPr="00335EB3" w:rsidR="00C173A8" w:rsidP="00092C2E" w:rsidRDefault="00C173A8" w14:paraId="21EFD7D3" w14:textId="408AC5C2">
      <w:pPr>
        <w:suppressAutoHyphens/>
        <w:spacing w:after="0" w:line="240" w:lineRule="auto"/>
        <w:jc w:val="right"/>
        <w:outlineLvl w:val="0"/>
        <w:rPr>
          <w:rFonts w:ascii="Times New Roman" w:hAnsi="Times New Roman" w:eastAsia="Arial Unicode MS" w:cs="Times New Roman"/>
          <w:sz w:val="24"/>
          <w:szCs w:val="24"/>
          <w:lang w:val="es-PE" w:eastAsia="ar-SA"/>
        </w:rPr>
      </w:pPr>
      <w:r w:rsidRPr="00335EB3">
        <w:rPr>
          <w:rFonts w:ascii="Times New Roman" w:hAnsi="Times New Roman" w:eastAsia="Arial Unicode MS" w:cs="Times New Roman"/>
          <w:sz w:val="24"/>
          <w:szCs w:val="24"/>
          <w:lang w:val="es-PE" w:eastAsia="ar-SA"/>
        </w:rPr>
        <w:t xml:space="preserve">Lima, </w:t>
      </w:r>
      <w:r w:rsidRPr="00335EB3" w:rsidR="009D5E36">
        <w:rPr>
          <w:rFonts w:ascii="Times New Roman" w:hAnsi="Times New Roman" w:eastAsia="Arial Unicode MS" w:cs="Times New Roman"/>
          <w:sz w:val="24"/>
          <w:szCs w:val="24"/>
          <w:lang w:val="es-PE" w:eastAsia="ar-SA"/>
        </w:rPr>
        <w:t>22</w:t>
      </w:r>
      <w:r w:rsidRPr="00335EB3" w:rsidR="00E72889">
        <w:rPr>
          <w:rFonts w:ascii="Times New Roman" w:hAnsi="Times New Roman" w:eastAsia="Arial Unicode MS" w:cs="Times New Roman"/>
          <w:sz w:val="24"/>
          <w:szCs w:val="24"/>
          <w:lang w:val="es-PE" w:eastAsia="ar-SA"/>
        </w:rPr>
        <w:t xml:space="preserve"> </w:t>
      </w:r>
      <w:r w:rsidRPr="00335EB3">
        <w:rPr>
          <w:rFonts w:ascii="Times New Roman" w:hAnsi="Times New Roman" w:eastAsia="Arial Unicode MS" w:cs="Times New Roman"/>
          <w:sz w:val="24"/>
          <w:szCs w:val="24"/>
          <w:lang w:val="es-PE" w:eastAsia="ar-SA"/>
        </w:rPr>
        <w:t xml:space="preserve">de </w:t>
      </w:r>
      <w:r w:rsidRPr="00335EB3" w:rsidR="006315FA">
        <w:rPr>
          <w:rFonts w:ascii="Times New Roman" w:hAnsi="Times New Roman" w:eastAsia="Arial Unicode MS" w:cs="Times New Roman"/>
          <w:sz w:val="24"/>
          <w:szCs w:val="24"/>
          <w:lang w:val="es-PE" w:eastAsia="ar-SA"/>
        </w:rPr>
        <w:t>agosto</w:t>
      </w:r>
      <w:r w:rsidRPr="00335EB3">
        <w:rPr>
          <w:rFonts w:ascii="Times New Roman" w:hAnsi="Times New Roman" w:eastAsia="Arial Unicode MS" w:cs="Times New Roman"/>
          <w:sz w:val="24"/>
          <w:szCs w:val="24"/>
          <w:lang w:val="es-PE" w:eastAsia="ar-SA"/>
        </w:rPr>
        <w:t xml:space="preserve"> de 2022</w:t>
      </w:r>
      <w:r w:rsidRPr="00335EB3">
        <w:rPr>
          <w:rFonts w:ascii="Times New Roman" w:hAnsi="Times New Roman" w:eastAsia="Times New Roman" w:cs="Times New Roman"/>
          <w:sz w:val="24"/>
          <w:szCs w:val="24"/>
          <w:lang w:val="es-PE" w:eastAsia="ar-SA"/>
        </w:rPr>
        <w:t xml:space="preserve"> </w:t>
      </w:r>
    </w:p>
    <w:p w:rsidRPr="00335EB3"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335EB3" w:rsidR="00C173A8" w:rsidP="00C5766A" w:rsidRDefault="00C173A8" w14:paraId="1F888041" w14:textId="5D928D7D">
      <w:pPr>
        <w:spacing w:after="0" w:line="240" w:lineRule="auto"/>
        <w:jc w:val="both"/>
        <w:rPr>
          <w:rFonts w:ascii="Times New Roman" w:hAnsi="Times New Roman" w:cs="Times New Roman"/>
          <w:b/>
          <w:bCs/>
          <w:i/>
          <w:iCs/>
          <w:sz w:val="24"/>
          <w:szCs w:val="24"/>
          <w:lang w:val="es-PE"/>
        </w:rPr>
      </w:pPr>
      <w:r w:rsidRPr="00335EB3">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335EB3" w:rsidR="0008494F" w:rsidP="00C5766A" w:rsidRDefault="0008494F" w14:paraId="5A4AC9FA" w14:textId="77777777">
      <w:pPr>
        <w:spacing w:after="0" w:line="240" w:lineRule="auto"/>
        <w:jc w:val="both"/>
        <w:rPr>
          <w:rFonts w:ascii="Times New Roman" w:hAnsi="Times New Roman" w:cs="Times New Roman"/>
          <w:b/>
          <w:bCs/>
          <w:i/>
          <w:iCs/>
          <w:sz w:val="24"/>
          <w:szCs w:val="24"/>
          <w:lang w:val="es-PE"/>
        </w:rPr>
      </w:pPr>
    </w:p>
    <w:p w:rsidRPr="00335EB3"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335EB3">
        <w:rPr>
          <w:rFonts w:ascii="Times New Roman" w:hAnsi="Times New Roman" w:cs="Times New Roman"/>
          <w:b/>
          <w:bCs/>
          <w:sz w:val="24"/>
          <w:szCs w:val="24"/>
          <w:lang w:val="es-PE"/>
        </w:rPr>
        <w:t xml:space="preserve">Marco Antonio Ortega Piana – </w:t>
      </w:r>
      <w:proofErr w:type="gramStart"/>
      <w:r w:rsidRPr="00335EB3">
        <w:rPr>
          <w:rFonts w:ascii="Times New Roman" w:hAnsi="Times New Roman" w:cs="Times New Roman"/>
          <w:b/>
          <w:bCs/>
          <w:sz w:val="24"/>
          <w:szCs w:val="24"/>
          <w:lang w:val="es-PE"/>
        </w:rPr>
        <w:t>Presidente</w:t>
      </w:r>
      <w:proofErr w:type="gramEnd"/>
    </w:p>
    <w:p w:rsidRPr="00335EB3"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335EB3">
        <w:rPr>
          <w:rFonts w:ascii="Times New Roman" w:hAnsi="Times New Roman" w:cs="Times New Roman"/>
          <w:b/>
          <w:bCs/>
          <w:sz w:val="24"/>
          <w:szCs w:val="24"/>
          <w:lang w:val="es-PE"/>
        </w:rPr>
        <w:t xml:space="preserve">María Eugenia Valdez Fernández Baca – </w:t>
      </w:r>
      <w:r w:rsidRPr="00335EB3" w:rsidR="001B1998">
        <w:rPr>
          <w:rFonts w:ascii="Times New Roman" w:hAnsi="Times New Roman" w:cs="Times New Roman"/>
          <w:b/>
          <w:bCs/>
          <w:sz w:val="24"/>
          <w:szCs w:val="24"/>
          <w:lang w:val="es-PE"/>
        </w:rPr>
        <w:t>Vocal</w:t>
      </w:r>
    </w:p>
    <w:p w:rsidRPr="00335EB3"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335EB3">
        <w:rPr>
          <w:rFonts w:ascii="Times New Roman" w:hAnsi="Times New Roman" w:cs="Times New Roman"/>
          <w:b/>
          <w:bCs/>
          <w:sz w:val="24"/>
          <w:szCs w:val="24"/>
          <w:lang w:val="es-PE"/>
        </w:rPr>
        <w:t xml:space="preserve">Rolando Eyzaguirre </w:t>
      </w:r>
      <w:proofErr w:type="spellStart"/>
      <w:r w:rsidRPr="00335EB3">
        <w:rPr>
          <w:rFonts w:ascii="Times New Roman" w:hAnsi="Times New Roman" w:cs="Times New Roman"/>
          <w:b/>
          <w:bCs/>
          <w:sz w:val="24"/>
          <w:szCs w:val="24"/>
          <w:lang w:val="es-PE"/>
        </w:rPr>
        <w:t>Maccan</w:t>
      </w:r>
      <w:proofErr w:type="spellEnd"/>
      <w:r w:rsidRPr="00335EB3">
        <w:rPr>
          <w:rFonts w:ascii="Times New Roman" w:hAnsi="Times New Roman" w:cs="Times New Roman"/>
          <w:b/>
          <w:bCs/>
          <w:sz w:val="24"/>
          <w:szCs w:val="24"/>
          <w:lang w:val="es-PE"/>
        </w:rPr>
        <w:t xml:space="preserve"> - Vocal</w:t>
      </w:r>
    </w:p>
    <w:p w:rsidRPr="00335EB3"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335EB3">
        <w:rPr>
          <w:rFonts w:ascii="Times New Roman" w:hAnsi="Times New Roman" w:cs="Times New Roman"/>
          <w:b/>
          <w:bCs/>
          <w:sz w:val="24"/>
          <w:szCs w:val="24"/>
          <w:lang w:val="es-PE"/>
        </w:rPr>
        <w:t>Gonzalo Abad del Busto – Vocal</w:t>
      </w:r>
    </w:p>
    <w:p w:rsidRPr="00453EEA"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868A1"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868A1"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D1A6C" w:rsidP="00784355" w:rsidRDefault="005D1A6C" w14:paraId="1FBF4D96" w14:textId="77777777">
      <w:pPr>
        <w:spacing w:after="0" w:line="240" w:lineRule="auto"/>
      </w:pPr>
      <w:r>
        <w:separator/>
      </w:r>
    </w:p>
  </w:endnote>
  <w:endnote w:type="continuationSeparator" w:id="0">
    <w:p w:rsidR="005D1A6C" w:rsidP="00784355" w:rsidRDefault="005D1A6C" w14:paraId="4DB9327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D1A6C" w:rsidP="00784355" w:rsidRDefault="005D1A6C" w14:paraId="4FFF28A3" w14:textId="77777777">
      <w:pPr>
        <w:spacing w:after="0" w:line="240" w:lineRule="auto"/>
      </w:pPr>
      <w:r>
        <w:separator/>
      </w:r>
    </w:p>
  </w:footnote>
  <w:footnote w:type="continuationSeparator" w:id="0">
    <w:p w:rsidR="005D1A6C" w:rsidP="00784355" w:rsidRDefault="005D1A6C" w14:paraId="09440F4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8AF3105"/>
    <w:multiLevelType w:val="hybridMultilevel"/>
    <w:tmpl w:val="A52E57C4"/>
    <w:lvl w:ilvl="0" w:tplc="CFC2E21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AFF5C09"/>
    <w:multiLevelType w:val="hybridMultilevel"/>
    <w:tmpl w:val="1C0C4390"/>
    <w:lvl w:ilvl="0" w:tplc="C2DAC3C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3D828A6"/>
    <w:multiLevelType w:val="hybridMultilevel"/>
    <w:tmpl w:val="54244186"/>
    <w:lvl w:ilvl="0" w:tplc="D5106BB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6"/>
  </w:num>
  <w:num w:numId="3" w16cid:durableId="760956054">
    <w:abstractNumId w:val="12"/>
  </w:num>
  <w:num w:numId="4" w16cid:durableId="1079518208">
    <w:abstractNumId w:val="11"/>
  </w:num>
  <w:num w:numId="5" w16cid:durableId="1198003566">
    <w:abstractNumId w:val="14"/>
  </w:num>
  <w:num w:numId="6" w16cid:durableId="1607540339">
    <w:abstractNumId w:val="0"/>
  </w:num>
  <w:num w:numId="7" w16cid:durableId="1490902120">
    <w:abstractNumId w:val="18"/>
  </w:num>
  <w:num w:numId="8" w16cid:durableId="615214413">
    <w:abstractNumId w:val="20"/>
  </w:num>
  <w:num w:numId="9" w16cid:durableId="10181194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081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2158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4848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1499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186962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442"/>
    <w:rsid w:val="000608AB"/>
    <w:rsid w:val="00063183"/>
    <w:rsid w:val="0006548C"/>
    <w:rsid w:val="0006754B"/>
    <w:rsid w:val="00070DB6"/>
    <w:rsid w:val="00071A25"/>
    <w:rsid w:val="00076E73"/>
    <w:rsid w:val="00077B6F"/>
    <w:rsid w:val="00080A9A"/>
    <w:rsid w:val="000835CB"/>
    <w:rsid w:val="00083D69"/>
    <w:rsid w:val="00083F50"/>
    <w:rsid w:val="00084148"/>
    <w:rsid w:val="0008494F"/>
    <w:rsid w:val="000868A1"/>
    <w:rsid w:val="00092684"/>
    <w:rsid w:val="00092C2E"/>
    <w:rsid w:val="0009634E"/>
    <w:rsid w:val="000A5666"/>
    <w:rsid w:val="000A5CAA"/>
    <w:rsid w:val="000B19A0"/>
    <w:rsid w:val="000B58D8"/>
    <w:rsid w:val="000C0585"/>
    <w:rsid w:val="000C0734"/>
    <w:rsid w:val="000C3D6F"/>
    <w:rsid w:val="000D7664"/>
    <w:rsid w:val="000F6340"/>
    <w:rsid w:val="000F6D7C"/>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D7773"/>
    <w:rsid w:val="002E1221"/>
    <w:rsid w:val="002E17F9"/>
    <w:rsid w:val="002E72CC"/>
    <w:rsid w:val="002F09CA"/>
    <w:rsid w:val="002F35F0"/>
    <w:rsid w:val="002F376A"/>
    <w:rsid w:val="00303302"/>
    <w:rsid w:val="003045E3"/>
    <w:rsid w:val="00311A83"/>
    <w:rsid w:val="003156E0"/>
    <w:rsid w:val="0032132E"/>
    <w:rsid w:val="00335EB3"/>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1004"/>
    <w:rsid w:val="003A3661"/>
    <w:rsid w:val="003A3F8C"/>
    <w:rsid w:val="003B348C"/>
    <w:rsid w:val="003B3A93"/>
    <w:rsid w:val="003B41F7"/>
    <w:rsid w:val="003B798E"/>
    <w:rsid w:val="003D09A9"/>
    <w:rsid w:val="003D2FC4"/>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53EEA"/>
    <w:rsid w:val="00460338"/>
    <w:rsid w:val="00460C30"/>
    <w:rsid w:val="00465FB9"/>
    <w:rsid w:val="00466302"/>
    <w:rsid w:val="0047370C"/>
    <w:rsid w:val="0047522D"/>
    <w:rsid w:val="00476BA1"/>
    <w:rsid w:val="00477C29"/>
    <w:rsid w:val="00490F9F"/>
    <w:rsid w:val="00496A1A"/>
    <w:rsid w:val="004A3E25"/>
    <w:rsid w:val="004B51ED"/>
    <w:rsid w:val="004B5ED8"/>
    <w:rsid w:val="004C43FC"/>
    <w:rsid w:val="004C51EC"/>
    <w:rsid w:val="004C5A91"/>
    <w:rsid w:val="004C62B3"/>
    <w:rsid w:val="004E65DD"/>
    <w:rsid w:val="004F549E"/>
    <w:rsid w:val="005009EF"/>
    <w:rsid w:val="00504C79"/>
    <w:rsid w:val="0051503F"/>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82D"/>
    <w:rsid w:val="005B22E6"/>
    <w:rsid w:val="005B2924"/>
    <w:rsid w:val="005B3A2D"/>
    <w:rsid w:val="005B54CD"/>
    <w:rsid w:val="005C3D63"/>
    <w:rsid w:val="005C524E"/>
    <w:rsid w:val="005C5AB9"/>
    <w:rsid w:val="005C78E4"/>
    <w:rsid w:val="005D1A6C"/>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46120"/>
    <w:rsid w:val="00754DAC"/>
    <w:rsid w:val="00757955"/>
    <w:rsid w:val="00767EE3"/>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087D"/>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51E3"/>
    <w:rsid w:val="008D67A4"/>
    <w:rsid w:val="008D6AFE"/>
    <w:rsid w:val="008D6DDF"/>
    <w:rsid w:val="008F1161"/>
    <w:rsid w:val="008F27EF"/>
    <w:rsid w:val="008F479E"/>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2052"/>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5E36"/>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5806"/>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AF"/>
    <w:rsid w:val="00B503C7"/>
    <w:rsid w:val="00B56649"/>
    <w:rsid w:val="00B618FF"/>
    <w:rsid w:val="00B625F2"/>
    <w:rsid w:val="00B663DC"/>
    <w:rsid w:val="00B710D8"/>
    <w:rsid w:val="00B73629"/>
    <w:rsid w:val="00B7466E"/>
    <w:rsid w:val="00B779BD"/>
    <w:rsid w:val="00B8021E"/>
    <w:rsid w:val="00B8028F"/>
    <w:rsid w:val="00B8087B"/>
    <w:rsid w:val="00B81382"/>
    <w:rsid w:val="00B833BE"/>
    <w:rsid w:val="00B87B08"/>
    <w:rsid w:val="00B928FB"/>
    <w:rsid w:val="00B93683"/>
    <w:rsid w:val="00B93C7A"/>
    <w:rsid w:val="00B956C4"/>
    <w:rsid w:val="00B95F76"/>
    <w:rsid w:val="00BA0192"/>
    <w:rsid w:val="00BA24B0"/>
    <w:rsid w:val="00BB11B5"/>
    <w:rsid w:val="00BB2152"/>
    <w:rsid w:val="00BB2BE0"/>
    <w:rsid w:val="00BB405B"/>
    <w:rsid w:val="00BB40EE"/>
    <w:rsid w:val="00BB65D7"/>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672"/>
    <w:rsid w:val="00C52848"/>
    <w:rsid w:val="00C5766A"/>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55D6"/>
    <w:rsid w:val="00CF78D3"/>
    <w:rsid w:val="00D01EFF"/>
    <w:rsid w:val="00D10B27"/>
    <w:rsid w:val="00D12CFF"/>
    <w:rsid w:val="00D14B84"/>
    <w:rsid w:val="00D156AF"/>
    <w:rsid w:val="00D16367"/>
    <w:rsid w:val="00D166CE"/>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DF79AA"/>
    <w:rsid w:val="00E02516"/>
    <w:rsid w:val="00E02C4A"/>
    <w:rsid w:val="00E107CA"/>
    <w:rsid w:val="00E1216B"/>
    <w:rsid w:val="00E1477F"/>
    <w:rsid w:val="00E16C63"/>
    <w:rsid w:val="00E20C5F"/>
    <w:rsid w:val="00E22EBE"/>
    <w:rsid w:val="00E25348"/>
    <w:rsid w:val="00E25D54"/>
    <w:rsid w:val="00E30E76"/>
    <w:rsid w:val="00E341F5"/>
    <w:rsid w:val="00E35FEA"/>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EE7A78"/>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0134"/>
    <w:rsid w:val="00FB4B0C"/>
    <w:rsid w:val="00FB4CAB"/>
    <w:rsid w:val="00FC0D10"/>
    <w:rsid w:val="00FC1934"/>
    <w:rsid w:val="00FC619D"/>
    <w:rsid w:val="00FD2CA3"/>
    <w:rsid w:val="00FE38F0"/>
    <w:rsid w:val="00FE43A9"/>
    <w:rsid w:val="00FF03CE"/>
    <w:rsid w:val="00FF41F3"/>
    <w:rsid w:val="00FF456B"/>
    <w:rsid w:val="0F18F43B"/>
    <w:rsid w:val="13F0062D"/>
    <w:rsid w:val="24D09FF5"/>
    <w:rsid w:val="35B09D47"/>
    <w:rsid w:val="3D861C17"/>
    <w:rsid w:val="3D999D0D"/>
    <w:rsid w:val="42F6AC5B"/>
    <w:rsid w:val="4584DA78"/>
    <w:rsid w:val="4D239F91"/>
    <w:rsid w:val="5BE26725"/>
    <w:rsid w:val="72D81FD7"/>
    <w:rsid w:val="74EC2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280188470">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7913641">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141896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083339947">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09566349">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181953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002439">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c1283a207d4148eb" Type="http://schemas.openxmlformats.org/officeDocument/2006/relationships/hyperlink" Target="http://www.defaseg.com.pe/reglamento" TargetMode="Externa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845A26B-7E2E-459B-A1D2-988833BEE032}"/>
</file>

<file path=customXml/itemProps3.xml><?xml version="1.0" encoding="utf-8"?>
<ds:datastoreItem xmlns:ds="http://schemas.openxmlformats.org/officeDocument/2006/customXml" ds:itemID="{0B0207FD-B0C7-44FC-AC46-F127AF57ABE9}"/>
</file>

<file path=customXml/itemProps4.xml><?xml version="1.0" encoding="utf-8"?>
<ds:datastoreItem xmlns:ds="http://schemas.openxmlformats.org/officeDocument/2006/customXml" ds:itemID="{A257C883-4F5A-4B4B-A4ED-B3D4C8EB49B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209</cp:revision>
  <cp:lastPrinted>2022-08-22T21:56:00Z</cp:lastPrinted>
  <dcterms:created xsi:type="dcterms:W3CDTF">2020-12-18T20:17:00Z</dcterms:created>
  <dcterms:modified xsi:type="dcterms:W3CDTF">2025-12-01T20:26:38Z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