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65E5A" w:rsidR="00B10F71" w:rsidP="00041B86" w:rsidRDefault="00201C0D" w14:paraId="51974F0B" w14:textId="26E460E7">
      <w:pPr>
        <w:spacing w:after="0" w:line="240" w:lineRule="auto"/>
        <w:jc w:val="center"/>
        <w:rPr>
          <w:rFonts w:ascii="Times New Roman" w:hAnsi="Times New Roman" w:cs="Times New Roman"/>
          <w:b/>
          <w:sz w:val="24"/>
          <w:szCs w:val="24"/>
          <w:lang w:val="es-PE" w:eastAsia="ar-SA"/>
        </w:rPr>
      </w:pPr>
      <w:r w:rsidRPr="00565E5A">
        <w:rPr>
          <w:rFonts w:ascii="Times New Roman" w:hAnsi="Times New Roman" w:cs="Times New Roman"/>
          <w:b/>
          <w:sz w:val="24"/>
          <w:szCs w:val="24"/>
          <w:lang w:val="es-PE" w:eastAsia="ar-SA"/>
        </w:rPr>
        <w:t xml:space="preserve">RESOLUCIÓN DE RECURSO IMPUGNATIVO </w:t>
      </w:r>
      <w:proofErr w:type="spellStart"/>
      <w:r w:rsidRPr="00565E5A" w:rsidR="00707C99">
        <w:rPr>
          <w:rFonts w:ascii="Times New Roman" w:hAnsi="Times New Roman" w:cs="Times New Roman"/>
          <w:b/>
          <w:sz w:val="24"/>
          <w:szCs w:val="24"/>
          <w:lang w:val="es-PE" w:eastAsia="ar-SA"/>
        </w:rPr>
        <w:t>N°</w:t>
      </w:r>
      <w:proofErr w:type="spellEnd"/>
      <w:r w:rsidRPr="00565E5A" w:rsidR="00707C99">
        <w:rPr>
          <w:rFonts w:ascii="Times New Roman" w:hAnsi="Times New Roman" w:cs="Times New Roman"/>
          <w:b/>
          <w:sz w:val="24"/>
          <w:szCs w:val="24"/>
          <w:lang w:val="es-PE" w:eastAsia="ar-SA"/>
        </w:rPr>
        <w:t xml:space="preserve"> </w:t>
      </w:r>
      <w:r w:rsidRPr="00565E5A" w:rsidR="00C671F5">
        <w:rPr>
          <w:rFonts w:ascii="Times New Roman" w:hAnsi="Times New Roman" w:cs="Times New Roman"/>
          <w:b/>
          <w:sz w:val="24"/>
          <w:szCs w:val="24"/>
          <w:lang w:val="es-PE" w:eastAsia="ar-SA"/>
        </w:rPr>
        <w:t>0</w:t>
      </w:r>
      <w:r w:rsidRPr="00565E5A" w:rsidR="009D5E36">
        <w:rPr>
          <w:rFonts w:ascii="Times New Roman" w:hAnsi="Times New Roman" w:cs="Times New Roman"/>
          <w:b/>
          <w:sz w:val="24"/>
          <w:szCs w:val="24"/>
          <w:lang w:val="es-PE" w:eastAsia="ar-SA"/>
        </w:rPr>
        <w:t>6</w:t>
      </w:r>
      <w:r w:rsidRPr="00565E5A" w:rsidR="00CF4728">
        <w:rPr>
          <w:rFonts w:ascii="Times New Roman" w:hAnsi="Times New Roman" w:cs="Times New Roman"/>
          <w:b/>
          <w:sz w:val="24"/>
          <w:szCs w:val="24"/>
          <w:lang w:val="es-PE" w:eastAsia="ar-SA"/>
        </w:rPr>
        <w:t>2</w:t>
      </w:r>
      <w:r w:rsidRPr="00565E5A" w:rsidR="00C671F5">
        <w:rPr>
          <w:rFonts w:ascii="Times New Roman" w:hAnsi="Times New Roman" w:cs="Times New Roman"/>
          <w:b/>
          <w:sz w:val="24"/>
          <w:szCs w:val="24"/>
          <w:lang w:val="es-PE" w:eastAsia="ar-SA"/>
        </w:rPr>
        <w:t>/2</w:t>
      </w:r>
      <w:r w:rsidRPr="00565E5A" w:rsidR="00B93C7A">
        <w:rPr>
          <w:rFonts w:ascii="Times New Roman" w:hAnsi="Times New Roman" w:cs="Times New Roman"/>
          <w:b/>
          <w:sz w:val="24"/>
          <w:szCs w:val="24"/>
          <w:lang w:val="es-PE" w:eastAsia="ar-SA"/>
        </w:rPr>
        <w:t>2</w:t>
      </w:r>
    </w:p>
    <w:p w:rsidRPr="00565E5A"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565E5A" w:rsidR="00565E5A" w:rsidP="00565E5A" w:rsidRDefault="00565E5A" w14:paraId="57BD53A3"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565E5A">
        <w:rPr>
          <w:rFonts w:ascii="Times New Roman" w:hAnsi="Times New Roman" w:eastAsia="Times New Roman" w:cs="Times New Roman"/>
          <w:b/>
          <w:bCs/>
          <w:sz w:val="24"/>
          <w:szCs w:val="24"/>
          <w:lang w:val="es-MX" w:eastAsia="ar-SA"/>
        </w:rPr>
        <w:t>Vistos:</w:t>
      </w:r>
    </w:p>
    <w:p w:rsidRPr="00565E5A" w:rsidR="00565E5A" w:rsidP="00565E5A" w:rsidRDefault="00565E5A" w14:paraId="153E7D6B"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565E5A">
        <w:rPr>
          <w:rFonts w:ascii="Times New Roman" w:hAnsi="Times New Roman" w:eastAsia="Times New Roman" w:cs="Times New Roman"/>
          <w:b/>
          <w:bCs/>
          <w:sz w:val="24"/>
          <w:szCs w:val="24"/>
          <w:lang w:val="es-MX" w:eastAsia="ar-SA"/>
        </w:rPr>
        <w:t xml:space="preserve">   </w:t>
      </w:r>
    </w:p>
    <w:p w:rsidRPr="00565E5A" w:rsidR="00565E5A" w:rsidP="00565E5A" w:rsidRDefault="00565E5A" w14:paraId="195E2640" w14:textId="41B8961F">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32E2F5F6" w:rsidR="00565E5A">
        <w:rPr>
          <w:rFonts w:ascii="Times New Roman" w:hAnsi="Times New Roman" w:eastAsia="Times New Roman" w:cs="Times New Roman"/>
          <w:sz w:val="24"/>
          <w:szCs w:val="24"/>
          <w:lang w:val="es-ES" w:eastAsia="ar-SA"/>
        </w:rPr>
        <w:t>El recurso de impugnación presentado por</w:t>
      </w:r>
      <w:r w:rsidRPr="32E2F5F6" w:rsidR="00565E5A">
        <w:rPr>
          <w:rFonts w:ascii="Times New Roman" w:hAnsi="Times New Roman" w:cs="Times New Roman"/>
          <w:sz w:val="24"/>
          <w:szCs w:val="24"/>
          <w:lang w:val="es-ES"/>
        </w:rPr>
        <w:t xml:space="preserve"> </w:t>
      </w:r>
      <w:r w:rsidRPr="32E2F5F6" w:rsidR="200D6BDA">
        <w:rPr>
          <w:rFonts w:ascii="Times New Roman" w:hAnsi="Times New Roman" w:cs="Times New Roman"/>
          <w:sz w:val="24"/>
          <w:szCs w:val="24"/>
          <w:lang w:val="es-ES"/>
        </w:rPr>
        <w:t>.........................................</w:t>
      </w:r>
      <w:r w:rsidRPr="32E2F5F6" w:rsidR="00565E5A">
        <w:rPr>
          <w:rFonts w:ascii="Times New Roman" w:hAnsi="Times New Roman" w:cs="Times New Roman"/>
          <w:sz w:val="24"/>
          <w:szCs w:val="24"/>
          <w:lang w:val="es-ES"/>
        </w:rPr>
        <w:t xml:space="preserve"> </w:t>
      </w:r>
      <w:r w:rsidRPr="32E2F5F6" w:rsidR="00565E5A">
        <w:rPr>
          <w:rFonts w:ascii="Times New Roman" w:hAnsi="Times New Roman" w:eastAsia="Times New Roman" w:cs="Times New Roman"/>
          <w:sz w:val="24"/>
          <w:szCs w:val="24"/>
          <w:lang w:val="es-ES" w:eastAsia="ar-SA"/>
        </w:rPr>
        <w:t xml:space="preserve">respecto de la Resolución Nro. 163/22, de fecha 03 de agosto de 2022, emitida esta Defensoría del Asegurado (DEFASEG), que declaró FUNDADA la reclamación interpuesta por </w:t>
      </w:r>
      <w:r w:rsidRPr="32E2F5F6" w:rsidR="5E6C8901">
        <w:rPr>
          <w:rFonts w:ascii="Times New Roman" w:hAnsi="Times New Roman" w:eastAsia="Times New Roman" w:cs="Times New Roman"/>
          <w:sz w:val="24"/>
          <w:szCs w:val="24"/>
          <w:lang w:val="es-ES" w:eastAsia="ar-SA"/>
        </w:rPr>
        <w:t>.........................................</w:t>
      </w:r>
      <w:r w:rsidRPr="32E2F5F6" w:rsidR="00565E5A">
        <w:rPr>
          <w:rFonts w:ascii="Times New Roman" w:hAnsi="Times New Roman" w:eastAsia="Times New Roman" w:cs="Times New Roman"/>
          <w:sz w:val="24"/>
          <w:szCs w:val="24"/>
          <w:lang w:val="es-ES" w:eastAsia="ar-SA"/>
        </w:rPr>
        <w:t xml:space="preserve"> respecto del siniestro que </w:t>
      </w:r>
      <w:r w:rsidRPr="32E2F5F6" w:rsidR="00565E5A">
        <w:rPr>
          <w:rFonts w:ascii="Times New Roman" w:hAnsi="Times New Roman" w:eastAsia="Times New Roman" w:cs="Times New Roman"/>
          <w:sz w:val="24"/>
          <w:szCs w:val="24"/>
          <w:lang w:val="es-PE" w:eastAsia="ar-SA"/>
        </w:rPr>
        <w:t xml:space="preserve">afectó a la máquina retro excavadora marca </w:t>
      </w:r>
      <w:r w:rsidRPr="32E2F5F6" w:rsidR="5266E0D3">
        <w:rPr>
          <w:rFonts w:ascii="Times New Roman" w:hAnsi="Times New Roman" w:eastAsia="Times New Roman" w:cs="Times New Roman"/>
          <w:sz w:val="24"/>
          <w:szCs w:val="24"/>
          <w:lang w:val="es-PE" w:eastAsia="ar-SA"/>
        </w:rPr>
        <w:t>.....................</w:t>
      </w:r>
      <w:r w:rsidRPr="32E2F5F6" w:rsidR="00565E5A">
        <w:rPr>
          <w:rFonts w:ascii="Times New Roman" w:hAnsi="Times New Roman" w:eastAsia="Times New Roman" w:cs="Times New Roman"/>
          <w:sz w:val="24"/>
          <w:szCs w:val="24"/>
          <w:lang w:val="es-PE" w:eastAsia="ar-SA"/>
        </w:rPr>
        <w:t xml:space="preserve">, modelo </w:t>
      </w:r>
      <w:r w:rsidRPr="32E2F5F6" w:rsidR="4177F776">
        <w:rPr>
          <w:rFonts w:ascii="Times New Roman" w:hAnsi="Times New Roman" w:eastAsia="Times New Roman" w:cs="Times New Roman"/>
          <w:sz w:val="24"/>
          <w:szCs w:val="24"/>
          <w:lang w:val="es-PE" w:eastAsia="ar-SA"/>
        </w:rPr>
        <w:t>............</w:t>
      </w:r>
      <w:r w:rsidRPr="32E2F5F6" w:rsidR="00565E5A">
        <w:rPr>
          <w:rFonts w:ascii="Times New Roman" w:hAnsi="Times New Roman" w:eastAsia="Times New Roman" w:cs="Times New Roman"/>
          <w:sz w:val="24"/>
          <w:szCs w:val="24"/>
          <w:lang w:val="es-PE" w:eastAsia="ar-SA"/>
        </w:rPr>
        <w:t xml:space="preserve"> año de fabricación 2014, serie </w:t>
      </w:r>
      <w:r w:rsidRPr="32E2F5F6" w:rsidR="279BF8B3">
        <w:rPr>
          <w:rFonts w:ascii="Times New Roman" w:hAnsi="Times New Roman" w:eastAsia="Times New Roman" w:cs="Times New Roman"/>
          <w:sz w:val="24"/>
          <w:szCs w:val="24"/>
          <w:lang w:val="es-PE" w:eastAsia="ar-SA"/>
        </w:rPr>
        <w:t>.....................</w:t>
      </w:r>
      <w:r w:rsidRPr="32E2F5F6" w:rsidR="00565E5A">
        <w:rPr>
          <w:rFonts w:ascii="Times New Roman" w:hAnsi="Times New Roman" w:eastAsia="Times New Roman" w:cs="Times New Roman"/>
          <w:sz w:val="24"/>
          <w:szCs w:val="24"/>
          <w:lang w:val="es-PE" w:eastAsia="ar-SA"/>
        </w:rPr>
        <w:t xml:space="preserve">, conforme al contrato de seguro patrimonial </w:t>
      </w:r>
      <w:r w:rsidRPr="32E2F5F6" w:rsidR="469637CF">
        <w:rPr>
          <w:rFonts w:ascii="Times New Roman" w:hAnsi="Times New Roman" w:eastAsia="Times New Roman" w:cs="Times New Roman"/>
          <w:sz w:val="24"/>
          <w:szCs w:val="24"/>
          <w:lang w:val="es-PE" w:eastAsia="ar-SA"/>
        </w:rPr>
        <w:t>..............................</w:t>
      </w:r>
      <w:r w:rsidRPr="32E2F5F6" w:rsidR="00565E5A">
        <w:rPr>
          <w:rFonts w:ascii="Times New Roman" w:hAnsi="Times New Roman" w:eastAsia="Times New Roman" w:cs="Times New Roman"/>
          <w:sz w:val="24"/>
          <w:szCs w:val="24"/>
          <w:lang w:val="es-ES" w:eastAsia="ar-SA"/>
        </w:rPr>
        <w:t>;</w:t>
      </w:r>
    </w:p>
    <w:p w:rsidRPr="00565E5A" w:rsidR="00565E5A" w:rsidP="00565E5A" w:rsidRDefault="00565E5A" w14:paraId="4BEE1774"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565E5A" w:rsidR="00565E5A" w:rsidP="00565E5A" w:rsidRDefault="00565E5A" w14:paraId="08068B72"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565E5A">
        <w:rPr>
          <w:rFonts w:ascii="Times New Roman" w:hAnsi="Times New Roman" w:eastAsia="Times New Roman" w:cs="Times New Roman"/>
          <w:bCs/>
          <w:sz w:val="24"/>
          <w:szCs w:val="24"/>
          <w:lang w:val="es-MX" w:eastAsia="ar-SA"/>
        </w:rPr>
        <w:t>Que, a través del señalado recurso, la aseguradora expresa su discrepancia con lo señalado por la Defensoría pues considera que no se ha tenido en cuenta que la cláusula adicional de traslado por sus propios medios es sólo para cuando la máquina está en el lugar de operaciones trabajando en obra, en este caso el robo ocurrió cuando el vehículo estaba en una vía pública, no en la zona de operaciones, dirigiéndose hacia la zona de operaciones El Triunfo, aunque la póliza señale más de una zona de operaciones no es físicamente posible que la máquina pueda realizar labores en todas al mismo tiempo, sino que se hace de manera continua, finalizada una, iniciaría otra; y, de acuerdo a lo indicado y acreditado al momento del siniestro la zona de operaciones era El Triunfo, por lo que respecto de dicho lugar la máquina no gozaba de cobertura según los términos de la póliza, por lo que solicitan revocar la resolución impugnada.</w:t>
      </w:r>
    </w:p>
    <w:p w:rsidRPr="00565E5A" w:rsidR="00565E5A" w:rsidP="00565E5A" w:rsidRDefault="00565E5A" w14:paraId="7E2040C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65E5A" w:rsidR="00565E5A" w:rsidP="00565E5A" w:rsidRDefault="00565E5A" w14:paraId="3661B3C9"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565E5A">
        <w:rPr>
          <w:rFonts w:ascii="Times New Roman" w:hAnsi="Times New Roman" w:eastAsia="Times New Roman" w:cs="Times New Roman"/>
          <w:bCs/>
          <w:sz w:val="24"/>
          <w:szCs w:val="24"/>
          <w:lang w:val="es-MX" w:eastAsia="ar-SA"/>
        </w:rPr>
        <w:t>Que, habiéndosele corrido traslado de la señalada impugnación, a la parte reclamante, esta señala que la aseguradora solicita revocar la resolución recurriendo a terminología e interpretación que no está descrita en la póliza, buscando únicamente dilatar el caso por lo que solicitan validar lo expuesto en la resolución emitida que declara fundada su reclamación.</w:t>
      </w:r>
    </w:p>
    <w:p w:rsidRPr="00565E5A" w:rsidR="00565E5A" w:rsidP="00565E5A" w:rsidRDefault="00565E5A" w14:paraId="3C95DFA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65E5A" w:rsidR="00565E5A" w:rsidP="00565E5A" w:rsidRDefault="00565E5A" w14:paraId="5CB239A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565E5A">
        <w:rPr>
          <w:rFonts w:ascii="Times New Roman" w:hAnsi="Times New Roman" w:eastAsia="Times New Roman" w:cs="Times New Roman"/>
          <w:b/>
          <w:bCs/>
          <w:sz w:val="24"/>
          <w:szCs w:val="24"/>
          <w:lang w:val="es-MX" w:eastAsia="ar-SA"/>
        </w:rPr>
        <w:t>Considerando:</w:t>
      </w:r>
    </w:p>
    <w:p w:rsidRPr="00565E5A" w:rsidR="00565E5A" w:rsidP="00565E5A" w:rsidRDefault="00565E5A" w14:paraId="1AC4D636" w14:textId="77777777">
      <w:pPr>
        <w:suppressAutoHyphens/>
        <w:spacing w:after="0" w:line="240" w:lineRule="auto"/>
        <w:jc w:val="both"/>
        <w:rPr>
          <w:rFonts w:ascii="Times New Roman" w:hAnsi="Times New Roman" w:eastAsia="Times New Roman" w:cs="Times New Roman"/>
          <w:sz w:val="24"/>
          <w:szCs w:val="24"/>
          <w:lang w:val="es-ES" w:eastAsia="ar-SA"/>
        </w:rPr>
      </w:pPr>
    </w:p>
    <w:p w:rsidRPr="00565E5A" w:rsidR="00565E5A" w:rsidP="00565E5A" w:rsidRDefault="00565E5A" w14:paraId="0C5A8653" w14:textId="77777777">
      <w:pPr>
        <w:jc w:val="both"/>
        <w:rPr>
          <w:rFonts w:ascii="Times New Roman" w:hAnsi="Times New Roman" w:cs="Times New Roman"/>
          <w:bCs/>
          <w:sz w:val="24"/>
          <w:szCs w:val="24"/>
          <w:lang w:val="es-PE"/>
        </w:rPr>
      </w:pPr>
      <w:r w:rsidRPr="00565E5A">
        <w:rPr>
          <w:rFonts w:ascii="Times New Roman" w:hAnsi="Times New Roman" w:cs="Times New Roman"/>
          <w:b/>
          <w:sz w:val="24"/>
          <w:szCs w:val="24"/>
          <w:u w:val="single"/>
          <w:lang w:val="es-PE"/>
        </w:rPr>
        <w:t>PRIMERO</w:t>
      </w:r>
      <w:r w:rsidRPr="00565E5A">
        <w:rPr>
          <w:rFonts w:ascii="Times New Roman" w:hAnsi="Times New Roman" w:cs="Times New Roman"/>
          <w:b/>
          <w:sz w:val="24"/>
          <w:szCs w:val="24"/>
          <w:lang w:val="es-PE"/>
        </w:rPr>
        <w:t>:</w:t>
      </w:r>
      <w:r w:rsidRPr="00565E5A">
        <w:rPr>
          <w:rFonts w:ascii="Times New Roman" w:hAnsi="Times New Roman" w:cs="Times New Roman"/>
          <w:bCs/>
          <w:sz w:val="24"/>
          <w:szCs w:val="24"/>
          <w:lang w:val="es-PE"/>
        </w:rPr>
        <w:t xml:space="preserve"> El artículo 10 (Procedimiento) del Reglamento de la DEFASEG </w:t>
      </w:r>
      <w:r w:rsidRPr="00565E5A">
        <w:rPr>
          <w:rFonts w:ascii="Times New Roman" w:hAnsi="Times New Roman" w:eastAsia="Arial Unicode MS" w:cs="Times New Roman"/>
          <w:bCs/>
          <w:sz w:val="24"/>
          <w:szCs w:val="24"/>
          <w:lang w:val="es-PE"/>
        </w:rPr>
        <w:t>(http://www.defaseg.com.pe/reglamento)</w:t>
      </w:r>
      <w:r w:rsidRPr="00565E5A">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565E5A" w:rsidR="00565E5A" w:rsidP="00565E5A" w:rsidRDefault="00565E5A" w14:paraId="07DFD42E"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rsidRPr="00565E5A" w:rsidR="00565E5A" w:rsidP="00565E5A" w:rsidRDefault="00565E5A" w14:paraId="30DB9AC4" w14:textId="77777777">
      <w:pPr>
        <w:spacing w:after="0"/>
        <w:jc w:val="both"/>
        <w:rPr>
          <w:rFonts w:ascii="Times New Roman" w:hAnsi="Times New Roman" w:cs="Times New Roman"/>
          <w:bCs/>
          <w:sz w:val="24"/>
          <w:szCs w:val="24"/>
          <w:lang w:val="es-PE"/>
        </w:rPr>
      </w:pPr>
    </w:p>
    <w:p w:rsidRPr="00565E5A" w:rsidR="00565E5A" w:rsidP="00565E5A" w:rsidRDefault="00565E5A" w14:paraId="73CD1190"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
          <w:sz w:val="24"/>
          <w:szCs w:val="24"/>
          <w:u w:val="single"/>
          <w:lang w:val="es-PE"/>
        </w:rPr>
        <w:t>SEGUNDO:</w:t>
      </w:r>
      <w:r w:rsidRPr="00565E5A">
        <w:rPr>
          <w:rFonts w:ascii="Times New Roman" w:hAnsi="Times New Roman" w:cs="Times New Roman"/>
          <w:bCs/>
          <w:sz w:val="24"/>
          <w:szCs w:val="24"/>
          <w:lang w:val="es-PE"/>
        </w:rPr>
        <w:t xml:space="preserve"> La resolución impugnada declaró fundado el reclamo por cuanto consideró que el siniestro ocurrió dentro de los 3km de la zona de operaciones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w:t>
      </w:r>
    </w:p>
    <w:p w:rsidRPr="00565E5A" w:rsidR="00565E5A" w:rsidP="00565E5A" w:rsidRDefault="00565E5A" w14:paraId="1D27C2A4" w14:textId="77777777">
      <w:pPr>
        <w:spacing w:after="0"/>
        <w:jc w:val="both"/>
        <w:rPr>
          <w:rFonts w:ascii="Times New Roman" w:hAnsi="Times New Roman" w:cs="Times New Roman"/>
          <w:bCs/>
          <w:sz w:val="24"/>
          <w:szCs w:val="24"/>
          <w:lang w:val="es-PE"/>
        </w:rPr>
      </w:pPr>
    </w:p>
    <w:p w:rsidRPr="00565E5A" w:rsidR="00565E5A" w:rsidP="00565E5A" w:rsidRDefault="00565E5A" w14:paraId="1962D4D6"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 xml:space="preserve">Ahora bien, este colegiado considera que la cláusula adicional de traslado por sus propios </w:t>
      </w:r>
      <w:proofErr w:type="gramStart"/>
      <w:r w:rsidRPr="00565E5A">
        <w:rPr>
          <w:rFonts w:ascii="Times New Roman" w:hAnsi="Times New Roman" w:cs="Times New Roman"/>
          <w:bCs/>
          <w:sz w:val="24"/>
          <w:szCs w:val="24"/>
          <w:lang w:val="es-PE"/>
        </w:rPr>
        <w:t>medios,</w:t>
      </w:r>
      <w:proofErr w:type="gramEnd"/>
      <w:r w:rsidRPr="00565E5A">
        <w:rPr>
          <w:rFonts w:ascii="Times New Roman" w:hAnsi="Times New Roman" w:cs="Times New Roman"/>
          <w:bCs/>
          <w:sz w:val="24"/>
          <w:szCs w:val="24"/>
          <w:lang w:val="es-PE"/>
        </w:rPr>
        <w:t xml:space="preserve"> se aplica cuando existe una zona de operaciones en ejecución, y en dicho supuesto se otorga cobertura a la maquinaria dentro del radio que establece la respectiva cláusula adicional, que en este caso es de 3km.</w:t>
      </w:r>
    </w:p>
    <w:p w:rsidRPr="00565E5A" w:rsidR="00565E5A" w:rsidP="00565E5A" w:rsidRDefault="00565E5A" w14:paraId="7F8BE59D" w14:textId="77777777">
      <w:pPr>
        <w:spacing w:after="0"/>
        <w:jc w:val="both"/>
        <w:rPr>
          <w:rFonts w:ascii="Times New Roman" w:hAnsi="Times New Roman" w:cs="Times New Roman"/>
          <w:bCs/>
          <w:sz w:val="24"/>
          <w:szCs w:val="24"/>
          <w:lang w:val="es-PE"/>
        </w:rPr>
      </w:pPr>
    </w:p>
    <w:p w:rsidRPr="00565E5A" w:rsidR="00565E5A" w:rsidP="00565E5A" w:rsidRDefault="00565E5A" w14:paraId="34F4AA01"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 xml:space="preserve">En efecto, es importante destacar que la póliza TREC no cubre el riesgo de transporte, sino la máquina en la zona de operaciones o lugar de obra. Dentro de este contexto, la cláusula </w:t>
      </w:r>
      <w:r w:rsidRPr="00565E5A">
        <w:rPr>
          <w:rFonts w:ascii="Times New Roman" w:hAnsi="Times New Roman" w:cs="Times New Roman"/>
          <w:bCs/>
          <w:sz w:val="24"/>
          <w:szCs w:val="24"/>
          <w:lang w:val="es-PE"/>
        </w:rPr>
        <w:lastRenderedPageBreak/>
        <w:t xml:space="preserve">adicional de traslado por sus propios </w:t>
      </w:r>
      <w:proofErr w:type="gramStart"/>
      <w:r w:rsidRPr="00565E5A">
        <w:rPr>
          <w:rFonts w:ascii="Times New Roman" w:hAnsi="Times New Roman" w:cs="Times New Roman"/>
          <w:bCs/>
          <w:sz w:val="24"/>
          <w:szCs w:val="24"/>
          <w:lang w:val="es-PE"/>
        </w:rPr>
        <w:t>medios,</w:t>
      </w:r>
      <w:proofErr w:type="gramEnd"/>
      <w:r w:rsidRPr="00565E5A">
        <w:rPr>
          <w:rFonts w:ascii="Times New Roman" w:hAnsi="Times New Roman" w:cs="Times New Roman"/>
          <w:bCs/>
          <w:sz w:val="24"/>
          <w:szCs w:val="24"/>
          <w:lang w:val="es-PE"/>
        </w:rPr>
        <w:t xml:space="preserve"> es para dar una mayor cobertura a la máquina cuando debe desplazarse en los alrededores de una obra en ejecución, especificando el rango de cobertura.</w:t>
      </w:r>
    </w:p>
    <w:p w:rsidRPr="00565E5A" w:rsidR="00565E5A" w:rsidP="00565E5A" w:rsidRDefault="00565E5A" w14:paraId="292AA67B"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 xml:space="preserve"> </w:t>
      </w:r>
    </w:p>
    <w:p w:rsidRPr="00565E5A" w:rsidR="00565E5A" w:rsidP="00565E5A" w:rsidRDefault="00565E5A" w14:paraId="64418669"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 xml:space="preserve">No obstante, lo que la aseguradora cuestiona es que no existía obra en ejecución en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 xml:space="preserve"> al momento del siniestro, y que la cláusula solo cubre cuando la maquinaria está trabajando en obra y en los alrededores de </w:t>
      </w:r>
      <w:proofErr w:type="gramStart"/>
      <w:r w:rsidRPr="00565E5A">
        <w:rPr>
          <w:rFonts w:ascii="Times New Roman" w:hAnsi="Times New Roman" w:cs="Times New Roman"/>
          <w:bCs/>
          <w:sz w:val="24"/>
          <w:szCs w:val="24"/>
          <w:lang w:val="es-PE"/>
        </w:rPr>
        <w:t>la misma</w:t>
      </w:r>
      <w:proofErr w:type="gramEnd"/>
      <w:r w:rsidRPr="00565E5A">
        <w:rPr>
          <w:rFonts w:ascii="Times New Roman" w:hAnsi="Times New Roman" w:cs="Times New Roman"/>
          <w:bCs/>
          <w:sz w:val="24"/>
          <w:szCs w:val="24"/>
          <w:lang w:val="es-PE"/>
        </w:rPr>
        <w:t>, dentro del radio expresamente especificado, lo que consideran no ocurrió en este caso.</w:t>
      </w:r>
    </w:p>
    <w:p w:rsidRPr="00565E5A" w:rsidR="00565E5A" w:rsidP="00565E5A" w:rsidRDefault="00565E5A" w14:paraId="40CE6028" w14:textId="77777777">
      <w:pPr>
        <w:spacing w:after="0"/>
        <w:jc w:val="both"/>
        <w:rPr>
          <w:rFonts w:ascii="Times New Roman" w:hAnsi="Times New Roman" w:cs="Times New Roman"/>
          <w:bCs/>
          <w:sz w:val="24"/>
          <w:szCs w:val="24"/>
          <w:lang w:val="es-PE"/>
        </w:rPr>
      </w:pPr>
    </w:p>
    <w:p w:rsidRPr="00565E5A" w:rsidR="00565E5A" w:rsidP="00565E5A" w:rsidRDefault="00565E5A" w14:paraId="484BBB98"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 xml:space="preserve">Con motivo de la impugnación presentada, este colegiado ha revisado el contrato que tenía la asegurada respecto de la obra en la localidad de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 xml:space="preserve"> (que figura como anexo del informe del ajustador), y constata que el contrato de trabajo de la obra “Mantenimiento rutinario de vías de acceso privado en el km. 2.89 del Centro Poblado de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 suscrito el 27 de setiembre de 2021, recién iniciaba el 29 de setiembre de 2021, coincidentemente la fecha en que ocurre el siniestro. Fecha de inicio que no fue advertida al emitir la resolución impugnada.</w:t>
      </w:r>
    </w:p>
    <w:p w:rsidRPr="00565E5A" w:rsidR="00565E5A" w:rsidP="00565E5A" w:rsidRDefault="00565E5A" w14:paraId="1C6880A0" w14:textId="77777777">
      <w:pPr>
        <w:spacing w:after="0"/>
        <w:jc w:val="both"/>
        <w:rPr>
          <w:rFonts w:ascii="Times New Roman" w:hAnsi="Times New Roman" w:cs="Times New Roman"/>
          <w:bCs/>
          <w:sz w:val="24"/>
          <w:szCs w:val="24"/>
          <w:lang w:val="es-PE"/>
        </w:rPr>
      </w:pPr>
    </w:p>
    <w:p w:rsidRPr="00565E5A" w:rsidR="00565E5A" w:rsidP="00565E5A" w:rsidRDefault="00565E5A" w14:paraId="701B3BC2"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 xml:space="preserve">Si dicha zona ya hubiera estado constituida como zona de trabajo u operaciones, entendida como la zona en la que la empresa asegurada ya se encontraba ejecutando la obra, antes de la ocurrencia del siniestro, se podría haber concluido que la maquinaria habría sido hurtada a 3km de una de las dos zonas de operaciones (efectivas) de trabajo cubiertas, pues el riesgo que se asegura a través de esta cláusula adicional es la movilización que la maquinaria debe realizar alrededor de una zona de operaciones en ejecución, y no el transporte hacia otra zona de operaciones. No obstante -reiteramos-, se ha verificado con motivo de la impugnación presentada, que los trabajos en la zona de operaciones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 xml:space="preserve"> aún no habían iniciado cuando la maquinaria empezó a desplazarse hacia otra localidad.</w:t>
      </w:r>
    </w:p>
    <w:p w:rsidRPr="00565E5A" w:rsidR="00565E5A" w:rsidP="00565E5A" w:rsidRDefault="00565E5A" w14:paraId="5FD0862C" w14:textId="77777777">
      <w:pPr>
        <w:spacing w:after="0"/>
        <w:jc w:val="both"/>
        <w:rPr>
          <w:rFonts w:ascii="Times New Roman" w:hAnsi="Times New Roman" w:cs="Times New Roman"/>
          <w:bCs/>
          <w:sz w:val="24"/>
          <w:szCs w:val="24"/>
          <w:lang w:val="es-PE"/>
        </w:rPr>
      </w:pPr>
    </w:p>
    <w:p w:rsidRPr="00565E5A" w:rsidR="00565E5A" w:rsidP="00565E5A" w:rsidRDefault="00565E5A" w14:paraId="5DB83A32"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 xml:space="preserve">A mayor abundamiento, se ha revisado el contrato de arrendamiento de equipo en el Sector El Triunfo, donde se constata que se alquiló la maquinaria por un mes a partir del 24 de setiembre de 2021 (contrato firmado el 15 de setiembre de 2021). En consecuencia, este colegiado concluye que incurrió en error al considerar que el siniestro ocurrió dentro del radio de una obra en ejecución en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 xml:space="preserve">, cuando en esa zona aún no existían obras, siendo </w:t>
      </w:r>
      <w:proofErr w:type="gramStart"/>
      <w:r w:rsidRPr="00565E5A">
        <w:rPr>
          <w:rFonts w:ascii="Times New Roman" w:hAnsi="Times New Roman" w:cs="Times New Roman"/>
          <w:bCs/>
          <w:sz w:val="24"/>
          <w:szCs w:val="24"/>
          <w:lang w:val="es-PE"/>
        </w:rPr>
        <w:t>que</w:t>
      </w:r>
      <w:proofErr w:type="gramEnd"/>
      <w:r w:rsidRPr="00565E5A">
        <w:rPr>
          <w:rFonts w:ascii="Times New Roman" w:hAnsi="Times New Roman" w:cs="Times New Roman"/>
          <w:bCs/>
          <w:sz w:val="24"/>
          <w:szCs w:val="24"/>
          <w:lang w:val="es-PE"/>
        </w:rPr>
        <w:t xml:space="preserve"> por el contrario, es el mismo conductor el que en todo momento refiere que su destino era el Triunfo, donde ya existía una obra en ejecución. </w:t>
      </w:r>
    </w:p>
    <w:p w:rsidRPr="00565E5A" w:rsidR="00565E5A" w:rsidP="00565E5A" w:rsidRDefault="00565E5A" w14:paraId="7F9D85CC" w14:textId="77777777">
      <w:pPr>
        <w:spacing w:after="0"/>
        <w:jc w:val="both"/>
        <w:rPr>
          <w:rFonts w:ascii="Times New Roman" w:hAnsi="Times New Roman" w:cs="Times New Roman"/>
          <w:bCs/>
          <w:sz w:val="24"/>
          <w:szCs w:val="24"/>
          <w:lang w:val="es-PE"/>
        </w:rPr>
      </w:pPr>
    </w:p>
    <w:p w:rsidRPr="00565E5A" w:rsidR="00565E5A" w:rsidP="00565E5A" w:rsidRDefault="00565E5A" w14:paraId="5922EA0E" w14:textId="77777777">
      <w:pPr>
        <w:spacing w:after="0"/>
        <w:jc w:val="both"/>
        <w:rPr>
          <w:rFonts w:ascii="Times New Roman" w:hAnsi="Times New Roman" w:cs="Times New Roman"/>
          <w:bCs/>
          <w:sz w:val="24"/>
          <w:szCs w:val="24"/>
          <w:lang w:val="es-PE"/>
        </w:rPr>
      </w:pPr>
      <w:r w:rsidRPr="00565E5A">
        <w:rPr>
          <w:rFonts w:ascii="Times New Roman" w:hAnsi="Times New Roman" w:cs="Times New Roman"/>
          <w:bCs/>
          <w:sz w:val="24"/>
          <w:szCs w:val="24"/>
          <w:lang w:val="es-PE"/>
        </w:rPr>
        <w:t xml:space="preserve">En efecto, por la hora del siniestro (09:00),  por la declaración del conductor (que indica salió de la ciudad de Jaén a las 07:00 horas aproximadamente con destino hacia El Triunfo -no hacia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 xml:space="preserve">, aun cuando en el camino debía pasar por allí-), y por los contratos revisados, se verifica que no existía aún una obra en ejecución en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 xml:space="preserve">; y en consecuencia, este colegiado considera que no corresponde aplicar la cláusula de traslado por sus propios medios, pues la obra (zona efectiva de operaciones) hacia la cual se dirigía la máquina y que se encontraba en ejecución, estaba en El Triunfo (no en </w:t>
      </w:r>
      <w:proofErr w:type="spellStart"/>
      <w:r w:rsidRPr="00565E5A">
        <w:rPr>
          <w:rFonts w:ascii="Times New Roman" w:hAnsi="Times New Roman" w:cs="Times New Roman"/>
          <w:bCs/>
          <w:sz w:val="24"/>
          <w:szCs w:val="24"/>
          <w:lang w:val="es-PE"/>
        </w:rPr>
        <w:t>Huallape</w:t>
      </w:r>
      <w:proofErr w:type="spellEnd"/>
      <w:r w:rsidRPr="00565E5A">
        <w:rPr>
          <w:rFonts w:ascii="Times New Roman" w:hAnsi="Times New Roman" w:cs="Times New Roman"/>
          <w:bCs/>
          <w:sz w:val="24"/>
          <w:szCs w:val="24"/>
          <w:lang w:val="es-PE"/>
        </w:rPr>
        <w:t xml:space="preserve">), y respecto de ella, la máquina asegurada se encontraba a más de 3km. </w:t>
      </w:r>
    </w:p>
    <w:p w:rsidRPr="00565E5A" w:rsidR="00565E5A" w:rsidP="00565E5A" w:rsidRDefault="00565E5A" w14:paraId="2B79FA2C" w14:textId="77777777">
      <w:pPr>
        <w:spacing w:after="0"/>
        <w:jc w:val="both"/>
        <w:rPr>
          <w:rFonts w:ascii="Times New Roman" w:hAnsi="Times New Roman" w:cs="Times New Roman"/>
          <w:bCs/>
          <w:sz w:val="24"/>
          <w:szCs w:val="24"/>
          <w:lang w:val="es-PE"/>
        </w:rPr>
      </w:pPr>
    </w:p>
    <w:p w:rsidRPr="00565E5A" w:rsidR="00565E5A" w:rsidP="00565E5A" w:rsidRDefault="00565E5A" w14:paraId="017F30B9" w14:textId="77777777">
      <w:pPr>
        <w:spacing w:after="0"/>
        <w:jc w:val="both"/>
        <w:rPr>
          <w:rFonts w:ascii="Times New Roman" w:hAnsi="Times New Roman" w:cs="Times New Roman"/>
          <w:bCs/>
          <w:sz w:val="24"/>
          <w:szCs w:val="24"/>
          <w:lang w:val="es-ES"/>
        </w:rPr>
      </w:pPr>
      <w:r w:rsidRPr="00565E5A">
        <w:rPr>
          <w:rFonts w:ascii="Times New Roman" w:hAnsi="Times New Roman" w:cs="Times New Roman"/>
          <w:b/>
          <w:bCs/>
          <w:sz w:val="24"/>
          <w:szCs w:val="24"/>
          <w:u w:val="single"/>
          <w:lang w:val="es-ES"/>
        </w:rPr>
        <w:lastRenderedPageBreak/>
        <w:t>TERCERO</w:t>
      </w:r>
      <w:r w:rsidRPr="00565E5A">
        <w:rPr>
          <w:rFonts w:ascii="Times New Roman" w:hAnsi="Times New Roman" w:cs="Times New Roman"/>
          <w:b/>
          <w:bCs/>
          <w:sz w:val="24"/>
          <w:szCs w:val="24"/>
          <w:lang w:val="es-ES"/>
        </w:rPr>
        <w:t>:</w:t>
      </w:r>
      <w:r w:rsidRPr="00565E5A">
        <w:rPr>
          <w:rFonts w:ascii="Times New Roman" w:hAnsi="Times New Roman" w:cs="Times New Roman"/>
          <w:bCs/>
          <w:sz w:val="24"/>
          <w:szCs w:val="24"/>
          <w:lang w:val="es-ES"/>
        </w:rPr>
        <w:t xml:space="preserve"> En atención a las consideraciones precedentes, corresponde amparar la impugnación presentada y, por consiguiente, revocar la resolución de vista, declarando infundada la reclamación.</w:t>
      </w:r>
    </w:p>
    <w:p w:rsidRPr="00565E5A" w:rsidR="00565E5A" w:rsidP="00565E5A" w:rsidRDefault="00565E5A" w14:paraId="077CC84E" w14:textId="77777777">
      <w:pPr>
        <w:spacing w:after="0"/>
        <w:jc w:val="both"/>
        <w:rPr>
          <w:rFonts w:ascii="Times New Roman" w:hAnsi="Times New Roman" w:cs="Times New Roman"/>
          <w:bCs/>
          <w:sz w:val="24"/>
          <w:szCs w:val="24"/>
          <w:lang w:val="es-ES"/>
        </w:rPr>
      </w:pPr>
    </w:p>
    <w:p w:rsidRPr="00565E5A" w:rsidR="00565E5A" w:rsidP="00565E5A" w:rsidRDefault="00565E5A" w14:paraId="591D1A6C" w14:textId="05A4BC4A">
      <w:pPr>
        <w:spacing w:after="0"/>
        <w:jc w:val="both"/>
        <w:rPr>
          <w:rFonts w:ascii="Times New Roman" w:hAnsi="Times New Roman" w:cs="Times New Roman"/>
          <w:bCs/>
          <w:sz w:val="24"/>
          <w:szCs w:val="24"/>
          <w:lang w:val="es-ES"/>
        </w:rPr>
      </w:pPr>
      <w:r w:rsidRPr="00565E5A">
        <w:rPr>
          <w:rFonts w:ascii="Times New Roman" w:hAnsi="Times New Roman" w:cs="Times New Roman"/>
          <w:b/>
          <w:sz w:val="24"/>
          <w:szCs w:val="24"/>
          <w:u w:val="single"/>
          <w:lang w:val="es-ES"/>
        </w:rPr>
        <w:t>CUARTO:</w:t>
      </w:r>
      <w:r w:rsidRPr="00565E5A">
        <w:rPr>
          <w:rFonts w:ascii="Times New Roman" w:hAnsi="Times New Roman" w:cs="Times New Roman"/>
          <w:bCs/>
          <w:sz w:val="24"/>
          <w:szCs w:val="24"/>
          <w:lang w:val="es-ES"/>
        </w:rPr>
        <w:t xml:space="preserve"> </w:t>
      </w:r>
      <w:r w:rsidRPr="00565E5A">
        <w:rPr>
          <w:rFonts w:ascii="Times New Roman" w:hAnsi="Times New Roman" w:cs="Times New Roman"/>
          <w:sz w:val="24"/>
          <w:szCs w:val="24"/>
          <w:lang w:val="es-PE"/>
        </w:rPr>
        <w:t xml:space="preserve">Por último, este colegiado estima también por conveniente dejar constancia que </w:t>
      </w:r>
      <w:r w:rsidRPr="00565E5A">
        <w:rPr>
          <w:rFonts w:ascii="Times New Roman" w:hAnsi="Times New Roman" w:cs="Times New Roman"/>
          <w:sz w:val="24"/>
          <w:szCs w:val="24"/>
          <w:lang w:val="es-PE" w:eastAsia="ar-SA"/>
        </w:rPr>
        <w:t>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deje sin efecto la resolución emitida, en tanto las resoluciones que expide esta Defensoría no son vinculantes para el asegurado o reclamante cuando éstas son desfavorables para los mismos, ya que son únicamente vinculantes para las aseguradoras cuando el fallo es favorable para el asegurado, conforme lo</w:t>
      </w:r>
      <w:r w:rsidR="00C34D95">
        <w:rPr>
          <w:rFonts w:ascii="Times New Roman" w:hAnsi="Times New Roman" w:cs="Times New Roman"/>
          <w:sz w:val="24"/>
          <w:szCs w:val="24"/>
          <w:lang w:val="es-PE" w:eastAsia="ar-SA"/>
        </w:rPr>
        <w:t xml:space="preserve"> </w:t>
      </w:r>
      <w:r w:rsidRPr="00565E5A">
        <w:rPr>
          <w:rFonts w:ascii="Times New Roman" w:hAnsi="Times New Roman" w:cs="Times New Roman"/>
          <w:sz w:val="24"/>
          <w:szCs w:val="24"/>
          <w:lang w:val="es-PE" w:eastAsia="ar-SA"/>
        </w:rPr>
        <w:t>establece el Reglamento de la DEFASEG.</w:t>
      </w:r>
    </w:p>
    <w:p w:rsidRPr="00565E5A" w:rsidR="00565E5A" w:rsidP="00565E5A" w:rsidRDefault="00565E5A" w14:paraId="4C8B8E84" w14:textId="77777777">
      <w:pPr>
        <w:spacing w:after="0"/>
        <w:jc w:val="both"/>
        <w:rPr>
          <w:rFonts w:ascii="Times New Roman" w:hAnsi="Times New Roman" w:cs="Times New Roman"/>
          <w:bCs/>
          <w:sz w:val="24"/>
          <w:szCs w:val="24"/>
          <w:lang w:val="es-ES"/>
        </w:rPr>
      </w:pPr>
    </w:p>
    <w:p w:rsidRPr="00565E5A" w:rsidR="00565E5A" w:rsidP="00565E5A" w:rsidRDefault="00565E5A" w14:paraId="20E7480E" w14:textId="77777777">
      <w:pPr>
        <w:spacing w:after="0" w:line="240" w:lineRule="auto"/>
        <w:jc w:val="both"/>
        <w:rPr>
          <w:rFonts w:ascii="Times New Roman" w:hAnsi="Times New Roman" w:cs="Times New Roman"/>
          <w:b/>
          <w:sz w:val="24"/>
          <w:szCs w:val="24"/>
          <w:lang w:val="es-PE"/>
        </w:rPr>
      </w:pPr>
      <w:r w:rsidRPr="00565E5A">
        <w:rPr>
          <w:rFonts w:ascii="Times New Roman" w:hAnsi="Times New Roman" w:cs="Times New Roman"/>
          <w:b/>
          <w:sz w:val="24"/>
          <w:szCs w:val="24"/>
          <w:lang w:val="es-PE"/>
        </w:rPr>
        <w:t>Atendiendo a lo expresado, conforme a su reglamento, este colegiado resuelve:</w:t>
      </w:r>
    </w:p>
    <w:p w:rsidRPr="00565E5A" w:rsidR="00565E5A" w:rsidP="00565E5A" w:rsidRDefault="00565E5A" w14:paraId="63C3FC5A" w14:textId="77777777">
      <w:pPr>
        <w:spacing w:after="0" w:line="240" w:lineRule="auto"/>
        <w:jc w:val="both"/>
        <w:rPr>
          <w:rFonts w:ascii="Times New Roman" w:hAnsi="Times New Roman" w:eastAsia="Arial Unicode MS" w:cs="Times New Roman"/>
          <w:b/>
          <w:sz w:val="24"/>
          <w:szCs w:val="24"/>
          <w:lang w:val="es-PE"/>
        </w:rPr>
      </w:pPr>
    </w:p>
    <w:p w:rsidRPr="00565E5A" w:rsidR="00565E5A" w:rsidP="00565E5A" w:rsidRDefault="00565E5A" w14:paraId="70B4FC88" w14:textId="2CE984F0">
      <w:pPr>
        <w:spacing w:after="0" w:line="240" w:lineRule="auto"/>
        <w:jc w:val="both"/>
        <w:rPr>
          <w:rFonts w:ascii="Times New Roman" w:hAnsi="Times New Roman" w:eastAsia="Times New Roman" w:cs="Times New Roman"/>
          <w:sz w:val="24"/>
          <w:szCs w:val="24"/>
          <w:lang w:val="es-ES" w:eastAsia="ar-SA"/>
        </w:rPr>
      </w:pPr>
      <w:r w:rsidRPr="32E2F5F6" w:rsidR="00565E5A">
        <w:rPr>
          <w:rFonts w:ascii="Times New Roman" w:hAnsi="Times New Roman" w:eastAsia="Arial Unicode MS" w:cs="Times New Roman"/>
          <w:b w:val="1"/>
          <w:bCs w:val="1"/>
          <w:sz w:val="24"/>
          <w:szCs w:val="24"/>
          <w:lang w:val="es-PE"/>
        </w:rPr>
        <w:t xml:space="preserve">Declarar FUNDADO el recurso impugnativo </w:t>
      </w:r>
      <w:r w:rsidRPr="32E2F5F6" w:rsidR="00565E5A">
        <w:rPr>
          <w:rFonts w:ascii="Times New Roman" w:hAnsi="Times New Roman" w:eastAsia="Arial Unicode MS" w:cs="Times New Roman"/>
          <w:sz w:val="24"/>
          <w:szCs w:val="24"/>
          <w:lang w:val="es-PE"/>
        </w:rPr>
        <w:t xml:space="preserve">interpuesto por </w:t>
      </w:r>
      <w:r w:rsidRPr="32E2F5F6" w:rsidR="200D6BDA">
        <w:rPr>
          <w:rFonts w:ascii="Times New Roman" w:hAnsi="Times New Roman" w:cs="Times New Roman"/>
          <w:sz w:val="24"/>
          <w:szCs w:val="24"/>
          <w:lang w:val="es-PE"/>
        </w:rPr>
        <w:t>.........................................</w:t>
      </w:r>
      <w:r w:rsidRPr="32E2F5F6" w:rsidR="00565E5A">
        <w:rPr>
          <w:rFonts w:ascii="Times New Roman" w:hAnsi="Times New Roman" w:eastAsia="Times New Roman" w:cs="Times New Roman"/>
          <w:sz w:val="24"/>
          <w:szCs w:val="24"/>
          <w:lang w:val="es-ES" w:eastAsia="ar-SA"/>
        </w:rPr>
        <w:t xml:space="preserve"> y, por consiguiente, revocar la Resolución Nro. 163/22, de fecha 03 de agosto de 2022; y, declarar INFUNDADA </w:t>
      </w:r>
      <w:r w:rsidRPr="32E2F5F6" w:rsidR="00565E5A">
        <w:rPr>
          <w:rFonts w:ascii="Times New Roman" w:hAnsi="Times New Roman" w:eastAsia="Arial Unicode MS" w:cs="Times New Roman"/>
          <w:sz w:val="24"/>
          <w:szCs w:val="24"/>
          <w:lang w:val="es-PE"/>
        </w:rPr>
        <w:t xml:space="preserve">la reclamación interpuesta por </w:t>
      </w:r>
      <w:r w:rsidRPr="32E2F5F6" w:rsidR="62690039">
        <w:rPr>
          <w:rFonts w:ascii="Times New Roman" w:hAnsi="Times New Roman" w:eastAsia="Arial Unicode MS" w:cs="Times New Roman"/>
          <w:sz w:val="24"/>
          <w:szCs w:val="24"/>
          <w:lang w:val="es-PE"/>
        </w:rPr>
        <w:t>........................................</w:t>
      </w:r>
      <w:r w:rsidRPr="32E2F5F6" w:rsidR="00565E5A">
        <w:rPr>
          <w:rFonts w:ascii="Times New Roman" w:hAnsi="Times New Roman" w:eastAsia="Times New Roman" w:cs="Times New Roman"/>
          <w:sz w:val="24"/>
          <w:szCs w:val="24"/>
          <w:lang w:val="es-PE" w:eastAsia="es-ES"/>
        </w:rPr>
        <w:t xml:space="preserve">, </w:t>
      </w:r>
      <w:r w:rsidRPr="32E2F5F6" w:rsidR="00565E5A">
        <w:rPr>
          <w:rFonts w:ascii="Times New Roman" w:hAnsi="Times New Roman" w:cs="Times New Roman"/>
          <w:sz w:val="24"/>
          <w:szCs w:val="24"/>
          <w:lang w:val="es-ES"/>
        </w:rPr>
        <w:t>dejándose a salvo su derecho de acudir a las instancias que considere pertinentes.</w:t>
      </w:r>
    </w:p>
    <w:p w:rsidRPr="00565E5A" w:rsidR="0051503F" w:rsidP="00060442" w:rsidRDefault="0051503F" w14:paraId="49CEE7E5" w14:textId="77777777">
      <w:pPr>
        <w:spacing w:after="0" w:line="240" w:lineRule="auto"/>
        <w:jc w:val="both"/>
        <w:rPr>
          <w:rFonts w:ascii="Times New Roman" w:hAnsi="Times New Roman" w:cs="Times New Roman"/>
          <w:bCs/>
          <w:sz w:val="24"/>
          <w:szCs w:val="24"/>
          <w:lang w:val="es-ES"/>
        </w:rPr>
      </w:pPr>
    </w:p>
    <w:p w:rsidRPr="00565E5A" w:rsidR="00C173A8" w:rsidP="00092C2E" w:rsidRDefault="00C173A8" w14:paraId="21EFD7D3" w14:textId="408AC5C2">
      <w:pPr>
        <w:suppressAutoHyphens/>
        <w:spacing w:after="0" w:line="240" w:lineRule="auto"/>
        <w:jc w:val="right"/>
        <w:outlineLvl w:val="0"/>
        <w:rPr>
          <w:rFonts w:ascii="Times New Roman" w:hAnsi="Times New Roman" w:eastAsia="Arial Unicode MS" w:cs="Times New Roman"/>
          <w:sz w:val="24"/>
          <w:szCs w:val="24"/>
          <w:lang w:val="es-PE" w:eastAsia="ar-SA"/>
        </w:rPr>
      </w:pPr>
      <w:r w:rsidRPr="00565E5A">
        <w:rPr>
          <w:rFonts w:ascii="Times New Roman" w:hAnsi="Times New Roman" w:eastAsia="Arial Unicode MS" w:cs="Times New Roman"/>
          <w:sz w:val="24"/>
          <w:szCs w:val="24"/>
          <w:lang w:val="es-PE" w:eastAsia="ar-SA"/>
        </w:rPr>
        <w:t xml:space="preserve">Lima, </w:t>
      </w:r>
      <w:r w:rsidRPr="00565E5A" w:rsidR="009D5E36">
        <w:rPr>
          <w:rFonts w:ascii="Times New Roman" w:hAnsi="Times New Roman" w:eastAsia="Arial Unicode MS" w:cs="Times New Roman"/>
          <w:sz w:val="24"/>
          <w:szCs w:val="24"/>
          <w:lang w:val="es-PE" w:eastAsia="ar-SA"/>
        </w:rPr>
        <w:t>22</w:t>
      </w:r>
      <w:r w:rsidRPr="00565E5A" w:rsidR="00E72889">
        <w:rPr>
          <w:rFonts w:ascii="Times New Roman" w:hAnsi="Times New Roman" w:eastAsia="Arial Unicode MS" w:cs="Times New Roman"/>
          <w:sz w:val="24"/>
          <w:szCs w:val="24"/>
          <w:lang w:val="es-PE" w:eastAsia="ar-SA"/>
        </w:rPr>
        <w:t xml:space="preserve"> </w:t>
      </w:r>
      <w:r w:rsidRPr="00565E5A">
        <w:rPr>
          <w:rFonts w:ascii="Times New Roman" w:hAnsi="Times New Roman" w:eastAsia="Arial Unicode MS" w:cs="Times New Roman"/>
          <w:sz w:val="24"/>
          <w:szCs w:val="24"/>
          <w:lang w:val="es-PE" w:eastAsia="ar-SA"/>
        </w:rPr>
        <w:t xml:space="preserve">de </w:t>
      </w:r>
      <w:r w:rsidRPr="00565E5A" w:rsidR="006315FA">
        <w:rPr>
          <w:rFonts w:ascii="Times New Roman" w:hAnsi="Times New Roman" w:eastAsia="Arial Unicode MS" w:cs="Times New Roman"/>
          <w:sz w:val="24"/>
          <w:szCs w:val="24"/>
          <w:lang w:val="es-PE" w:eastAsia="ar-SA"/>
        </w:rPr>
        <w:t>agosto</w:t>
      </w:r>
      <w:r w:rsidRPr="00565E5A">
        <w:rPr>
          <w:rFonts w:ascii="Times New Roman" w:hAnsi="Times New Roman" w:eastAsia="Arial Unicode MS" w:cs="Times New Roman"/>
          <w:sz w:val="24"/>
          <w:szCs w:val="24"/>
          <w:lang w:val="es-PE" w:eastAsia="ar-SA"/>
        </w:rPr>
        <w:t xml:space="preserve"> de 2022</w:t>
      </w:r>
      <w:r w:rsidRPr="00565E5A">
        <w:rPr>
          <w:rFonts w:ascii="Times New Roman" w:hAnsi="Times New Roman" w:eastAsia="Times New Roman" w:cs="Times New Roman"/>
          <w:sz w:val="24"/>
          <w:szCs w:val="24"/>
          <w:lang w:val="es-PE" w:eastAsia="ar-SA"/>
        </w:rPr>
        <w:t xml:space="preserve"> </w:t>
      </w:r>
    </w:p>
    <w:p w:rsidRPr="00565E5A"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65E5A"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565E5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65E5A" w:rsidR="0008494F" w:rsidP="00C5766A" w:rsidRDefault="0008494F" w14:paraId="5A4AC9FA" w14:textId="77777777">
      <w:pPr>
        <w:spacing w:after="0" w:line="240" w:lineRule="auto"/>
        <w:jc w:val="both"/>
        <w:rPr>
          <w:rFonts w:ascii="Times New Roman" w:hAnsi="Times New Roman" w:cs="Times New Roman"/>
          <w:b/>
          <w:bCs/>
          <w:i/>
          <w:iCs/>
          <w:sz w:val="24"/>
          <w:szCs w:val="24"/>
          <w:lang w:val="es-PE"/>
        </w:rPr>
      </w:pPr>
    </w:p>
    <w:p w:rsidRPr="00565E5A"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565E5A">
        <w:rPr>
          <w:rFonts w:ascii="Times New Roman" w:hAnsi="Times New Roman" w:cs="Times New Roman"/>
          <w:b/>
          <w:bCs/>
          <w:sz w:val="24"/>
          <w:szCs w:val="24"/>
          <w:lang w:val="es-PE"/>
        </w:rPr>
        <w:t xml:space="preserve">Marco Antonio Ortega Piana – </w:t>
      </w:r>
      <w:proofErr w:type="gramStart"/>
      <w:r w:rsidRPr="00565E5A">
        <w:rPr>
          <w:rFonts w:ascii="Times New Roman" w:hAnsi="Times New Roman" w:cs="Times New Roman"/>
          <w:b/>
          <w:bCs/>
          <w:sz w:val="24"/>
          <w:szCs w:val="24"/>
          <w:lang w:val="es-PE"/>
        </w:rPr>
        <w:t>Presidente</w:t>
      </w:r>
      <w:proofErr w:type="gramEnd"/>
    </w:p>
    <w:p w:rsidRPr="00565E5A"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565E5A">
        <w:rPr>
          <w:rFonts w:ascii="Times New Roman" w:hAnsi="Times New Roman" w:cs="Times New Roman"/>
          <w:b/>
          <w:bCs/>
          <w:sz w:val="24"/>
          <w:szCs w:val="24"/>
          <w:lang w:val="es-PE"/>
        </w:rPr>
        <w:t xml:space="preserve">María Eugenia Valdez Fernández Baca – </w:t>
      </w:r>
      <w:r w:rsidRPr="00565E5A" w:rsidR="001B1998">
        <w:rPr>
          <w:rFonts w:ascii="Times New Roman" w:hAnsi="Times New Roman" w:cs="Times New Roman"/>
          <w:b/>
          <w:bCs/>
          <w:sz w:val="24"/>
          <w:szCs w:val="24"/>
          <w:lang w:val="es-PE"/>
        </w:rPr>
        <w:t>Vocal</w:t>
      </w:r>
    </w:p>
    <w:p w:rsidRPr="00565E5A"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565E5A">
        <w:rPr>
          <w:rFonts w:ascii="Times New Roman" w:hAnsi="Times New Roman" w:cs="Times New Roman"/>
          <w:b/>
          <w:bCs/>
          <w:sz w:val="24"/>
          <w:szCs w:val="24"/>
          <w:lang w:val="es-PE"/>
        </w:rPr>
        <w:t xml:space="preserve">Rolando Eyzaguirre </w:t>
      </w:r>
      <w:proofErr w:type="spellStart"/>
      <w:r w:rsidRPr="00565E5A">
        <w:rPr>
          <w:rFonts w:ascii="Times New Roman" w:hAnsi="Times New Roman" w:cs="Times New Roman"/>
          <w:b/>
          <w:bCs/>
          <w:sz w:val="24"/>
          <w:szCs w:val="24"/>
          <w:lang w:val="es-PE"/>
        </w:rPr>
        <w:t>Maccan</w:t>
      </w:r>
      <w:proofErr w:type="spellEnd"/>
      <w:r w:rsidRPr="00565E5A">
        <w:rPr>
          <w:rFonts w:ascii="Times New Roman" w:hAnsi="Times New Roman" w:cs="Times New Roman"/>
          <w:b/>
          <w:bCs/>
          <w:sz w:val="24"/>
          <w:szCs w:val="24"/>
          <w:lang w:val="es-PE"/>
        </w:rPr>
        <w:t xml:space="preserve"> - Vocal</w:t>
      </w:r>
    </w:p>
    <w:p w:rsidRPr="00565E5A"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565E5A">
        <w:rPr>
          <w:rFonts w:ascii="Times New Roman" w:hAnsi="Times New Roman" w:cs="Times New Roman"/>
          <w:b/>
          <w:bCs/>
          <w:sz w:val="24"/>
          <w:szCs w:val="24"/>
          <w:lang w:val="es-PE"/>
        </w:rPr>
        <w:t>Gonzalo Abad del Busto – Vocal</w:t>
      </w:r>
    </w:p>
    <w:p w:rsidRPr="00565E5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868A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868A1"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20016" w:rsidP="00784355" w:rsidRDefault="00420016" w14:paraId="0F4B7845" w14:textId="77777777">
      <w:pPr>
        <w:spacing w:after="0" w:line="240" w:lineRule="auto"/>
      </w:pPr>
      <w:r>
        <w:separator/>
      </w:r>
    </w:p>
  </w:endnote>
  <w:endnote w:type="continuationSeparator" w:id="0">
    <w:p w:rsidR="00420016" w:rsidP="00784355" w:rsidRDefault="00420016" w14:paraId="1E1514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20016" w:rsidP="00784355" w:rsidRDefault="00420016" w14:paraId="6B2ECC9F" w14:textId="77777777">
      <w:pPr>
        <w:spacing w:after="0" w:line="240" w:lineRule="auto"/>
      </w:pPr>
      <w:r>
        <w:separator/>
      </w:r>
    </w:p>
  </w:footnote>
  <w:footnote w:type="continuationSeparator" w:id="0">
    <w:p w:rsidR="00420016" w:rsidP="00784355" w:rsidRDefault="00420016" w14:paraId="55F9E4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6"/>
  </w:num>
  <w:num w:numId="3" w16cid:durableId="760956054">
    <w:abstractNumId w:val="12"/>
  </w:num>
  <w:num w:numId="4" w16cid:durableId="1079518208">
    <w:abstractNumId w:val="11"/>
  </w:num>
  <w:num w:numId="5" w16cid:durableId="1198003566">
    <w:abstractNumId w:val="14"/>
  </w:num>
  <w:num w:numId="6" w16cid:durableId="1607540339">
    <w:abstractNumId w:val="0"/>
  </w:num>
  <w:num w:numId="7" w16cid:durableId="1490902120">
    <w:abstractNumId w:val="18"/>
  </w:num>
  <w:num w:numId="8" w16cid:durableId="615214413">
    <w:abstractNumId w:val="20"/>
  </w:num>
  <w:num w:numId="9" w16cid:durableId="10181194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5E5A"/>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A24B0"/>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34D95"/>
    <w:rsid w:val="00C4163B"/>
    <w:rsid w:val="00C41F24"/>
    <w:rsid w:val="00C47619"/>
    <w:rsid w:val="00C52672"/>
    <w:rsid w:val="00C52848"/>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200D6BDA"/>
    <w:rsid w:val="279BF8B3"/>
    <w:rsid w:val="32E2F5F6"/>
    <w:rsid w:val="4009A769"/>
    <w:rsid w:val="4177F776"/>
    <w:rsid w:val="469637CF"/>
    <w:rsid w:val="5266E0D3"/>
    <w:rsid w:val="5E6C8901"/>
    <w:rsid w:val="62690039"/>
    <w:rsid w:val="6542D020"/>
    <w:rsid w:val="6F9F8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D94EA7D-B94D-4D2B-AEC4-E09DA727D1AD}"/>
</file>

<file path=customXml/itemProps3.xml><?xml version="1.0" encoding="utf-8"?>
<ds:datastoreItem xmlns:ds="http://schemas.openxmlformats.org/officeDocument/2006/customXml" ds:itemID="{7E865159-0F7D-4210-BD7A-5625D235863D}"/>
</file>

<file path=customXml/itemProps4.xml><?xml version="1.0" encoding="utf-8"?>
<ds:datastoreItem xmlns:ds="http://schemas.openxmlformats.org/officeDocument/2006/customXml" ds:itemID="{295A8932-3C66-4EA3-85EF-D13138C301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213</cp:revision>
  <cp:lastPrinted>2022-08-23T15:37:00Z</cp:lastPrinted>
  <dcterms:created xsi:type="dcterms:W3CDTF">2020-12-18T20:17:00Z</dcterms:created>
  <dcterms:modified xsi:type="dcterms:W3CDTF">2025-12-01T20:36:10Z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