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65E5A" w:rsidR="00B10F71" w:rsidP="00041B86" w:rsidRDefault="00201C0D" w14:paraId="51974F0B" w14:textId="25E71C64">
      <w:pPr>
        <w:spacing w:after="0" w:line="240" w:lineRule="auto"/>
        <w:jc w:val="center"/>
        <w:rPr>
          <w:rFonts w:ascii="Times New Roman" w:hAnsi="Times New Roman" w:cs="Times New Roman"/>
          <w:b/>
          <w:sz w:val="24"/>
          <w:szCs w:val="24"/>
          <w:lang w:val="es-PE" w:eastAsia="ar-SA"/>
        </w:rPr>
      </w:pPr>
      <w:r w:rsidRPr="00565E5A">
        <w:rPr>
          <w:rFonts w:ascii="Times New Roman" w:hAnsi="Times New Roman" w:cs="Times New Roman"/>
          <w:b/>
          <w:sz w:val="24"/>
          <w:szCs w:val="24"/>
          <w:lang w:val="es-PE" w:eastAsia="ar-SA"/>
        </w:rPr>
        <w:t xml:space="preserve">RESOLUCIÓN DE RECURSO IMPUGNATIVO </w:t>
      </w:r>
      <w:proofErr w:type="spellStart"/>
      <w:r w:rsidRPr="00565E5A" w:rsidR="00707C99">
        <w:rPr>
          <w:rFonts w:ascii="Times New Roman" w:hAnsi="Times New Roman" w:cs="Times New Roman"/>
          <w:b/>
          <w:sz w:val="24"/>
          <w:szCs w:val="24"/>
          <w:lang w:val="es-PE" w:eastAsia="ar-SA"/>
        </w:rPr>
        <w:t>N°</w:t>
      </w:r>
      <w:proofErr w:type="spellEnd"/>
      <w:r w:rsidRPr="00565E5A" w:rsidR="00707C99">
        <w:rPr>
          <w:rFonts w:ascii="Times New Roman" w:hAnsi="Times New Roman" w:cs="Times New Roman"/>
          <w:b/>
          <w:sz w:val="24"/>
          <w:szCs w:val="24"/>
          <w:lang w:val="es-PE" w:eastAsia="ar-SA"/>
        </w:rPr>
        <w:t xml:space="preserve"> </w:t>
      </w:r>
      <w:r w:rsidRPr="00565E5A" w:rsidR="00C671F5">
        <w:rPr>
          <w:rFonts w:ascii="Times New Roman" w:hAnsi="Times New Roman" w:cs="Times New Roman"/>
          <w:b/>
          <w:sz w:val="24"/>
          <w:szCs w:val="24"/>
          <w:lang w:val="es-PE" w:eastAsia="ar-SA"/>
        </w:rPr>
        <w:t>0</w:t>
      </w:r>
      <w:r w:rsidRPr="00565E5A" w:rsidR="009D5E36">
        <w:rPr>
          <w:rFonts w:ascii="Times New Roman" w:hAnsi="Times New Roman" w:cs="Times New Roman"/>
          <w:b/>
          <w:sz w:val="24"/>
          <w:szCs w:val="24"/>
          <w:lang w:val="es-PE" w:eastAsia="ar-SA"/>
        </w:rPr>
        <w:t>6</w:t>
      </w:r>
      <w:r w:rsidR="00F52613">
        <w:rPr>
          <w:rFonts w:ascii="Times New Roman" w:hAnsi="Times New Roman" w:cs="Times New Roman"/>
          <w:b/>
          <w:sz w:val="24"/>
          <w:szCs w:val="24"/>
          <w:lang w:val="es-PE" w:eastAsia="ar-SA"/>
        </w:rPr>
        <w:t>3</w:t>
      </w:r>
      <w:r w:rsidRPr="00565E5A" w:rsidR="00C671F5">
        <w:rPr>
          <w:rFonts w:ascii="Times New Roman" w:hAnsi="Times New Roman" w:cs="Times New Roman"/>
          <w:b/>
          <w:sz w:val="24"/>
          <w:szCs w:val="24"/>
          <w:lang w:val="es-PE" w:eastAsia="ar-SA"/>
        </w:rPr>
        <w:t>/2</w:t>
      </w:r>
      <w:r w:rsidRPr="00565E5A" w:rsidR="00B93C7A">
        <w:rPr>
          <w:rFonts w:ascii="Times New Roman" w:hAnsi="Times New Roman" w:cs="Times New Roman"/>
          <w:b/>
          <w:sz w:val="24"/>
          <w:szCs w:val="24"/>
          <w:lang w:val="es-PE" w:eastAsia="ar-SA"/>
        </w:rPr>
        <w:t>2</w:t>
      </w:r>
    </w:p>
    <w:p w:rsidRPr="00565E5A"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00495003" w:rsidP="00495003" w:rsidRDefault="00495003" w14:paraId="19169A1A"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495003" w:rsidP="00495003" w:rsidRDefault="00495003" w14:paraId="1322A766" w14:textId="7F11918F">
      <w:pPr>
        <w:jc w:val="both"/>
        <w:outlineLvl w:val="0"/>
        <w:rPr>
          <w:rFonts w:ascii="Times New Roman" w:hAnsi="Times New Roman" w:cs="Times New Roman"/>
          <w:sz w:val="24"/>
          <w:szCs w:val="24"/>
          <w:lang w:val="es-PE"/>
        </w:rPr>
      </w:pPr>
      <w:r w:rsidRPr="61342F1E" w:rsidR="00495003">
        <w:rPr>
          <w:rFonts w:ascii="Times New Roman" w:hAnsi="Times New Roman" w:cs="Times New Roman"/>
          <w:sz w:val="24"/>
          <w:szCs w:val="24"/>
          <w:lang w:val="es-PE"/>
        </w:rPr>
        <w:t xml:space="preserve">El recurso de impugnación presentado tanto por </w:t>
      </w:r>
      <w:r w:rsidRPr="61342F1E" w:rsidR="5B2D8A33">
        <w:rPr>
          <w:rFonts w:ascii="Times New Roman" w:hAnsi="Times New Roman" w:cs="Times New Roman"/>
          <w:b w:val="1"/>
          <w:bCs w:val="1"/>
          <w:sz w:val="24"/>
          <w:szCs w:val="24"/>
          <w:lang w:val="es-PE"/>
        </w:rPr>
        <w:t>................................................................</w:t>
      </w:r>
      <w:r w:rsidRPr="61342F1E" w:rsidR="00495003">
        <w:rPr>
          <w:rFonts w:ascii="Times New Roman" w:hAnsi="Times New Roman" w:cs="Times New Roman"/>
          <w:sz w:val="24"/>
          <w:szCs w:val="24"/>
          <w:lang w:val="es-PE"/>
        </w:rPr>
        <w:t xml:space="preserve"> como por </w:t>
      </w:r>
      <w:r w:rsidRPr="61342F1E" w:rsidR="699D49B0">
        <w:rPr>
          <w:rFonts w:ascii="Times New Roman" w:hAnsi="Times New Roman" w:cs="Times New Roman"/>
          <w:b w:val="1"/>
          <w:bCs w:val="1"/>
          <w:sz w:val="24"/>
          <w:szCs w:val="24"/>
          <w:lang w:val="es-PE"/>
        </w:rPr>
        <w:t>..................................</w:t>
      </w:r>
      <w:r w:rsidRPr="61342F1E" w:rsidR="00495003">
        <w:rPr>
          <w:rFonts w:ascii="Times New Roman" w:hAnsi="Times New Roman" w:cs="Times New Roman"/>
          <w:b w:val="1"/>
          <w:bCs w:val="1"/>
          <w:sz w:val="24"/>
          <w:szCs w:val="24"/>
          <w:lang w:val="es-PE"/>
        </w:rPr>
        <w:t xml:space="preserve"> </w:t>
      </w:r>
      <w:r w:rsidRPr="61342F1E" w:rsidR="00F11F10">
        <w:rPr>
          <w:rFonts w:ascii="Times New Roman" w:hAnsi="Times New Roman" w:cs="Times New Roman"/>
          <w:sz w:val="24"/>
          <w:szCs w:val="24"/>
          <w:lang w:val="es-PE"/>
        </w:rPr>
        <w:t>r</w:t>
      </w:r>
      <w:r w:rsidRPr="61342F1E" w:rsidR="00495003">
        <w:rPr>
          <w:rFonts w:ascii="Times New Roman" w:hAnsi="Times New Roman" w:cs="Times New Roman"/>
          <w:sz w:val="24"/>
          <w:szCs w:val="24"/>
          <w:lang w:val="es-PE"/>
        </w:rPr>
        <w:t xml:space="preserve">especto de la Resolución Nro. 075/22, expedida por el Órgano Resolutivo Unipersonal de esta Defensoría del Asegurado (DEFASEG), conforme a la cual se declaró FUNDADA EN PARTE la reclamación interpuesta respecto al </w:t>
      </w:r>
      <w:r w:rsidRPr="61342F1E" w:rsidR="00495003">
        <w:rPr>
          <w:rFonts w:ascii="Times New Roman" w:hAnsi="Times New Roman" w:cs="Times New Roman"/>
          <w:b w:val="1"/>
          <w:bCs w:val="1"/>
          <w:sz w:val="24"/>
          <w:szCs w:val="24"/>
          <w:lang w:val="es-MX"/>
        </w:rPr>
        <w:t>SEGURO DE PROTECCIÓN DE TARJETA- PÓLIZA</w:t>
      </w:r>
      <w:r w:rsidRPr="61342F1E" w:rsidR="00495003">
        <w:rPr>
          <w:rFonts w:ascii="Times New Roman" w:hAnsi="Times New Roman" w:cs="Times New Roman"/>
          <w:b w:val="1"/>
          <w:bCs w:val="1"/>
          <w:sz w:val="24"/>
          <w:szCs w:val="24"/>
          <w:lang w:val="es-PE"/>
        </w:rPr>
        <w:t xml:space="preserve"> </w:t>
      </w:r>
      <w:r w:rsidRPr="61342F1E" w:rsidR="19271893">
        <w:rPr>
          <w:rFonts w:ascii="Times New Roman" w:hAnsi="Times New Roman" w:cs="Times New Roman"/>
          <w:b w:val="1"/>
          <w:bCs w:val="1"/>
          <w:sz w:val="24"/>
          <w:szCs w:val="24"/>
          <w:lang w:val="es-PE"/>
        </w:rPr>
        <w:t>..................................</w:t>
      </w:r>
      <w:r w:rsidRPr="61342F1E" w:rsidR="00495003">
        <w:rPr>
          <w:rFonts w:ascii="Times New Roman" w:hAnsi="Times New Roman" w:cs="Times New Roman"/>
          <w:sz w:val="24"/>
          <w:szCs w:val="24"/>
          <w:lang w:val="es-PE"/>
        </w:rPr>
        <w:t>;</w:t>
      </w:r>
    </w:p>
    <w:p w:rsidR="00495003" w:rsidP="61342F1E" w:rsidRDefault="00495003" w14:paraId="337CA043" w14:textId="693FA9DA">
      <w:pPr>
        <w:pStyle w:val="Default"/>
        <w:jc w:val="both"/>
        <w:rPr>
          <w:rFonts w:ascii="Times New Roman" w:hAnsi="Times New Roman" w:cs="Times New Roman"/>
          <w:lang w:val="es-MX" w:eastAsia="ar-SA"/>
        </w:rPr>
      </w:pPr>
      <w:r w:rsidRPr="61342F1E" w:rsidR="00495003">
        <w:rPr>
          <w:rFonts w:ascii="Times New Roman" w:hAnsi="Times New Roman" w:cs="Times New Roman"/>
          <w:lang w:val="es-MX" w:eastAsia="ar-SA"/>
        </w:rPr>
        <w:t>Que, la reclamante a través del señalado recurso manifiesta su disconformidad con lo resuelto sustentando</w:t>
      </w:r>
      <w:r w:rsidRPr="61342F1E" w:rsidR="00495003">
        <w:rPr>
          <w:rFonts w:ascii="Times New Roman" w:hAnsi="Times New Roman" w:cs="Times New Roman"/>
        </w:rPr>
        <w:t xml:space="preserve"> resumidamente lo siguiente</w:t>
      </w:r>
      <w:r w:rsidRPr="61342F1E" w:rsidR="00495003">
        <w:rPr>
          <w:rFonts w:ascii="Times New Roman" w:hAnsi="Times New Roman" w:cs="Times New Roman"/>
          <w:lang w:eastAsia="ar-SA"/>
        </w:rPr>
        <w:t xml:space="preserve">: </w:t>
      </w:r>
      <w:r w:rsidRPr="61342F1E" w:rsidR="00495003">
        <w:rPr>
          <w:rFonts w:ascii="Times New Roman" w:hAnsi="Times New Roman" w:cs="Times New Roman"/>
          <w:lang w:val="es-MX" w:eastAsia="ar-SA"/>
        </w:rPr>
        <w:t xml:space="preserve">a) La resolución impugnada, no hace más que transcribir lo señalado por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en su escrito de descargos, al mencionar que la aseguradora conforme a su al análisis y evaluación de la documentación y declaración de la reclamante en su solicitud de cobertura, concluye que esta siempre mantuvo en su poder la tarjeta y que las operaciones denunciadas fueron realizadas con el uso de la tarjeta de débito y la clave secreta, argumentos que ya habían sido plasmados en la Carta </w:t>
      </w:r>
      <w:r w:rsidRPr="61342F1E" w:rsidR="00495003">
        <w:rPr>
          <w:rFonts w:ascii="Times New Roman" w:hAnsi="Times New Roman" w:cs="Times New Roman"/>
          <w:lang w:val="es-MX" w:eastAsia="ar-SA"/>
        </w:rPr>
        <w:t>N°</w:t>
      </w:r>
      <w:r w:rsidRPr="61342F1E" w:rsidR="00495003">
        <w:rPr>
          <w:rFonts w:ascii="Times New Roman" w:hAnsi="Times New Roman" w:cs="Times New Roman"/>
          <w:lang w:val="es-MX" w:eastAsia="ar-SA"/>
        </w:rPr>
        <w:t xml:space="preserve"> </w:t>
      </w:r>
      <w:r w:rsidRPr="61342F1E" w:rsidR="100196E6">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de fecha 26 de julio de 2021 emitida por la aseguradora; b) la modalidad de cambiazo, supone necesariamente que el delincuente que lo comente tenga acceso, por engaño o malas artes, a la clave secreta de la tarjeta, precisamente para que ésta pueda ser utilizada en perjuicio del titular, sin dicha condición no podría configurarse; c) la carta emitida por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convenientemente recogida por la impugnada, no hace más que contradecir los siniestros que cubre el Seguro de Protección de Tarjeta contratado. El Órgano Resolutor se ha olvidado de pronunciarse sobre lo ofrecido en dicho contrato de seguro de protección de tarjeta de </w:t>
      </w:r>
      <w:r w:rsidRPr="61342F1E" w:rsidR="1E59B92F">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en donde señalan dentro de sus términos y condiciones la cobertura cuando sucedan siniestros tales como retiro y robo de dinero de las tarjetas de crédito y/o débito del </w:t>
      </w:r>
      <w:r w:rsidRPr="61342F1E" w:rsidR="1E59B92F">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de los cajeros automáticos.</w:t>
      </w:r>
    </w:p>
    <w:p w:rsidR="00495003" w:rsidP="00495003" w:rsidRDefault="00495003" w14:paraId="4F1D0A9F" w14:textId="77777777">
      <w:pPr>
        <w:pStyle w:val="Default"/>
        <w:jc w:val="both"/>
        <w:rPr>
          <w:rFonts w:ascii="Times New Roman" w:hAnsi="Times New Roman" w:cs="Times New Roman"/>
          <w:bCs/>
          <w:lang w:val="es-MX" w:eastAsia="ar-SA"/>
        </w:rPr>
      </w:pPr>
    </w:p>
    <w:p w:rsidR="00495003" w:rsidP="61342F1E" w:rsidRDefault="00495003" w14:paraId="282D5F43" w14:textId="584EBFD3">
      <w:pPr>
        <w:pStyle w:val="Default"/>
        <w:jc w:val="both"/>
        <w:rPr>
          <w:rFonts w:ascii="Times New Roman" w:hAnsi="Times New Roman" w:cs="Times New Roman"/>
          <w:lang w:val="es-MX" w:eastAsia="ar-SA"/>
        </w:rPr>
      </w:pPr>
      <w:r w:rsidRPr="61342F1E" w:rsidR="00495003">
        <w:rPr>
          <w:rFonts w:ascii="Times New Roman" w:hAnsi="Times New Roman" w:cs="Times New Roman"/>
          <w:lang w:val="es-MX" w:eastAsia="ar-SA"/>
        </w:rPr>
        <w:t xml:space="preserve">Que por su parte la aseguradora manifiesta su discrepancia con lo resuelto indicando resumidamente lo siguiente:  a) El pronunciamiento emitido es manifiestamente incongruente e irrazonable, toda vez que por un lado reconoce la postura de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al afirmar que “no estamos ante un caso de uso indebido”; para luego contradecirse y señalar que ello no ha sido acreditado por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La postura de la Defensoría se sostiene en el supuesto hecho que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no cumplió con adjuntar los documentos fehacientes que acrediten sus alegatos y la póliza matriz contratada. Con fecha 18 de marzo de 2022, cumplimos con presentar un escrito en donde alcanzamos el Certificado Matriz de Seguro de Protección de tarjetas junto al certificado firmado por la propia reclamante según requerimiento de la propia Defensoría del Asegurado; b) del certificado de seguros firmado por la reclamante, se advierte la definición del uso indebido. Sin perjuicio de ello, tal concepto también se define en el Condicionado Particular del Contrato de Seguros que acompaña a la póliza y en la propia página del Banco </w:t>
      </w:r>
      <w:r w:rsidRPr="61342F1E" w:rsidR="1E59B92F">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c) la Resolución </w:t>
      </w:r>
      <w:r w:rsidRPr="61342F1E" w:rsidR="00495003">
        <w:rPr>
          <w:rFonts w:ascii="Times New Roman" w:hAnsi="Times New Roman" w:cs="Times New Roman"/>
          <w:lang w:val="es-MX" w:eastAsia="ar-SA"/>
        </w:rPr>
        <w:t>Nº</w:t>
      </w:r>
      <w:r w:rsidRPr="61342F1E" w:rsidR="00495003">
        <w:rPr>
          <w:rFonts w:ascii="Times New Roman" w:hAnsi="Times New Roman" w:cs="Times New Roman"/>
          <w:lang w:val="es-MX" w:eastAsia="ar-SA"/>
        </w:rPr>
        <w:t xml:space="preserve"> 075/22 carece de sustento jurídico y fáctico toda vez que sí hemos demostrado mediante documentos probatorios que el uso indebido refiere solamente a robo y hurto y que el caso en cuestión no recae en tal supuesto; d) la decisión de la Defensoría no es en ninguna circunstancia congruente ya que se está ordenando a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otorgar una cobertura sobre operaciones realizadas supuestamente mediante el uso indebido (robo o hurto) sobre la base de un supuesto de transferencia de dinero a terceros. No tiene sentido alguno que – habiendo verificado que el supuesto en cuestión no es un caso de uso indebido – se proceda a recategorizar el siniestro en un supuesto totalmente distinto y con condiciones totalmente </w:t>
      </w:r>
      <w:r w:rsidRPr="61342F1E" w:rsidR="00495003">
        <w:rPr>
          <w:rFonts w:ascii="Times New Roman" w:hAnsi="Times New Roman" w:cs="Times New Roman"/>
          <w:lang w:val="es-MX" w:eastAsia="ar-SA"/>
        </w:rPr>
        <w:t xml:space="preserve">diferentes. </w:t>
      </w:r>
      <w:r w:rsidRPr="61342F1E" w:rsidR="00495003">
        <w:rPr>
          <w:rFonts w:ascii="Times New Roman" w:hAnsi="Times New Roman" w:cs="Times New Roman"/>
          <w:lang w:val="es-MX" w:eastAsia="ar-SA"/>
        </w:rPr>
        <w:t>Todo ello con la finalidad de otorgar cualquier cobertura a favor de la reclamante: e) de los propios hechos denunciados, se desprende que correspondía verificar si el siniestro ocurrido mediante el “cambiazo” calificaba dentro de los alcances de lo que es el uso indebido estipulado en el contrato de seguros y no recategorizar arbitrariamente el siniestro ocurrido en un supuesto distinto y de manera totalmente injustificada; f) en la póliza de seguros se desprende que, para que proceda una cobertura patrimonial por transferencias es necesario que la operación en mención haya sido realizada mediante el uso indebido por parte de terceros.</w:t>
      </w:r>
      <w:r w:rsidRPr="61342F1E" w:rsidR="00495003">
        <w:rPr>
          <w:rFonts w:ascii="Times New Roman" w:hAnsi="Times New Roman" w:cs="Times New Roman"/>
          <w:lang w:val="es-MX" w:eastAsia="ar-SA"/>
        </w:rPr>
        <w:t xml:space="preserve"> La Defensoría un inicio se determinó que </w:t>
      </w:r>
      <w:r w:rsidRPr="61342F1E" w:rsidR="699D49B0">
        <w:rPr>
          <w:rFonts w:ascii="Times New Roman" w:hAnsi="Times New Roman" w:cs="Times New Roman"/>
          <w:lang w:val="es-MX" w:eastAsia="ar-SA"/>
        </w:rPr>
        <w:t>..................................</w:t>
      </w:r>
      <w:r w:rsidRPr="61342F1E" w:rsidR="00495003">
        <w:rPr>
          <w:rFonts w:ascii="Times New Roman" w:hAnsi="Times New Roman" w:cs="Times New Roman"/>
          <w:lang w:val="es-MX" w:eastAsia="ar-SA"/>
        </w:rPr>
        <w:t xml:space="preserve"> no cumplió con adjuntar la póliza matriz; por lo que el concepto de uso indebido contenido en el Condicionado Particular adjunto no era un medio probatorio suficiente para reconocer que el uso indebido refiere a hurto y/o robo y que la reclamante tenía conocimiento de ello.  </w:t>
      </w:r>
    </w:p>
    <w:p w:rsidR="00495003" w:rsidP="00495003" w:rsidRDefault="00495003" w14:paraId="6FAC5D96" w14:textId="77777777">
      <w:pPr>
        <w:pStyle w:val="Default"/>
        <w:jc w:val="both"/>
        <w:rPr>
          <w:rFonts w:ascii="Times New Roman" w:hAnsi="Times New Roman" w:cs="Times New Roman"/>
          <w:bCs/>
          <w:lang w:val="es-MX" w:eastAsia="ar-SA"/>
        </w:rPr>
      </w:pPr>
    </w:p>
    <w:p w:rsidR="00495003" w:rsidP="61342F1E" w:rsidRDefault="00495003" w14:paraId="428F31F0" w14:textId="32251244">
      <w:pPr>
        <w:suppressAutoHyphens/>
        <w:jc w:val="both"/>
        <w:rPr>
          <w:rFonts w:ascii="Times New Roman" w:hAnsi="Times New Roman" w:eastAsia="Times New Roman" w:cs="Times New Roman"/>
          <w:sz w:val="24"/>
          <w:szCs w:val="24"/>
          <w:lang w:val="es-MX" w:eastAsia="ar-SA"/>
        </w:rPr>
      </w:pPr>
      <w:r w:rsidRPr="61342F1E" w:rsidR="00495003">
        <w:rPr>
          <w:rFonts w:ascii="Times New Roman" w:hAnsi="Times New Roman" w:eastAsia="Times New Roman" w:cs="Times New Roman"/>
          <w:sz w:val="24"/>
          <w:szCs w:val="24"/>
          <w:lang w:val="es-MX" w:eastAsia="ar-SA"/>
        </w:rPr>
        <w:t xml:space="preserve">Que, habiéndose corrido traslado de las señaladas impugnaciones, la reclamante cumplió con absolverla expresando brevemente lo siguiente: a) La aseguradora presente desconocer el seguro de protección que cuenta su tarjeta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contra el “Uso Indebido de Tarjeta y por Cobertura Patrimonial de Transferencia”, tras ser víctima de estafa en la modalidad de “el cambiazo” de su tarjeta del banco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el pasado 9 de mayo de 2021; b) se realizó sin su consentimiento el uso indebido de su tarjeta, tras realizarse el cambiazo de </w:t>
      </w:r>
      <w:r w:rsidRPr="61342F1E" w:rsidR="00495003">
        <w:rPr>
          <w:rFonts w:ascii="Times New Roman" w:hAnsi="Times New Roman" w:eastAsia="Times New Roman" w:cs="Times New Roman"/>
          <w:sz w:val="24"/>
          <w:szCs w:val="24"/>
          <w:lang w:val="es-MX" w:eastAsia="ar-SA"/>
        </w:rPr>
        <w:t>la misma</w:t>
      </w:r>
      <w:r w:rsidRPr="61342F1E" w:rsidR="00495003">
        <w:rPr>
          <w:rFonts w:ascii="Times New Roman" w:hAnsi="Times New Roman" w:eastAsia="Times New Roman" w:cs="Times New Roman"/>
          <w:sz w:val="24"/>
          <w:szCs w:val="24"/>
          <w:lang w:val="es-MX" w:eastAsia="ar-SA"/>
        </w:rPr>
        <w:t xml:space="preserve">. Así, los delincuentes pudieron realizar un retiro de dinero por el monto de S/2,700.00 del cajero automático y la compra de productos en el centro comercial de </w:t>
      </w:r>
      <w:r w:rsidRPr="61342F1E" w:rsidR="4A434490">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Siendo que estas dos operaciones configuran literalmente la cobertura de uso indebido de tarjetas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c) la aseguradora en sus fundamentos del 18 al 19, confirman que si hubo una transferencia bancaria a una tercera persona desde la cuenta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de la recurrente el día 9 de mayo de 2021, y señala que no es sustento suficiente para que la Defensoría proceda a otorga una cobertura patrimonial por transferencia, ascendente a la suma de US$ 450.00, tal y como lo señala la Resolución </w:t>
      </w:r>
      <w:r w:rsidRPr="61342F1E" w:rsidR="00495003">
        <w:rPr>
          <w:rFonts w:ascii="Times New Roman" w:hAnsi="Times New Roman" w:eastAsia="Times New Roman" w:cs="Times New Roman"/>
          <w:sz w:val="24"/>
          <w:szCs w:val="24"/>
          <w:lang w:val="es-MX" w:eastAsia="ar-SA"/>
        </w:rPr>
        <w:t>N°</w:t>
      </w:r>
      <w:r w:rsidRPr="61342F1E" w:rsidR="00495003">
        <w:rPr>
          <w:rFonts w:ascii="Times New Roman" w:hAnsi="Times New Roman" w:eastAsia="Times New Roman" w:cs="Times New Roman"/>
          <w:sz w:val="24"/>
          <w:szCs w:val="24"/>
          <w:lang w:val="es-MX" w:eastAsia="ar-SA"/>
        </w:rPr>
        <w:t xml:space="preserve"> 075/22 y la cobertura señalada en el certificado de seguros. Dicha transferencia bancaria no fue otra que la realizada el día 9 de mayo en el mismo cajero automático de la agencia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ubicado en el centro comercial de </w:t>
      </w:r>
      <w:r w:rsidRPr="61342F1E" w:rsidR="75D2A65A">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producto del delito de estafa en la modalidad de “el cambiazo”. En tal sentido, también configura la cobertura patrimonial por transferencia señalada en el certificado se seguro de protección de tarjeta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al realizarse transferencias bancarias por el uso indebido por parte de terceros de claves y/o contraseñas que el asegurado no ha autorizado; d) el recurso impugnatorio presentado por la asegurado, no hace más que contradecir los siniestros que cubre el seguro de protección de tarjeta contratado, en donde señalan dentro de sus términos y condiciones la cobertura cuando sucedan siniestros tales como retiro y robo de dinero de tus tarjetas de crédito y/o débito del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de los cajeros del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 xml:space="preserve">, conforme se aprecia en el </w:t>
      </w:r>
      <w:r w:rsidRPr="61342F1E" w:rsidR="00495003">
        <w:rPr>
          <w:rFonts w:ascii="Times New Roman" w:hAnsi="Times New Roman" w:eastAsia="Times New Roman" w:cs="Times New Roman"/>
          <w:sz w:val="24"/>
          <w:szCs w:val="24"/>
          <w:lang w:val="es-MX" w:eastAsia="ar-SA"/>
        </w:rPr>
        <w:t>boucher</w:t>
      </w:r>
      <w:r w:rsidRPr="61342F1E" w:rsidR="00495003">
        <w:rPr>
          <w:rFonts w:ascii="Times New Roman" w:hAnsi="Times New Roman" w:eastAsia="Times New Roman" w:cs="Times New Roman"/>
          <w:sz w:val="24"/>
          <w:szCs w:val="24"/>
          <w:lang w:val="es-MX" w:eastAsia="ar-SA"/>
        </w:rPr>
        <w:t xml:space="preserve"> informativo que adjunta la póliza de seguros por el cual contrató para proteger la Tarjeta </w:t>
      </w:r>
      <w:r w:rsidRPr="61342F1E" w:rsidR="1E59B92F">
        <w:rPr>
          <w:rFonts w:ascii="Times New Roman" w:hAnsi="Times New Roman" w:eastAsia="Times New Roman" w:cs="Times New Roman"/>
          <w:sz w:val="24"/>
          <w:szCs w:val="24"/>
          <w:lang w:val="es-MX" w:eastAsia="ar-SA"/>
        </w:rPr>
        <w:t>..............</w:t>
      </w:r>
      <w:r w:rsidRPr="61342F1E" w:rsidR="00495003">
        <w:rPr>
          <w:rFonts w:ascii="Times New Roman" w:hAnsi="Times New Roman" w:eastAsia="Times New Roman" w:cs="Times New Roman"/>
          <w:sz w:val="24"/>
          <w:szCs w:val="24"/>
          <w:lang w:val="es-MX" w:eastAsia="ar-SA"/>
        </w:rPr>
        <w:t>.</w:t>
      </w:r>
    </w:p>
    <w:p w:rsidR="00495003" w:rsidP="00495003" w:rsidRDefault="00495003" w14:paraId="0A7B9424"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495003" w:rsidP="00495003" w:rsidRDefault="00495003" w14:paraId="41EED549" w14:textId="77777777">
      <w:pPr>
        <w:suppressAutoHyphens/>
        <w:spacing w:after="0" w:line="240" w:lineRule="auto"/>
        <w:jc w:val="both"/>
        <w:rPr>
          <w:rFonts w:ascii="Times New Roman" w:hAnsi="Times New Roman" w:cs="Times New Roman"/>
          <w:bCs/>
          <w:sz w:val="24"/>
          <w:szCs w:val="24"/>
          <w:lang w:val="es-ES"/>
        </w:rPr>
      </w:pPr>
    </w:p>
    <w:p w:rsidR="00495003" w:rsidP="00495003" w:rsidRDefault="00495003" w14:paraId="027931CE" w14:textId="77777777">
      <w:pPr>
        <w:suppressAutoHyphens/>
        <w:jc w:val="both"/>
        <w:rPr>
          <w:rFonts w:ascii="Times New Roman" w:hAnsi="Times New Roman" w:eastAsia="Times New Roman" w:cs="Times New Roman"/>
          <w:bCs/>
          <w:sz w:val="24"/>
          <w:szCs w:val="24"/>
          <w:lang w:val="es-MX" w:eastAsia="ar-SA"/>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w:t>
      </w:r>
      <w:r>
        <w:rPr>
          <w:rFonts w:ascii="Times New Roman" w:hAnsi="Times New Roman" w:cs="Times New Roman"/>
          <w:sz w:val="24"/>
          <w:szCs w:val="24"/>
          <w:lang w:val="es-PE"/>
        </w:rPr>
        <w:lastRenderedPageBreak/>
        <w:t xml:space="preserve">materia reclamada, podrá impugnarla, interponiendo el correspondiente recurso de impugnación.  </w:t>
      </w:r>
    </w:p>
    <w:p w:rsidR="00495003" w:rsidP="00495003" w:rsidRDefault="00495003" w14:paraId="7E786EF8"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tanto la reclamante como la aseguradora han ejercido formalmente su derecho a contradecir lo resuelto por la Defensoría.</w:t>
      </w:r>
    </w:p>
    <w:p w:rsidR="00495003" w:rsidP="00495003" w:rsidRDefault="00495003" w14:paraId="6D4616B5" w14:textId="77777777">
      <w:pPr>
        <w:jc w:val="both"/>
        <w:rPr>
          <w:rFonts w:ascii="Times New Roman" w:hAnsi="Times New Roman" w:cs="Times New Roman"/>
          <w:sz w:val="24"/>
          <w:szCs w:val="24"/>
          <w:lang w:val="es-ES"/>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 xml:space="preserve">: </w:t>
      </w:r>
      <w:r>
        <w:rPr>
          <w:rFonts w:ascii="Times New Roman" w:hAnsi="Times New Roman" w:cs="Times New Roman"/>
          <w:sz w:val="24"/>
          <w:szCs w:val="24"/>
          <w:lang w:val="es-PE"/>
        </w:rPr>
        <w:t>L</w:t>
      </w:r>
      <w:r>
        <w:rPr>
          <w:rFonts w:ascii="Times New Roman" w:hAnsi="Times New Roman" w:cs="Times New Roman"/>
          <w:sz w:val="24"/>
          <w:szCs w:val="24"/>
          <w:lang w:val="es-419"/>
        </w:rPr>
        <w:t xml:space="preserve">a Defensoría del Asegurado es una entidad privada y por ende no constituye una instancia administrativa regida por la ley del procedimiento administrativo general. La Defensoría se rige por su propio reglamento, </w:t>
      </w:r>
      <w:proofErr w:type="gramStart"/>
      <w:r>
        <w:rPr>
          <w:rFonts w:ascii="Times New Roman" w:hAnsi="Times New Roman" w:cs="Times New Roman"/>
          <w:sz w:val="24"/>
          <w:szCs w:val="24"/>
          <w:lang w:val="es-419"/>
        </w:rPr>
        <w:t>de acuerdo al</w:t>
      </w:r>
      <w:proofErr w:type="gramEnd"/>
      <w:r>
        <w:rPr>
          <w:rFonts w:ascii="Times New Roman" w:hAnsi="Times New Roman" w:cs="Times New Roman"/>
          <w:sz w:val="24"/>
          <w:szCs w:val="24"/>
          <w:lang w:val="es-419"/>
        </w:rPr>
        <w:t xml:space="preserve"> cual </w:t>
      </w:r>
      <w:r>
        <w:rPr>
          <w:rFonts w:ascii="Times New Roman" w:hAnsi="Times New Roman" w:cs="Times New Roman"/>
          <w:sz w:val="24"/>
          <w:szCs w:val="24"/>
          <w:lang w:val="es-ES"/>
        </w:rPr>
        <w:t>el sometimiento voluntario de controversias en materia de seguros ante esta Defensoría.</w:t>
      </w:r>
    </w:p>
    <w:p w:rsidRPr="00802DA6" w:rsidR="00495003" w:rsidP="00495003" w:rsidRDefault="00495003" w14:paraId="34E1FCD7" w14:textId="77777777">
      <w:pPr>
        <w:spacing w:line="240" w:lineRule="auto"/>
        <w:jc w:val="both"/>
        <w:rPr>
          <w:rStyle w:val="Textoennegrita"/>
          <w:b w:val="0"/>
          <w:lang w:val="es-PE"/>
        </w:rPr>
      </w:pPr>
      <w:r w:rsidRPr="00802DA6">
        <w:rPr>
          <w:rStyle w:val="Textoennegrita"/>
          <w:rFonts w:ascii="Times New Roman" w:hAnsi="Times New Roman" w:cs="Times New Roman"/>
          <w:b w:val="0"/>
          <w:sz w:val="24"/>
          <w:szCs w:val="24"/>
          <w:lang w:val="es-PE"/>
        </w:rPr>
        <w:t>En tal sentido, no corresponde que nos pronunciemos respecto a los siguientes puntos solicitados por la reclamante (i) declarar los hechos como una conducta infractora de la Ley de Protección y Defensa del Consumidor y que (</w:t>
      </w:r>
      <w:proofErr w:type="spellStart"/>
      <w:r w:rsidRPr="00802DA6">
        <w:rPr>
          <w:rStyle w:val="Textoennegrita"/>
          <w:rFonts w:ascii="Times New Roman" w:hAnsi="Times New Roman" w:cs="Times New Roman"/>
          <w:b w:val="0"/>
          <w:sz w:val="24"/>
          <w:szCs w:val="24"/>
          <w:lang w:val="es-PE"/>
        </w:rPr>
        <w:t>ii</w:t>
      </w:r>
      <w:proofErr w:type="spellEnd"/>
      <w:r w:rsidRPr="00802DA6">
        <w:rPr>
          <w:rStyle w:val="Textoennegrita"/>
          <w:rFonts w:ascii="Times New Roman" w:hAnsi="Times New Roman" w:cs="Times New Roman"/>
          <w:b w:val="0"/>
          <w:sz w:val="24"/>
          <w:szCs w:val="24"/>
          <w:lang w:val="es-PE"/>
        </w:rPr>
        <w:t>) que la denunciada asuma las costas y costos derivados del presente procedimiento administrativo.</w:t>
      </w:r>
    </w:p>
    <w:p w:rsidRPr="00495003" w:rsidR="00495003" w:rsidP="00495003" w:rsidRDefault="00495003" w14:paraId="5CAD8AE9" w14:textId="1BF92FD8">
      <w:pPr>
        <w:spacing w:line="240" w:lineRule="auto"/>
        <w:jc w:val="both"/>
        <w:rPr>
          <w:lang w:val="es-PE"/>
        </w:rPr>
      </w:pPr>
      <w:r w:rsidRPr="61342F1E" w:rsidR="00495003">
        <w:rPr>
          <w:rFonts w:ascii="Times New Roman" w:hAnsi="Times New Roman" w:cs="Times New Roman"/>
          <w:b w:val="1"/>
          <w:bCs w:val="1"/>
          <w:sz w:val="24"/>
          <w:szCs w:val="24"/>
          <w:u w:val="single"/>
          <w:lang w:val="es-PE"/>
        </w:rPr>
        <w:t>TERCERO</w:t>
      </w:r>
      <w:r w:rsidRPr="61342F1E" w:rsidR="00495003">
        <w:rPr>
          <w:rFonts w:ascii="Times New Roman" w:hAnsi="Times New Roman" w:cs="Times New Roman"/>
          <w:b w:val="1"/>
          <w:bCs w:val="1"/>
          <w:sz w:val="24"/>
          <w:szCs w:val="24"/>
          <w:lang w:val="es-PE"/>
        </w:rPr>
        <w:t>:</w:t>
      </w:r>
      <w:r w:rsidRPr="61342F1E" w:rsidR="00495003">
        <w:rPr>
          <w:rStyle w:val="Textoennegrita"/>
          <w:rFonts w:ascii="Times New Roman" w:hAnsi="Times New Roman" w:cs="Times New Roman"/>
          <w:sz w:val="24"/>
          <w:szCs w:val="24"/>
          <w:lang w:val="es-PE"/>
        </w:rPr>
        <w:t xml:space="preserve"> </w:t>
      </w:r>
      <w:r w:rsidRPr="61342F1E" w:rsidR="00495003">
        <w:rPr>
          <w:rStyle w:val="Textoennegrita"/>
          <w:rFonts w:ascii="Times New Roman" w:hAnsi="Times New Roman" w:cs="Times New Roman"/>
          <w:b w:val="0"/>
          <w:bCs w:val="0"/>
          <w:sz w:val="24"/>
          <w:szCs w:val="24"/>
          <w:lang w:val="es-PE"/>
        </w:rPr>
        <w:t>Asimismo,</w:t>
      </w:r>
      <w:r w:rsidRPr="61342F1E" w:rsidR="00495003">
        <w:rPr>
          <w:rStyle w:val="Textoennegrita"/>
          <w:rFonts w:ascii="Times New Roman" w:hAnsi="Times New Roman" w:cs="Times New Roman"/>
          <w:sz w:val="24"/>
          <w:szCs w:val="24"/>
          <w:lang w:val="es-PE"/>
        </w:rPr>
        <w:t xml:space="preserve"> </w:t>
      </w:r>
      <w:r w:rsidRPr="61342F1E" w:rsidR="00495003">
        <w:rPr>
          <w:rFonts w:ascii="Times New Roman" w:hAnsi="Times New Roman" w:cs="Times New Roman"/>
          <w:sz w:val="24"/>
          <w:szCs w:val="24"/>
          <w:lang w:val="es-PE"/>
        </w:rPr>
        <w:t>se reitera que las relaciones comerciales y jurídicas que mantenga la reclamante con la entidad</w:t>
      </w:r>
      <w:r w:rsidRPr="61342F1E" w:rsidR="00495003">
        <w:rPr>
          <w:rFonts w:ascii="Times New Roman" w:hAnsi="Times New Roman" w:cs="Times New Roman"/>
          <w:sz w:val="24"/>
          <w:szCs w:val="24"/>
          <w:lang w:val="es-PE"/>
        </w:rPr>
        <w:t xml:space="preserve"> bancaria emisora de tarjetas de crédito y/o débito es independiente de las que mantiene con </w:t>
      </w:r>
      <w:r w:rsidRPr="61342F1E" w:rsidR="699D49B0">
        <w:rPr>
          <w:rFonts w:ascii="Times New Roman" w:hAnsi="Times New Roman" w:cs="Times New Roman"/>
          <w:sz w:val="24"/>
          <w:szCs w:val="24"/>
          <w:lang w:val="es-PE"/>
        </w:rPr>
        <w:t>..................................</w:t>
      </w:r>
      <w:r w:rsidRPr="61342F1E" w:rsidR="00495003">
        <w:rPr>
          <w:rFonts w:ascii="Times New Roman" w:hAnsi="Times New Roman" w:cs="Times New Roman"/>
          <w:sz w:val="24"/>
          <w:szCs w:val="24"/>
          <w:lang w:val="es-PE"/>
        </w:rPr>
        <w:t xml:space="preserve">, empresa esta última distinta al señalado banco.  Conforme a ello, cualquier disconformidad del reclamante respecto al servicio financiero recibido, son ajenas a la relación contractual que mantiene con </w:t>
      </w:r>
      <w:r w:rsidRPr="61342F1E" w:rsidR="699D49B0">
        <w:rPr>
          <w:rFonts w:ascii="Times New Roman" w:hAnsi="Times New Roman" w:cs="Times New Roman"/>
          <w:sz w:val="24"/>
          <w:szCs w:val="24"/>
          <w:lang w:val="es-PE"/>
        </w:rPr>
        <w:t>..................................</w:t>
      </w:r>
      <w:r w:rsidRPr="61342F1E" w:rsidR="00495003">
        <w:rPr>
          <w:rFonts w:ascii="Times New Roman" w:hAnsi="Times New Roman" w:cs="Times New Roman"/>
          <w:sz w:val="24"/>
          <w:szCs w:val="24"/>
          <w:lang w:val="es-PE"/>
        </w:rPr>
        <w:t>, independientemente que la póliza se haya contratado a través de la señalada empresa financiera.</w:t>
      </w:r>
    </w:p>
    <w:p w:rsidR="00495003" w:rsidP="00495003" w:rsidRDefault="00495003" w14:paraId="08B6FF70" w14:textId="77777777">
      <w:pPr>
        <w:tabs>
          <w:tab w:val="left" w:pos="0"/>
          <w:tab w:val="left" w:pos="2160"/>
        </w:tabs>
        <w:jc w:val="both"/>
        <w:rPr>
          <w:rFonts w:ascii="Times New Roman" w:hAnsi="Times New Roman" w:cs="Times New Roman"/>
          <w:sz w:val="24"/>
          <w:szCs w:val="24"/>
          <w:lang w:val="es-ES"/>
        </w:rPr>
      </w:pPr>
      <w:r>
        <w:rPr>
          <w:rFonts w:ascii="Times New Roman" w:hAnsi="Times New Roman" w:cs="Times New Roman"/>
          <w:b/>
          <w:bCs/>
          <w:sz w:val="24"/>
          <w:szCs w:val="24"/>
          <w:u w:val="single"/>
          <w:lang w:val="es-PE"/>
        </w:rPr>
        <w:t>CUARTO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w:t>
      </w:r>
      <w:r>
        <w:rPr>
          <w:rFonts w:ascii="Times New Roman" w:hAnsi="Times New Roman" w:cs="Times New Roman"/>
          <w:sz w:val="24"/>
          <w:szCs w:val="24"/>
          <w:lang w:val="es-PE"/>
        </w:rPr>
        <w:t xml:space="preserve">Atendiendo a los fundamentos de las impugnaciones interpuestas, se advierte que las partes insisten en sus argumentos ya analizados, </w:t>
      </w:r>
      <w:r>
        <w:rPr>
          <w:rFonts w:ascii="Times New Roman" w:hAnsi="Times New Roman" w:cs="Times New Roman"/>
          <w:bCs/>
          <w:sz w:val="24"/>
          <w:szCs w:val="24"/>
          <w:lang w:val="es-PE"/>
        </w:rPr>
        <w:t xml:space="preserve">de manera que los recursos impugnatorios </w:t>
      </w:r>
      <w:r>
        <w:rPr>
          <w:rFonts w:ascii="Times New Roman" w:hAnsi="Times New Roman" w:cs="Times New Roman"/>
          <w:sz w:val="24"/>
          <w:szCs w:val="24"/>
          <w:lang w:val="es-ES"/>
        </w:rPr>
        <w:t xml:space="preserve">interpuestos pueden ser categorizados, por su contenido mismo, como una solicitud de revisión general, sustentada exclusivamente en el criterio de cada parte, que esta Defensoría respeta pero no comparte,  sin aportar medio probatorio que permita efectivamente concluir que el </w:t>
      </w:r>
      <w:r>
        <w:rPr>
          <w:rFonts w:ascii="Times New Roman" w:hAnsi="Times New Roman" w:cs="Times New Roman"/>
          <w:sz w:val="24"/>
          <w:szCs w:val="24"/>
          <w:lang w:val="es-PE"/>
        </w:rPr>
        <w:t>Órgano Resolutivo Unipersonal</w:t>
      </w:r>
      <w:r>
        <w:rPr>
          <w:rFonts w:ascii="Times New Roman" w:hAnsi="Times New Roman" w:cs="Times New Roman"/>
          <w:sz w:val="24"/>
          <w:szCs w:val="24"/>
          <w:lang w:val="es-ES"/>
        </w:rPr>
        <w:t xml:space="preserve">  incurrió en error o vicio al momento de resolver. </w:t>
      </w:r>
    </w:p>
    <w:p w:rsidR="00495003" w:rsidP="00495003" w:rsidRDefault="00495003" w14:paraId="6F7229A7" w14:textId="77777777">
      <w:pPr>
        <w:tabs>
          <w:tab w:val="left" w:pos="0"/>
          <w:tab w:val="left" w:pos="2160"/>
        </w:tabs>
        <w:jc w:val="both"/>
        <w:rPr>
          <w:rFonts w:ascii="Times New Roman" w:hAnsi="Times New Roman" w:cs="Times New Roman"/>
          <w:lang w:val="es-ES"/>
        </w:rPr>
      </w:pPr>
      <w:r>
        <w:rPr>
          <w:rFonts w:ascii="Times New Roman" w:hAnsi="Times New Roman" w:cs="Times New Roman"/>
          <w:sz w:val="24"/>
          <w:szCs w:val="24"/>
          <w:lang w:val="es-ES"/>
        </w:rPr>
        <w:t>En efecto, de la lectura de los recursos impugnativos se aprecia dicha disconformidad, descalificando lo resuelto por la DEFASEG por el solo hecho que no se han recogido los argumentos de cada parte.</w:t>
      </w:r>
    </w:p>
    <w:p w:rsidR="00495003" w:rsidP="00495003" w:rsidRDefault="00495003" w14:paraId="09B4CDD4"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Sobre el particular, este Colegiado advierte que, la Resolución Nro. 075/22, expedida por el Órgano Resolutivo Unipersonal de esta Defensoría del Asegurado (DEFASEG), se fundamenta en lo siguiente:</w:t>
      </w:r>
    </w:p>
    <w:p w:rsidR="00495003" w:rsidP="00495003" w:rsidRDefault="00495003" w14:paraId="7848EFB1" w14:textId="667641AE">
      <w:pPr>
        <w:pStyle w:val="Prrafodelista"/>
        <w:numPr>
          <w:ilvl w:val="0"/>
          <w:numId w:val="23"/>
        </w:numPr>
        <w:spacing w:line="256" w:lineRule="auto"/>
        <w:jc w:val="both"/>
        <w:rPr>
          <w:rFonts w:ascii="Times New Roman" w:hAnsi="Times New Roman" w:cs="Times New Roman"/>
          <w:sz w:val="24"/>
          <w:szCs w:val="24"/>
          <w:lang w:val="es-MX"/>
        </w:rPr>
      </w:pPr>
      <w:r w:rsidRPr="61342F1E" w:rsidR="00495003">
        <w:rPr>
          <w:rFonts w:ascii="Times New Roman" w:hAnsi="Times New Roman" w:cs="Times New Roman"/>
          <w:sz w:val="24"/>
          <w:szCs w:val="24"/>
          <w:lang w:val="es-MX"/>
        </w:rPr>
        <w:t>Las operaciones indebidas son tres: (i) un retiro de cajero en efectivo por la suma de S/. 2,700.00, (</w:t>
      </w:r>
      <w:r w:rsidRPr="61342F1E" w:rsidR="00495003">
        <w:rPr>
          <w:rFonts w:ascii="Times New Roman" w:hAnsi="Times New Roman" w:cs="Times New Roman"/>
          <w:sz w:val="24"/>
          <w:szCs w:val="24"/>
          <w:lang w:val="es-MX"/>
        </w:rPr>
        <w:t>ii</w:t>
      </w:r>
      <w:r w:rsidRPr="61342F1E" w:rsidR="00495003">
        <w:rPr>
          <w:rFonts w:ascii="Times New Roman" w:hAnsi="Times New Roman" w:cs="Times New Roman"/>
          <w:sz w:val="24"/>
          <w:szCs w:val="24"/>
          <w:lang w:val="es-MX"/>
        </w:rPr>
        <w:t>) una transferencia a terceros por la suma de S/ 3,400.00 y (</w:t>
      </w:r>
      <w:r w:rsidRPr="61342F1E" w:rsidR="00495003">
        <w:rPr>
          <w:rFonts w:ascii="Times New Roman" w:hAnsi="Times New Roman" w:cs="Times New Roman"/>
          <w:sz w:val="24"/>
          <w:szCs w:val="24"/>
          <w:lang w:val="es-MX"/>
        </w:rPr>
        <w:t>iii</w:t>
      </w:r>
      <w:r w:rsidRPr="61342F1E" w:rsidR="00495003">
        <w:rPr>
          <w:rFonts w:ascii="Times New Roman" w:hAnsi="Times New Roman" w:cs="Times New Roman"/>
          <w:sz w:val="24"/>
          <w:szCs w:val="24"/>
          <w:lang w:val="es-MX"/>
        </w:rPr>
        <w:t xml:space="preserve">) una compra en el establecimiento comercial </w:t>
      </w:r>
      <w:r w:rsidRPr="61342F1E" w:rsidR="75D2A65A">
        <w:rPr>
          <w:rFonts w:ascii="Times New Roman" w:hAnsi="Times New Roman" w:cs="Times New Roman"/>
          <w:sz w:val="24"/>
          <w:szCs w:val="24"/>
          <w:lang w:val="es-MX"/>
        </w:rPr>
        <w:t>................</w:t>
      </w:r>
      <w:r w:rsidRPr="61342F1E" w:rsidR="00495003">
        <w:rPr>
          <w:rFonts w:ascii="Times New Roman" w:hAnsi="Times New Roman" w:cs="Times New Roman"/>
          <w:sz w:val="24"/>
          <w:szCs w:val="24"/>
          <w:lang w:val="es-MX"/>
        </w:rPr>
        <w:t xml:space="preserve"> por la suma de S/ 1,993,30.</w:t>
      </w:r>
    </w:p>
    <w:p w:rsidR="00495003" w:rsidP="00495003" w:rsidRDefault="00495003" w14:paraId="2120438D" w14:textId="77777777">
      <w:pPr>
        <w:pStyle w:val="Prrafodelista"/>
        <w:jc w:val="both"/>
        <w:rPr>
          <w:rFonts w:ascii="Times New Roman" w:hAnsi="Times New Roman" w:cs="Times New Roman"/>
          <w:sz w:val="24"/>
          <w:szCs w:val="24"/>
          <w:lang w:val="es-MX"/>
        </w:rPr>
      </w:pPr>
    </w:p>
    <w:p w:rsidR="00495003" w:rsidP="00495003" w:rsidRDefault="00495003" w14:paraId="6DCC4193" w14:textId="77777777">
      <w:pPr>
        <w:pStyle w:val="Prrafodelista"/>
        <w:numPr>
          <w:ilvl w:val="0"/>
          <w:numId w:val="23"/>
        </w:numPr>
        <w:spacing w:line="256" w:lineRule="auto"/>
        <w:jc w:val="both"/>
        <w:rPr>
          <w:rFonts w:ascii="Times New Roman" w:hAnsi="Times New Roman" w:cs="Times New Roman"/>
          <w:sz w:val="24"/>
          <w:szCs w:val="24"/>
          <w:lang w:val="es-MX"/>
        </w:rPr>
      </w:pPr>
      <w:r>
        <w:rPr>
          <w:rFonts w:ascii="Times New Roman" w:hAnsi="Times New Roman" w:cs="Times New Roman"/>
          <w:sz w:val="24"/>
          <w:szCs w:val="24"/>
          <w:lang w:val="es-MX"/>
        </w:rPr>
        <w:t>El</w:t>
      </w:r>
      <w:r>
        <w:rPr>
          <w:rFonts w:ascii="Times New Roman" w:hAnsi="Times New Roman" w:cs="Times New Roman"/>
          <w:sz w:val="24"/>
          <w:szCs w:val="24"/>
          <w:lang w:val="es-PE"/>
        </w:rPr>
        <w:t xml:space="preserve"> denominado “cambiazo” es cuando al titular de la tarjeta le cambian la misma, sin que lo advierta; ya sea que se entrega la tarjeta producto de un engaño (entrega voluntaria de la tarjeta) y sin percibirlo esta le es cambiada o que esta le sea arrebatada (entrega involuntaria de la tarjeta) y al recuperarla le entregan </w:t>
      </w:r>
      <w:proofErr w:type="gramStart"/>
      <w:r>
        <w:rPr>
          <w:rFonts w:ascii="Times New Roman" w:hAnsi="Times New Roman" w:cs="Times New Roman"/>
          <w:sz w:val="24"/>
          <w:szCs w:val="24"/>
          <w:lang w:val="es-PE"/>
        </w:rPr>
        <w:t>otra .</w:t>
      </w:r>
      <w:proofErr w:type="gramEnd"/>
      <w:r>
        <w:rPr>
          <w:rFonts w:ascii="Times New Roman" w:hAnsi="Times New Roman" w:cs="Times New Roman"/>
          <w:sz w:val="24"/>
          <w:szCs w:val="24"/>
          <w:lang w:val="es-PE"/>
        </w:rPr>
        <w:t xml:space="preserve">  En el caso concreto, el “cambiazo” proviene de un acto involuntario de entrega de la tarjeta, en tanto de la denuncia policial se desprende que el delincuente le quitó la tarjeta para supuestamente </w:t>
      </w:r>
      <w:r>
        <w:rPr>
          <w:rFonts w:ascii="Times New Roman" w:hAnsi="Times New Roman" w:cs="Times New Roman"/>
          <w:sz w:val="24"/>
          <w:szCs w:val="24"/>
          <w:lang w:val="es-PE"/>
        </w:rPr>
        <w:lastRenderedPageBreak/>
        <w:t xml:space="preserve">limpiarla, cambiándosela sin que la asegurada se percatara en ese momento del hecho, recibiendo una tarjeta que ya no era la suya. </w:t>
      </w:r>
    </w:p>
    <w:p w:rsidR="00495003" w:rsidP="00495003" w:rsidRDefault="00495003" w14:paraId="4FFC9DEF" w14:textId="77777777">
      <w:pPr>
        <w:pStyle w:val="Prrafodelista"/>
        <w:rPr>
          <w:rFonts w:ascii="Times New Roman" w:hAnsi="Times New Roman" w:cs="Times New Roman"/>
          <w:sz w:val="24"/>
          <w:szCs w:val="24"/>
          <w:lang w:val="es-MX"/>
        </w:rPr>
      </w:pPr>
    </w:p>
    <w:p w:rsidR="00495003" w:rsidP="00495003" w:rsidRDefault="00495003" w14:paraId="2943CBA4" w14:textId="77777777">
      <w:pPr>
        <w:pStyle w:val="Prrafodelista"/>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No obstante, la póliza no cubre todos los supuestos de utilización indebida de la tarjeta de crédito, sino solo los enumerados en el certificado de seguro y referidos en la resolución impugnada. </w:t>
      </w:r>
    </w:p>
    <w:p w:rsidR="00495003" w:rsidP="00495003" w:rsidRDefault="00495003" w14:paraId="28E8290C" w14:textId="77777777">
      <w:pPr>
        <w:pStyle w:val="Prrafodelista"/>
        <w:jc w:val="both"/>
        <w:rPr>
          <w:rFonts w:ascii="Times New Roman" w:hAnsi="Times New Roman" w:cs="Times New Roman"/>
          <w:sz w:val="24"/>
          <w:szCs w:val="24"/>
          <w:lang w:val="es-MX"/>
        </w:rPr>
      </w:pPr>
    </w:p>
    <w:p w:rsidR="00495003" w:rsidP="00495003" w:rsidRDefault="00495003" w14:paraId="6D7B7C5C" w14:textId="558ED297">
      <w:pPr>
        <w:pStyle w:val="Prrafodelista"/>
        <w:jc w:val="both"/>
        <w:rPr>
          <w:rFonts w:ascii="Times New Roman" w:hAnsi="Times New Roman" w:cs="Times New Roman"/>
          <w:sz w:val="24"/>
          <w:szCs w:val="24"/>
          <w:lang w:val="es-MX"/>
        </w:rPr>
      </w:pPr>
      <w:r w:rsidRPr="61342F1E" w:rsidR="00495003">
        <w:rPr>
          <w:rFonts w:ascii="Times New Roman" w:hAnsi="Times New Roman" w:cs="Times New Roman"/>
          <w:sz w:val="24"/>
          <w:szCs w:val="24"/>
          <w:lang w:val="es-MX"/>
        </w:rPr>
        <w:t xml:space="preserve">Respecto de la primera cobertura denominada “uso indebido (por robo o hurto)” esta solo se </w:t>
      </w:r>
      <w:r w:rsidRPr="61342F1E" w:rsidR="00495003">
        <w:rPr>
          <w:rFonts w:ascii="Times New Roman" w:hAnsi="Times New Roman" w:cs="Times New Roman"/>
          <w:sz w:val="24"/>
          <w:szCs w:val="24"/>
          <w:lang w:val="es-MX"/>
        </w:rPr>
        <w:t>configura ,</w:t>
      </w:r>
      <w:r w:rsidRPr="61342F1E" w:rsidR="00495003">
        <w:rPr>
          <w:rFonts w:ascii="Times New Roman" w:hAnsi="Times New Roman" w:cs="Times New Roman"/>
          <w:sz w:val="24"/>
          <w:szCs w:val="24"/>
          <w:lang w:val="es-MX"/>
        </w:rPr>
        <w:t xml:space="preserve"> cuando dicho uso se realiza en establecimientos comerciales y se produce como consecuencia del robo y/o hurto de la respectiva </w:t>
      </w:r>
      <w:r w:rsidRPr="61342F1E" w:rsidR="00495003">
        <w:rPr>
          <w:rFonts w:ascii="Times New Roman" w:hAnsi="Times New Roman" w:cs="Times New Roman"/>
          <w:sz w:val="24"/>
          <w:szCs w:val="24"/>
          <w:lang w:val="es-MX"/>
        </w:rPr>
        <w:t>tarjeta .</w:t>
      </w:r>
      <w:r w:rsidRPr="61342F1E" w:rsidR="00495003">
        <w:rPr>
          <w:rFonts w:ascii="Times New Roman" w:hAnsi="Times New Roman" w:cs="Times New Roman"/>
          <w:sz w:val="24"/>
          <w:szCs w:val="24"/>
          <w:lang w:val="es-MX"/>
        </w:rPr>
        <w:t xml:space="preserve"> En tal sentido, bajo este primer supuesto, no resultan bajo cobertura los usos indebidos de la tarjeta que sean consecuencia de una pérdida derivada del denominado “cambiazo”, evento que por sí solo no forma parte del alcance de la </w:t>
      </w:r>
      <w:r w:rsidRPr="61342F1E" w:rsidR="00495003">
        <w:rPr>
          <w:rFonts w:ascii="Times New Roman" w:hAnsi="Times New Roman" w:cs="Times New Roman"/>
          <w:sz w:val="24"/>
          <w:szCs w:val="24"/>
          <w:lang w:val="es-MX"/>
        </w:rPr>
        <w:t>póliza ,</w:t>
      </w:r>
      <w:r w:rsidRPr="61342F1E" w:rsidR="00495003">
        <w:rPr>
          <w:rFonts w:ascii="Times New Roman" w:hAnsi="Times New Roman" w:cs="Times New Roman"/>
          <w:sz w:val="24"/>
          <w:szCs w:val="24"/>
          <w:lang w:val="es-MX"/>
        </w:rPr>
        <w:t xml:space="preserve"> por lo que no es un riesgo contratado; y es por ello </w:t>
      </w:r>
      <w:r w:rsidRPr="61342F1E" w:rsidR="00495003">
        <w:rPr>
          <w:rFonts w:ascii="Times New Roman" w:hAnsi="Times New Roman" w:cs="Times New Roman"/>
          <w:sz w:val="24"/>
          <w:szCs w:val="24"/>
          <w:lang w:val="es-MX"/>
        </w:rPr>
        <w:t>que</w:t>
      </w:r>
      <w:r w:rsidRPr="61342F1E" w:rsidR="00495003">
        <w:rPr>
          <w:rFonts w:ascii="Times New Roman" w:hAnsi="Times New Roman" w:cs="Times New Roman"/>
          <w:sz w:val="24"/>
          <w:szCs w:val="24"/>
          <w:lang w:val="es-MX"/>
        </w:rPr>
        <w:t xml:space="preserve"> el rechazo de cobertura respecto del consumo realizado en el establecimiento </w:t>
      </w:r>
      <w:r w:rsidRPr="61342F1E" w:rsidR="75D2A65A">
        <w:rPr>
          <w:rFonts w:ascii="Times New Roman" w:hAnsi="Times New Roman" w:cs="Times New Roman"/>
          <w:sz w:val="24"/>
          <w:szCs w:val="24"/>
          <w:lang w:val="es-MX"/>
        </w:rPr>
        <w:t>................</w:t>
      </w:r>
      <w:r w:rsidRPr="61342F1E" w:rsidR="00495003">
        <w:rPr>
          <w:rFonts w:ascii="Times New Roman" w:hAnsi="Times New Roman" w:cs="Times New Roman"/>
          <w:sz w:val="24"/>
          <w:szCs w:val="24"/>
          <w:lang w:val="es-MX"/>
        </w:rPr>
        <w:t xml:space="preserve"> es legítimo</w:t>
      </w:r>
    </w:p>
    <w:p w:rsidR="00495003" w:rsidP="00495003" w:rsidRDefault="00495003" w14:paraId="355ECECF" w14:textId="77777777">
      <w:pPr>
        <w:pStyle w:val="Prrafodelista"/>
        <w:jc w:val="both"/>
        <w:rPr>
          <w:rFonts w:ascii="Times New Roman" w:hAnsi="Times New Roman" w:cs="Times New Roman"/>
          <w:sz w:val="24"/>
          <w:szCs w:val="24"/>
          <w:lang w:val="es-MX"/>
        </w:rPr>
      </w:pPr>
    </w:p>
    <w:p w:rsidR="00495003" w:rsidP="00495003" w:rsidRDefault="00495003" w14:paraId="11309892" w14:textId="77777777">
      <w:pPr>
        <w:pStyle w:val="Prrafodelista"/>
        <w:jc w:val="both"/>
        <w:rPr>
          <w:rFonts w:ascii="Times New Roman" w:hAnsi="Times New Roman" w:cs="Times New Roman"/>
          <w:sz w:val="24"/>
          <w:szCs w:val="24"/>
          <w:lang w:val="es-MX"/>
        </w:rPr>
      </w:pPr>
      <w:r>
        <w:rPr>
          <w:rFonts w:ascii="Times New Roman" w:hAnsi="Times New Roman" w:cs="Times New Roman"/>
          <w:sz w:val="24"/>
          <w:szCs w:val="24"/>
          <w:lang w:val="es-PE"/>
        </w:rPr>
        <w:t xml:space="preserve">Tampoco se advierte que se hayan materializado las coberturas de </w:t>
      </w:r>
      <w:r>
        <w:rPr>
          <w:rFonts w:ascii="Times New Roman" w:hAnsi="Times New Roman" w:cs="Times New Roman"/>
          <w:i/>
          <w:iCs/>
          <w:sz w:val="24"/>
          <w:szCs w:val="24"/>
          <w:lang w:val="es-PE"/>
        </w:rPr>
        <w:t>uso forzado de la tarjeta en un cajero automático</w:t>
      </w:r>
      <w:r>
        <w:rPr>
          <w:rFonts w:ascii="Times New Roman" w:hAnsi="Times New Roman" w:cs="Times New Roman"/>
          <w:sz w:val="24"/>
          <w:szCs w:val="24"/>
          <w:lang w:val="es-PE"/>
        </w:rPr>
        <w:t xml:space="preserve"> (segunda cobertura indicada en el certificado seguro) ni el </w:t>
      </w:r>
      <w:r>
        <w:rPr>
          <w:rFonts w:ascii="Times New Roman" w:hAnsi="Times New Roman" w:cs="Times New Roman"/>
          <w:i/>
          <w:iCs/>
          <w:sz w:val="24"/>
          <w:szCs w:val="24"/>
          <w:lang w:val="es-PE"/>
        </w:rPr>
        <w:t>robo de dinero retirado de los cajeros automáticos</w:t>
      </w:r>
      <w:r>
        <w:rPr>
          <w:rFonts w:ascii="Times New Roman" w:hAnsi="Times New Roman" w:cs="Times New Roman"/>
          <w:sz w:val="24"/>
          <w:szCs w:val="24"/>
          <w:lang w:val="es-PE"/>
        </w:rPr>
        <w:t xml:space="preserve"> (tercera cobertura indicada en el certificado de seguro), pues dichas coberturas presuponen que el asegurado ha sido víctima de secuestro o, que sea el asegurado quien retire el dinero del cajero automático y luego sea materia de un robo del dinero retirado, respectivamente.  </w:t>
      </w:r>
      <w:r>
        <w:rPr>
          <w:rFonts w:ascii="Times New Roman" w:hAnsi="Times New Roman" w:cs="Times New Roman"/>
          <w:sz w:val="24"/>
          <w:szCs w:val="24"/>
          <w:lang w:val="es-MX"/>
        </w:rPr>
        <w:t>Asimismo, los eventos tampoco encajarían dentro de las coberturas 4,5,6,7 y 8 indicadas en el certificado de seguro.</w:t>
      </w:r>
    </w:p>
    <w:p w:rsidR="00495003" w:rsidP="00495003" w:rsidRDefault="00495003" w14:paraId="1059C374" w14:textId="77777777">
      <w:pPr>
        <w:pStyle w:val="Prrafodelista"/>
        <w:jc w:val="both"/>
        <w:rPr>
          <w:rFonts w:ascii="Times New Roman" w:hAnsi="Times New Roman" w:cs="Times New Roman"/>
          <w:sz w:val="24"/>
          <w:szCs w:val="24"/>
          <w:lang w:val="es-MX"/>
        </w:rPr>
      </w:pPr>
    </w:p>
    <w:p w:rsidR="00495003" w:rsidP="00495003" w:rsidRDefault="00495003" w14:paraId="5EABE546" w14:textId="586228EB">
      <w:pPr>
        <w:pStyle w:val="Prrafodelista"/>
        <w:jc w:val="both"/>
        <w:rPr>
          <w:rFonts w:ascii="Times New Roman" w:hAnsi="Times New Roman" w:cs="Times New Roman"/>
          <w:sz w:val="24"/>
          <w:szCs w:val="24"/>
          <w:lang w:val="es-MX"/>
        </w:rPr>
      </w:pPr>
      <w:r w:rsidRPr="61342F1E" w:rsidR="00495003">
        <w:rPr>
          <w:rFonts w:ascii="Times New Roman" w:hAnsi="Times New Roman" w:cs="Times New Roman"/>
          <w:sz w:val="24"/>
          <w:szCs w:val="24"/>
          <w:lang w:val="es-PE"/>
        </w:rPr>
        <w:t xml:space="preserve">Por consiguiente, respecto de </w:t>
      </w:r>
      <w:r w:rsidRPr="61342F1E" w:rsidR="00495003">
        <w:rPr>
          <w:rFonts w:ascii="Times New Roman" w:hAnsi="Times New Roman" w:cs="Times New Roman"/>
          <w:sz w:val="24"/>
          <w:szCs w:val="24"/>
          <w:lang w:val="es-MX"/>
        </w:rPr>
        <w:t xml:space="preserve">las operaciones indebidas por retiro de cajero en efectivo por la suma de S/. 2,700.00 y por compra en el establecimiento comercial </w:t>
      </w:r>
      <w:r w:rsidRPr="61342F1E" w:rsidR="75D2A65A">
        <w:rPr>
          <w:rFonts w:ascii="Times New Roman" w:hAnsi="Times New Roman" w:cs="Times New Roman"/>
          <w:sz w:val="24"/>
          <w:szCs w:val="24"/>
          <w:lang w:val="es-MX"/>
        </w:rPr>
        <w:t>................</w:t>
      </w:r>
      <w:r w:rsidRPr="61342F1E" w:rsidR="00495003">
        <w:rPr>
          <w:rFonts w:ascii="Times New Roman" w:hAnsi="Times New Roman" w:cs="Times New Roman"/>
          <w:sz w:val="24"/>
          <w:szCs w:val="24"/>
          <w:lang w:val="es-MX"/>
        </w:rPr>
        <w:t xml:space="preserve"> por la suma de S/ 1,993,30</w:t>
      </w:r>
      <w:r w:rsidRPr="61342F1E" w:rsidR="00495003">
        <w:rPr>
          <w:rFonts w:ascii="Times New Roman" w:hAnsi="Times New Roman" w:cs="Times New Roman"/>
          <w:sz w:val="24"/>
          <w:szCs w:val="24"/>
          <w:lang w:val="es-PE"/>
        </w:rPr>
        <w:t>, el rechazo de cobertura es legítimo.</w:t>
      </w:r>
    </w:p>
    <w:p w:rsidR="00495003" w:rsidP="00495003" w:rsidRDefault="00495003" w14:paraId="038787C0" w14:textId="77777777">
      <w:pPr>
        <w:pStyle w:val="Prrafodelista"/>
        <w:jc w:val="both"/>
        <w:rPr>
          <w:rFonts w:ascii="Times New Roman" w:hAnsi="Times New Roman" w:cs="Times New Roman"/>
          <w:sz w:val="24"/>
          <w:szCs w:val="24"/>
          <w:lang w:val="es-MX"/>
        </w:rPr>
      </w:pPr>
    </w:p>
    <w:p w:rsidR="00495003" w:rsidP="00495003" w:rsidRDefault="00495003" w14:paraId="016F71A6" w14:textId="77777777">
      <w:pPr>
        <w:pStyle w:val="Prrafodelista"/>
        <w:numPr>
          <w:ilvl w:val="0"/>
          <w:numId w:val="23"/>
        </w:numPr>
        <w:spacing w:line="256" w:lineRule="auto"/>
        <w:jc w:val="both"/>
        <w:rPr>
          <w:rFonts w:ascii="Times New Roman" w:hAnsi="Times New Roman" w:cs="Times New Roman"/>
          <w:sz w:val="24"/>
          <w:szCs w:val="24"/>
          <w:lang w:val="es-ES"/>
        </w:rPr>
      </w:pPr>
      <w:r>
        <w:rPr>
          <w:rFonts w:ascii="Times New Roman" w:hAnsi="Times New Roman" w:cs="Times New Roman"/>
          <w:sz w:val="24"/>
          <w:szCs w:val="24"/>
          <w:lang w:val="es-MX"/>
        </w:rPr>
        <w:t xml:space="preserve">Por otro lado, de la descripción de la </w:t>
      </w:r>
      <w:r>
        <w:rPr>
          <w:rFonts w:ascii="Times New Roman" w:hAnsi="Times New Roman" w:cs="Times New Roman"/>
          <w:sz w:val="24"/>
          <w:szCs w:val="24"/>
          <w:lang w:val="es-PE"/>
        </w:rPr>
        <w:t>Cobertura Patrimonial por Transferencias (última cobertura indicada en el certificado de seguro)</w:t>
      </w:r>
      <w:r>
        <w:rPr>
          <w:rFonts w:ascii="Times New Roman" w:hAnsi="Times New Roman" w:cs="Times New Roman"/>
          <w:sz w:val="24"/>
          <w:szCs w:val="24"/>
          <w:lang w:val="es-MX"/>
        </w:rPr>
        <w:t xml:space="preserve">, </w:t>
      </w:r>
      <w:r>
        <w:rPr>
          <w:rFonts w:ascii="Times New Roman" w:hAnsi="Times New Roman" w:cs="Times New Roman"/>
          <w:sz w:val="24"/>
          <w:szCs w:val="24"/>
          <w:lang w:val="es-PE"/>
        </w:rPr>
        <w:t xml:space="preserve">la póliza asegura el dinero que sea transferido desde la cuenta, mediante el uso indebido por parte de terceros de claves y/o contraseñas las cuales el asegurado no ha autorizado. </w:t>
      </w:r>
    </w:p>
    <w:p w:rsidR="00495003" w:rsidP="00495003" w:rsidRDefault="00495003" w14:paraId="2B6796D1" w14:textId="77777777">
      <w:pPr>
        <w:pStyle w:val="Prrafodelista"/>
        <w:jc w:val="both"/>
        <w:rPr>
          <w:rFonts w:ascii="Times New Roman" w:hAnsi="Times New Roman" w:cs="Times New Roman"/>
          <w:sz w:val="24"/>
          <w:szCs w:val="24"/>
          <w:lang w:val="es-ES"/>
        </w:rPr>
      </w:pPr>
    </w:p>
    <w:p w:rsidR="00495003" w:rsidP="00495003" w:rsidRDefault="00495003" w14:paraId="40119B88" w14:textId="77777777">
      <w:pPr>
        <w:pStyle w:val="Prrafodelista"/>
        <w:jc w:val="both"/>
        <w:rPr>
          <w:rFonts w:ascii="Times New Roman" w:hAnsi="Times New Roman" w:cs="Times New Roman"/>
          <w:sz w:val="24"/>
          <w:szCs w:val="24"/>
          <w:lang w:val="es-PE"/>
        </w:rPr>
      </w:pPr>
      <w:r>
        <w:rPr>
          <w:rFonts w:ascii="Times New Roman" w:hAnsi="Times New Roman" w:cs="Times New Roman"/>
          <w:sz w:val="24"/>
          <w:szCs w:val="24"/>
          <w:lang w:val="es-PE"/>
        </w:rPr>
        <w:t>Dicha cobertura no limita el riesgo a determinadas modalidades delictivas que facilitan el uso indebido de la tarjeta, sólo condiciona que la transferencia haya sido sin autorización y conocimiento del asegurado.</w:t>
      </w:r>
      <w:r>
        <w:rPr>
          <w:rFonts w:ascii="Times New Roman" w:hAnsi="Times New Roman" w:cs="Times New Roman"/>
          <w:sz w:val="24"/>
          <w:szCs w:val="24"/>
          <w:lang w:val="es-MX"/>
        </w:rPr>
        <w:t xml:space="preserve"> </w:t>
      </w:r>
      <w:r>
        <w:rPr>
          <w:rFonts w:ascii="Times New Roman" w:hAnsi="Times New Roman" w:cs="Times New Roman"/>
          <w:sz w:val="24"/>
          <w:szCs w:val="24"/>
          <w:lang w:val="es-PE"/>
        </w:rPr>
        <w:t xml:space="preserve">Sin mención alguna al robo o hurto del plástico mismo; y </w:t>
      </w:r>
      <w:proofErr w:type="gramStart"/>
      <w:r>
        <w:rPr>
          <w:rFonts w:ascii="Times New Roman" w:hAnsi="Times New Roman" w:cs="Times New Roman"/>
          <w:sz w:val="24"/>
          <w:szCs w:val="24"/>
          <w:lang w:val="es-PE"/>
        </w:rPr>
        <w:t>en virtud a</w:t>
      </w:r>
      <w:proofErr w:type="gramEnd"/>
      <w:r>
        <w:rPr>
          <w:rFonts w:ascii="Times New Roman" w:hAnsi="Times New Roman" w:cs="Times New Roman"/>
          <w:sz w:val="24"/>
          <w:szCs w:val="24"/>
          <w:lang w:val="es-PE"/>
        </w:rPr>
        <w:t xml:space="preserve"> ello, la transferencia a terceros realizada con la tarjeta de la reclamante obtenida a través del cambiazo, sí se encuentra cubierta por el seguro; pero no por el hecho de haberse producido un cambiazo, sino porque la operación realizada por los delincuentes corresponde a una transferencia realizada mediante el uso indebido de la tarjeta y clave; y, sin el consentimiento del asegurado. </w:t>
      </w:r>
    </w:p>
    <w:p w:rsidR="00495003" w:rsidP="00495003" w:rsidRDefault="00495003" w14:paraId="7E8879F2" w14:textId="77777777">
      <w:pPr>
        <w:pStyle w:val="Prrafodelista"/>
        <w:jc w:val="both"/>
        <w:rPr>
          <w:rFonts w:ascii="Times New Roman" w:hAnsi="Times New Roman" w:cs="Times New Roman"/>
          <w:sz w:val="24"/>
          <w:szCs w:val="24"/>
          <w:lang w:val="es-PE"/>
        </w:rPr>
      </w:pPr>
    </w:p>
    <w:p w:rsidR="00495003" w:rsidP="00495003" w:rsidRDefault="00495003" w14:paraId="54BB30A6" w14:textId="77777777">
      <w:pPr>
        <w:pStyle w:val="Prrafodelista"/>
        <w:jc w:val="both"/>
        <w:rPr>
          <w:rFonts w:ascii="Times New Roman" w:hAnsi="Times New Roman" w:cs="Times New Roman"/>
          <w:sz w:val="24"/>
          <w:szCs w:val="24"/>
          <w:lang w:val="es-PE"/>
        </w:rPr>
      </w:pPr>
      <w:r>
        <w:rPr>
          <w:rFonts w:ascii="Times New Roman" w:hAnsi="Times New Roman" w:cs="Times New Roman"/>
          <w:sz w:val="24"/>
          <w:szCs w:val="24"/>
          <w:lang w:val="es-PE"/>
        </w:rPr>
        <w:lastRenderedPageBreak/>
        <w:t xml:space="preserve">La aseguradora, considera que todas las coberturas aseguradas implican el previo robo o </w:t>
      </w:r>
      <w:proofErr w:type="gramStart"/>
      <w:r>
        <w:rPr>
          <w:rFonts w:ascii="Times New Roman" w:hAnsi="Times New Roman" w:cs="Times New Roman"/>
          <w:sz w:val="24"/>
          <w:szCs w:val="24"/>
          <w:lang w:val="es-PE"/>
        </w:rPr>
        <w:t>hurto  de</w:t>
      </w:r>
      <w:proofErr w:type="gramEnd"/>
      <w:r>
        <w:rPr>
          <w:rFonts w:ascii="Times New Roman" w:hAnsi="Times New Roman" w:cs="Times New Roman"/>
          <w:sz w:val="24"/>
          <w:szCs w:val="24"/>
          <w:lang w:val="es-PE"/>
        </w:rPr>
        <w:t xml:space="preserve"> la tarjeta asegurada, posición que este colegiado no comparte, pues dicha exigencia del previo robo o hurto, solo está establecida para el primer supuesto de cobertura indicado en el certificado de seguro, más no así para los otros supuestos, tal como fue indicado en el párrafo precedente. </w:t>
      </w:r>
    </w:p>
    <w:p w:rsidR="00495003" w:rsidP="00495003" w:rsidRDefault="00495003" w14:paraId="2C463456" w14:textId="77777777">
      <w:pPr>
        <w:pStyle w:val="Prrafodelista"/>
        <w:jc w:val="both"/>
        <w:rPr>
          <w:rFonts w:ascii="Times New Roman" w:hAnsi="Times New Roman" w:cs="Times New Roman"/>
          <w:sz w:val="24"/>
          <w:szCs w:val="24"/>
          <w:lang w:val="es-PE"/>
        </w:rPr>
      </w:pPr>
    </w:p>
    <w:p w:rsidR="00495003" w:rsidP="00495003" w:rsidRDefault="00495003" w14:paraId="1C528D87" w14:textId="77777777">
      <w:pPr>
        <w:pStyle w:val="Prrafodelista"/>
        <w:jc w:val="both"/>
        <w:rPr>
          <w:rFonts w:ascii="Times New Roman" w:hAnsi="Times New Roman" w:cs="Times New Roman"/>
          <w:sz w:val="24"/>
          <w:szCs w:val="24"/>
          <w:lang w:val="es-ES"/>
        </w:rPr>
      </w:pPr>
      <w:r>
        <w:rPr>
          <w:rFonts w:ascii="Times New Roman" w:hAnsi="Times New Roman" w:cs="Times New Roman"/>
          <w:sz w:val="24"/>
          <w:szCs w:val="24"/>
          <w:lang w:val="es-PE"/>
        </w:rPr>
        <w:t>La cobertura patrimonial por transferencias tiene como tope la suma de US$ 450, y en la medida que el monto reclamado por la transferencia a terceros realizada por los delincuentes excede de dicha suma (S/. 3,400), la cobertura deberá otorgarse hasta el tope antes indicado establecido en la póliza.</w:t>
      </w:r>
    </w:p>
    <w:p w:rsidR="00495003" w:rsidP="00495003" w:rsidRDefault="00495003" w14:paraId="260C360F" w14:textId="21A049EC">
      <w:pPr>
        <w:pStyle w:val="Default"/>
        <w:jc w:val="both"/>
        <w:rPr>
          <w:rFonts w:ascii="Times New Roman" w:hAnsi="Times New Roman" w:cs="Times New Roman"/>
        </w:rPr>
      </w:pPr>
      <w:r>
        <w:rPr>
          <w:rFonts w:ascii="Times New Roman" w:hAnsi="Times New Roman" w:cs="Times New Roman"/>
        </w:rPr>
        <w:t>A este efecto, el Órgano Resolutorio Unipersonal verificó de las pruebas que obraban en autos, que en el certificado de seguro contratado por la reclamante (versión junio 2020) la descripción de las coberturas (i) no cubría la estafa en la modalidad “el cambiazo”, cubriendo el uso indebido en establecimientos comerciales, solo luego del robo o hurto de la tarjeta; y el retiro en cajero automático solo como consecuencia de un secuestro o cuando se produce el robo del dinero retirado por el propio asegurado dentro de un radio de 200 metros) y (</w:t>
      </w:r>
      <w:proofErr w:type="spellStart"/>
      <w:r>
        <w:rPr>
          <w:rFonts w:ascii="Times New Roman" w:hAnsi="Times New Roman" w:cs="Times New Roman"/>
        </w:rPr>
        <w:t>ii</w:t>
      </w:r>
      <w:proofErr w:type="spellEnd"/>
      <w:r>
        <w:rPr>
          <w:rFonts w:ascii="Times New Roman" w:hAnsi="Times New Roman" w:cs="Times New Roman"/>
        </w:rPr>
        <w:t xml:space="preserve">) la cobertura patrimonial por transferencias no limitaba el supuesto de uso indebido a los casos de previo robo o hurto de la tarjeta como sostiene la aseguradora. </w:t>
      </w:r>
    </w:p>
    <w:p w:rsidR="00495003" w:rsidP="00495003" w:rsidRDefault="00495003" w14:paraId="1D40B66F" w14:textId="77777777">
      <w:pPr>
        <w:pStyle w:val="Default"/>
        <w:jc w:val="both"/>
        <w:rPr>
          <w:rFonts w:ascii="Times New Roman" w:hAnsi="Times New Roman" w:cs="Times New Roman"/>
        </w:rPr>
      </w:pPr>
    </w:p>
    <w:p w:rsidR="00495003" w:rsidP="00495003" w:rsidRDefault="00495003" w14:paraId="3D8291E6"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495003" w:rsidP="00495003" w:rsidRDefault="00495003" w14:paraId="55240416"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495003" w:rsidP="61342F1E" w:rsidRDefault="00495003" w14:paraId="61BDB088" w14:textId="53CD8C87">
      <w:pPr>
        <w:pStyle w:val="Default"/>
        <w:jc w:val="both"/>
        <w:rPr>
          <w:rFonts w:ascii="Times New Roman" w:hAnsi="Times New Roman" w:cs="Times New Roman"/>
          <w:b w:val="1"/>
          <w:bCs w:val="1"/>
        </w:rPr>
      </w:pPr>
      <w:r w:rsidRPr="61342F1E" w:rsidR="00495003">
        <w:rPr>
          <w:rFonts w:ascii="Times New Roman" w:hAnsi="Times New Roman" w:cs="Times New Roman"/>
          <w:b w:val="1"/>
          <w:bCs w:val="1"/>
        </w:rPr>
        <w:t xml:space="preserve">DECLARAR INFUNDADOS </w:t>
      </w:r>
      <w:r w:rsidRPr="61342F1E" w:rsidR="00495003">
        <w:rPr>
          <w:rFonts w:ascii="Times New Roman" w:hAnsi="Times New Roman" w:cs="Times New Roman"/>
        </w:rPr>
        <w:t xml:space="preserve">los recursos de impugnación interpuestos, </w:t>
      </w:r>
      <w:r w:rsidRPr="61342F1E" w:rsidR="00495003">
        <w:rPr>
          <w:rFonts w:ascii="Times New Roman" w:hAnsi="Times New Roman" w:cs="Times New Roman"/>
        </w:rPr>
        <w:t>y</w:t>
      </w:r>
      <w:r w:rsidRPr="61342F1E" w:rsidR="00495003">
        <w:rPr>
          <w:rFonts w:ascii="Times New Roman" w:hAnsi="Times New Roman" w:cs="Times New Roman"/>
        </w:rPr>
        <w:t xml:space="preserve"> por consiguiente, ratificar la Resolución </w:t>
      </w:r>
      <w:r w:rsidRPr="61342F1E" w:rsidR="00495003">
        <w:rPr>
          <w:rFonts w:ascii="Times New Roman" w:hAnsi="Times New Roman" w:cs="Times New Roman"/>
        </w:rPr>
        <w:t>N°</w:t>
      </w:r>
      <w:r w:rsidRPr="61342F1E" w:rsidR="00495003">
        <w:rPr>
          <w:rFonts w:ascii="Times New Roman" w:hAnsi="Times New Roman" w:cs="Times New Roman"/>
        </w:rPr>
        <w:t xml:space="preserve"> 075/22 de fecha 7 de abril de 2022 que declaró </w:t>
      </w:r>
      <w:r w:rsidRPr="61342F1E" w:rsidR="00495003">
        <w:rPr>
          <w:rFonts w:ascii="Times New Roman" w:hAnsi="Times New Roman" w:cs="Times New Roman"/>
          <w:b w:val="1"/>
          <w:bCs w:val="1"/>
        </w:rPr>
        <w:t>FUNDADA EN PARTE</w:t>
      </w:r>
      <w:r w:rsidRPr="61342F1E" w:rsidR="00495003">
        <w:rPr>
          <w:rFonts w:ascii="Times New Roman" w:hAnsi="Times New Roman" w:cs="Times New Roman"/>
        </w:rPr>
        <w:t xml:space="preserve"> la reclamación interpuesta por </w:t>
      </w:r>
      <w:r w:rsidRPr="61342F1E" w:rsidR="5B2D8A33">
        <w:rPr>
          <w:rFonts w:ascii="Times New Roman" w:hAnsi="Times New Roman" w:cs="Times New Roman"/>
          <w:b w:val="1"/>
          <w:bCs w:val="1"/>
        </w:rPr>
        <w:t>................................................................</w:t>
      </w:r>
      <w:r w:rsidRPr="61342F1E" w:rsidR="00495003">
        <w:rPr>
          <w:rFonts w:ascii="Times New Roman" w:hAnsi="Times New Roman" w:cs="Times New Roman"/>
        </w:rPr>
        <w:t>.</w:t>
      </w:r>
    </w:p>
    <w:p w:rsidRPr="00495003" w:rsidR="0051503F" w:rsidP="00060442" w:rsidRDefault="0051503F" w14:paraId="49CEE7E5" w14:textId="77777777">
      <w:pPr>
        <w:spacing w:after="0" w:line="240" w:lineRule="auto"/>
        <w:jc w:val="both"/>
        <w:rPr>
          <w:rFonts w:ascii="Times New Roman" w:hAnsi="Times New Roman" w:cs="Times New Roman"/>
          <w:bCs/>
          <w:sz w:val="24"/>
          <w:szCs w:val="24"/>
          <w:lang w:val="es-PE"/>
        </w:rPr>
      </w:pPr>
    </w:p>
    <w:p w:rsidRPr="00565E5A" w:rsidR="00C173A8" w:rsidP="00092C2E" w:rsidRDefault="00C173A8" w14:paraId="21EFD7D3" w14:textId="5B4EBD38">
      <w:pPr>
        <w:suppressAutoHyphens/>
        <w:spacing w:after="0" w:line="240" w:lineRule="auto"/>
        <w:jc w:val="right"/>
        <w:outlineLvl w:val="0"/>
        <w:rPr>
          <w:rFonts w:ascii="Times New Roman" w:hAnsi="Times New Roman" w:eastAsia="Arial Unicode MS" w:cs="Times New Roman"/>
          <w:sz w:val="24"/>
          <w:szCs w:val="24"/>
          <w:lang w:val="es-PE" w:eastAsia="ar-SA"/>
        </w:rPr>
      </w:pPr>
      <w:r w:rsidRPr="00565E5A">
        <w:rPr>
          <w:rFonts w:ascii="Times New Roman" w:hAnsi="Times New Roman" w:eastAsia="Arial Unicode MS" w:cs="Times New Roman"/>
          <w:sz w:val="24"/>
          <w:szCs w:val="24"/>
          <w:lang w:val="es-PE" w:eastAsia="ar-SA"/>
        </w:rPr>
        <w:t xml:space="preserve">Lima, </w:t>
      </w:r>
      <w:r w:rsidRPr="00565E5A" w:rsidR="009D5E36">
        <w:rPr>
          <w:rFonts w:ascii="Times New Roman" w:hAnsi="Times New Roman" w:eastAsia="Arial Unicode MS" w:cs="Times New Roman"/>
          <w:sz w:val="24"/>
          <w:szCs w:val="24"/>
          <w:lang w:val="es-PE" w:eastAsia="ar-SA"/>
        </w:rPr>
        <w:t>2</w:t>
      </w:r>
      <w:r w:rsidR="00F52613">
        <w:rPr>
          <w:rFonts w:ascii="Times New Roman" w:hAnsi="Times New Roman" w:eastAsia="Arial Unicode MS" w:cs="Times New Roman"/>
          <w:sz w:val="24"/>
          <w:szCs w:val="24"/>
          <w:lang w:val="es-PE" w:eastAsia="ar-SA"/>
        </w:rPr>
        <w:t>9</w:t>
      </w:r>
      <w:r w:rsidRPr="00565E5A" w:rsidR="00E72889">
        <w:rPr>
          <w:rFonts w:ascii="Times New Roman" w:hAnsi="Times New Roman" w:eastAsia="Arial Unicode MS" w:cs="Times New Roman"/>
          <w:sz w:val="24"/>
          <w:szCs w:val="24"/>
          <w:lang w:val="es-PE" w:eastAsia="ar-SA"/>
        </w:rPr>
        <w:t xml:space="preserve"> </w:t>
      </w:r>
      <w:r w:rsidRPr="00565E5A">
        <w:rPr>
          <w:rFonts w:ascii="Times New Roman" w:hAnsi="Times New Roman" w:eastAsia="Arial Unicode MS" w:cs="Times New Roman"/>
          <w:sz w:val="24"/>
          <w:szCs w:val="24"/>
          <w:lang w:val="es-PE" w:eastAsia="ar-SA"/>
        </w:rPr>
        <w:t xml:space="preserve">de </w:t>
      </w:r>
      <w:r w:rsidRPr="00565E5A" w:rsidR="006315FA">
        <w:rPr>
          <w:rFonts w:ascii="Times New Roman" w:hAnsi="Times New Roman" w:eastAsia="Arial Unicode MS" w:cs="Times New Roman"/>
          <w:sz w:val="24"/>
          <w:szCs w:val="24"/>
          <w:lang w:val="es-PE" w:eastAsia="ar-SA"/>
        </w:rPr>
        <w:t>agosto</w:t>
      </w:r>
      <w:r w:rsidRPr="00565E5A">
        <w:rPr>
          <w:rFonts w:ascii="Times New Roman" w:hAnsi="Times New Roman" w:eastAsia="Arial Unicode MS" w:cs="Times New Roman"/>
          <w:sz w:val="24"/>
          <w:szCs w:val="24"/>
          <w:lang w:val="es-PE" w:eastAsia="ar-SA"/>
        </w:rPr>
        <w:t xml:space="preserve"> de 2022</w:t>
      </w:r>
      <w:r w:rsidRPr="00565E5A">
        <w:rPr>
          <w:rFonts w:ascii="Times New Roman" w:hAnsi="Times New Roman" w:eastAsia="Times New Roman" w:cs="Times New Roman"/>
          <w:sz w:val="24"/>
          <w:szCs w:val="24"/>
          <w:lang w:val="es-PE" w:eastAsia="ar-SA"/>
        </w:rPr>
        <w:t xml:space="preserve"> </w:t>
      </w:r>
    </w:p>
    <w:p w:rsidRPr="00565E5A"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65E5A"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565E5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65E5A"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565E5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Marco Antonio Ortega Piana – </w:t>
      </w:r>
      <w:proofErr w:type="gramStart"/>
      <w:r w:rsidRPr="00565E5A">
        <w:rPr>
          <w:rFonts w:ascii="Times New Roman" w:hAnsi="Times New Roman" w:cs="Times New Roman"/>
          <w:b/>
          <w:bCs/>
          <w:sz w:val="24"/>
          <w:szCs w:val="24"/>
          <w:lang w:val="es-PE"/>
        </w:rPr>
        <w:t>Presidente</w:t>
      </w:r>
      <w:proofErr w:type="gramEnd"/>
    </w:p>
    <w:p w:rsidRPr="00565E5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María Eugenia Valdez Fernández Baca – </w:t>
      </w:r>
      <w:r w:rsidRPr="00565E5A" w:rsidR="001B1998">
        <w:rPr>
          <w:rFonts w:ascii="Times New Roman" w:hAnsi="Times New Roman" w:cs="Times New Roman"/>
          <w:b/>
          <w:bCs/>
          <w:sz w:val="24"/>
          <w:szCs w:val="24"/>
          <w:lang w:val="es-PE"/>
        </w:rPr>
        <w:t>Vocal</w:t>
      </w:r>
    </w:p>
    <w:p w:rsidRPr="00565E5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Rolando Eyzaguirre </w:t>
      </w:r>
      <w:proofErr w:type="spellStart"/>
      <w:r w:rsidRPr="00565E5A">
        <w:rPr>
          <w:rFonts w:ascii="Times New Roman" w:hAnsi="Times New Roman" w:cs="Times New Roman"/>
          <w:b/>
          <w:bCs/>
          <w:sz w:val="24"/>
          <w:szCs w:val="24"/>
          <w:lang w:val="es-PE"/>
        </w:rPr>
        <w:t>Maccan</w:t>
      </w:r>
      <w:proofErr w:type="spellEnd"/>
      <w:r w:rsidRPr="00565E5A">
        <w:rPr>
          <w:rFonts w:ascii="Times New Roman" w:hAnsi="Times New Roman" w:cs="Times New Roman"/>
          <w:b/>
          <w:bCs/>
          <w:sz w:val="24"/>
          <w:szCs w:val="24"/>
          <w:lang w:val="es-PE"/>
        </w:rPr>
        <w:t xml:space="preserve"> - Vocal</w:t>
      </w:r>
    </w:p>
    <w:p w:rsidRPr="00565E5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565E5A">
        <w:rPr>
          <w:rFonts w:ascii="Times New Roman" w:hAnsi="Times New Roman" w:cs="Times New Roman"/>
          <w:b/>
          <w:bCs/>
          <w:sz w:val="24"/>
          <w:szCs w:val="24"/>
          <w:lang w:val="es-PE"/>
        </w:rPr>
        <w:t>Gonzalo Abad del Busto – Vocal</w:t>
      </w:r>
    </w:p>
    <w:p w:rsidRPr="00565E5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0016" w:rsidP="00784355" w:rsidRDefault="00420016" w14:paraId="0F4B7845" w14:textId="77777777">
      <w:pPr>
        <w:spacing w:after="0" w:line="240" w:lineRule="auto"/>
      </w:pPr>
      <w:r>
        <w:separator/>
      </w:r>
    </w:p>
  </w:endnote>
  <w:endnote w:type="continuationSeparator" w:id="0">
    <w:p w:rsidR="00420016" w:rsidP="00784355" w:rsidRDefault="00420016" w14:paraId="1E1514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0016" w:rsidP="00784355" w:rsidRDefault="00420016" w14:paraId="6B2ECC9F" w14:textId="77777777">
      <w:pPr>
        <w:spacing w:after="0" w:line="240" w:lineRule="auto"/>
      </w:pPr>
      <w:r>
        <w:separator/>
      </w:r>
    </w:p>
  </w:footnote>
  <w:footnote w:type="continuationSeparator" w:id="0">
    <w:p w:rsidR="00420016" w:rsidP="00784355" w:rsidRDefault="00420016" w14:paraId="55F9E4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1F10"/>
    <w:rsid w:val="00F13013"/>
    <w:rsid w:val="00F14F22"/>
    <w:rsid w:val="00F15C12"/>
    <w:rsid w:val="00F16540"/>
    <w:rsid w:val="00F16CF9"/>
    <w:rsid w:val="00F20B09"/>
    <w:rsid w:val="00F3335E"/>
    <w:rsid w:val="00F349E0"/>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100196E6"/>
    <w:rsid w:val="19271893"/>
    <w:rsid w:val="1E59B92F"/>
    <w:rsid w:val="21D3447F"/>
    <w:rsid w:val="2E13EF20"/>
    <w:rsid w:val="359BC16C"/>
    <w:rsid w:val="4A434490"/>
    <w:rsid w:val="5B2D8A33"/>
    <w:rsid w:val="61342F1E"/>
    <w:rsid w:val="699D49B0"/>
    <w:rsid w:val="75D2A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69DEE84-5B7E-4D6E-9E24-FB5312EDEB54}"/>
</file>

<file path=customXml/itemProps3.xml><?xml version="1.0" encoding="utf-8"?>
<ds:datastoreItem xmlns:ds="http://schemas.openxmlformats.org/officeDocument/2006/customXml" ds:itemID="{2D7607A2-EDE4-40EB-B520-362A7D4396CC}"/>
</file>

<file path=customXml/itemProps4.xml><?xml version="1.0" encoding="utf-8"?>
<ds:datastoreItem xmlns:ds="http://schemas.openxmlformats.org/officeDocument/2006/customXml" ds:itemID="{C632B140-614E-434B-8107-271EC39ACE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221</cp:revision>
  <cp:lastPrinted>2022-08-29T15:14:00Z</cp:lastPrinted>
  <dcterms:created xsi:type="dcterms:W3CDTF">2020-12-18T20:17:00Z</dcterms:created>
  <dcterms:modified xsi:type="dcterms:W3CDTF">2025-12-01T20:39:47Z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