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D0617" w:rsidR="00B10F71" w:rsidP="00041B86" w:rsidRDefault="00201C0D" w14:paraId="51974F0B" w14:textId="09323FC4">
      <w:pPr>
        <w:spacing w:after="0" w:line="240" w:lineRule="auto"/>
        <w:jc w:val="center"/>
        <w:rPr>
          <w:rFonts w:ascii="Times New Roman" w:hAnsi="Times New Roman" w:cs="Times New Roman"/>
          <w:b/>
          <w:sz w:val="24"/>
          <w:szCs w:val="24"/>
          <w:lang w:val="es-PE" w:eastAsia="ar-SA"/>
        </w:rPr>
      </w:pPr>
      <w:r w:rsidRPr="007D0617">
        <w:rPr>
          <w:rFonts w:ascii="Times New Roman" w:hAnsi="Times New Roman" w:cs="Times New Roman"/>
          <w:b/>
          <w:sz w:val="24"/>
          <w:szCs w:val="24"/>
          <w:lang w:val="es-PE" w:eastAsia="ar-SA"/>
        </w:rPr>
        <w:t xml:space="preserve">RESOLUCIÓN DE RECURSO IMPUGNATIVO </w:t>
      </w:r>
      <w:proofErr w:type="spellStart"/>
      <w:r w:rsidRPr="007D0617" w:rsidR="00707C99">
        <w:rPr>
          <w:rFonts w:ascii="Times New Roman" w:hAnsi="Times New Roman" w:cs="Times New Roman"/>
          <w:b/>
          <w:sz w:val="24"/>
          <w:szCs w:val="24"/>
          <w:lang w:val="es-PE" w:eastAsia="ar-SA"/>
        </w:rPr>
        <w:t>N°</w:t>
      </w:r>
      <w:proofErr w:type="spellEnd"/>
      <w:r w:rsidRPr="007D0617" w:rsidR="00707C99">
        <w:rPr>
          <w:rFonts w:ascii="Times New Roman" w:hAnsi="Times New Roman" w:cs="Times New Roman"/>
          <w:b/>
          <w:sz w:val="24"/>
          <w:szCs w:val="24"/>
          <w:lang w:val="es-PE" w:eastAsia="ar-SA"/>
        </w:rPr>
        <w:t xml:space="preserve"> </w:t>
      </w:r>
      <w:r w:rsidRPr="007D0617" w:rsidR="00C671F5">
        <w:rPr>
          <w:rFonts w:ascii="Times New Roman" w:hAnsi="Times New Roman" w:cs="Times New Roman"/>
          <w:b/>
          <w:sz w:val="24"/>
          <w:szCs w:val="24"/>
          <w:lang w:val="es-PE" w:eastAsia="ar-SA"/>
        </w:rPr>
        <w:t>0</w:t>
      </w:r>
      <w:r w:rsidRPr="007D0617" w:rsidR="009D5E36">
        <w:rPr>
          <w:rFonts w:ascii="Times New Roman" w:hAnsi="Times New Roman" w:cs="Times New Roman"/>
          <w:b/>
          <w:sz w:val="24"/>
          <w:szCs w:val="24"/>
          <w:lang w:val="es-PE" w:eastAsia="ar-SA"/>
        </w:rPr>
        <w:t>6</w:t>
      </w:r>
      <w:r w:rsidRPr="007D0617" w:rsidR="002D3824">
        <w:rPr>
          <w:rFonts w:ascii="Times New Roman" w:hAnsi="Times New Roman" w:cs="Times New Roman"/>
          <w:b/>
          <w:sz w:val="24"/>
          <w:szCs w:val="24"/>
          <w:lang w:val="es-PE" w:eastAsia="ar-SA"/>
        </w:rPr>
        <w:t>4</w:t>
      </w:r>
      <w:r w:rsidRPr="007D0617" w:rsidR="00C671F5">
        <w:rPr>
          <w:rFonts w:ascii="Times New Roman" w:hAnsi="Times New Roman" w:cs="Times New Roman"/>
          <w:b/>
          <w:sz w:val="24"/>
          <w:szCs w:val="24"/>
          <w:lang w:val="es-PE" w:eastAsia="ar-SA"/>
        </w:rPr>
        <w:t>/2</w:t>
      </w:r>
      <w:r w:rsidRPr="007D0617" w:rsidR="00B93C7A">
        <w:rPr>
          <w:rFonts w:ascii="Times New Roman" w:hAnsi="Times New Roman" w:cs="Times New Roman"/>
          <w:b/>
          <w:sz w:val="24"/>
          <w:szCs w:val="24"/>
          <w:lang w:val="es-PE" w:eastAsia="ar-SA"/>
        </w:rPr>
        <w:t>2</w:t>
      </w:r>
    </w:p>
    <w:p w:rsidRPr="007D0617" w:rsidR="00565E5A" w:rsidP="00565E5A" w:rsidRDefault="00565E5A" w14:paraId="3FC7315B"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7D0617" w:rsidR="007D0617" w:rsidP="007D0617" w:rsidRDefault="00C22ADF" w14:paraId="1BE4DB95" w14:textId="77777777">
      <w:pPr>
        <w:jc w:val="both"/>
        <w:outlineLvl w:val="0"/>
        <w:rPr>
          <w:rFonts w:ascii="Times New Roman" w:hAnsi="Times New Roman" w:cs="Times New Roman"/>
          <w:b/>
          <w:bCs/>
          <w:sz w:val="24"/>
          <w:szCs w:val="24"/>
          <w:lang w:val="es-MX"/>
        </w:rPr>
      </w:pPr>
      <w:r w:rsidRPr="007D0617">
        <w:rPr>
          <w:rFonts w:ascii="Times New Roman" w:hAnsi="Times New Roman" w:cs="Times New Roman"/>
          <w:b/>
          <w:bCs/>
          <w:sz w:val="24"/>
          <w:szCs w:val="24"/>
          <w:lang w:val="es-MX"/>
        </w:rPr>
        <w:t>VISTOS:</w:t>
      </w:r>
    </w:p>
    <w:p w:rsidRPr="007D0617" w:rsidR="00C22ADF" w:rsidP="007D0617" w:rsidRDefault="00C22ADF" w14:paraId="4FA1286B" w14:textId="65C82415">
      <w:pPr>
        <w:jc w:val="both"/>
        <w:outlineLvl w:val="0"/>
        <w:rPr>
          <w:rFonts w:ascii="Times New Roman" w:hAnsi="Times New Roman" w:cs="Times New Roman"/>
          <w:b w:val="1"/>
          <w:bCs w:val="1"/>
          <w:sz w:val="24"/>
          <w:szCs w:val="24"/>
          <w:lang w:val="es-MX"/>
        </w:rPr>
      </w:pPr>
      <w:r w:rsidRPr="6DB36728" w:rsidR="00C22ADF">
        <w:rPr>
          <w:rFonts w:ascii="Times New Roman" w:hAnsi="Times New Roman" w:cs="Times New Roman"/>
          <w:sz w:val="24"/>
          <w:szCs w:val="24"/>
          <w:lang w:val="es-PE"/>
        </w:rPr>
        <w:t xml:space="preserve">El recurso de impugnación presentado por </w:t>
      </w:r>
      <w:r w:rsidRPr="6DB36728" w:rsidR="094E7DE6">
        <w:rPr>
          <w:rFonts w:ascii="Times New Roman" w:hAnsi="Times New Roman" w:cs="Times New Roman"/>
          <w:b w:val="1"/>
          <w:bCs w:val="1"/>
          <w:sz w:val="24"/>
          <w:szCs w:val="24"/>
          <w:lang w:val="es-PE"/>
        </w:rPr>
        <w:t>................................................</w:t>
      </w:r>
      <w:r w:rsidRPr="6DB36728" w:rsidR="00C22ADF">
        <w:rPr>
          <w:rFonts w:ascii="Times New Roman" w:hAnsi="Times New Roman" w:cs="Times New Roman"/>
          <w:sz w:val="24"/>
          <w:szCs w:val="24"/>
          <w:lang w:val="es-PE"/>
        </w:rPr>
        <w:t xml:space="preserve"> respecto de la Resolución Nro. 110/22, expedida por esta Defensoría del Asegurado (DEFASEG), conforme a la cual se declaró INFUNDADA la reclamación interpuesta contra </w:t>
      </w:r>
      <w:r w:rsidRPr="6DB36728" w:rsidR="25EB553B">
        <w:rPr>
          <w:rFonts w:ascii="Times New Roman" w:hAnsi="Times New Roman" w:cs="Times New Roman"/>
          <w:b w:val="1"/>
          <w:bCs w:val="1"/>
          <w:sz w:val="24"/>
          <w:szCs w:val="24"/>
          <w:lang w:val="es-PE"/>
        </w:rPr>
        <w:t>.....................................</w:t>
      </w:r>
      <w:r w:rsidRPr="6DB36728" w:rsidR="00C22ADF">
        <w:rPr>
          <w:rFonts w:ascii="Times New Roman" w:hAnsi="Times New Roman" w:cs="Times New Roman"/>
          <w:b w:val="1"/>
          <w:bCs w:val="1"/>
          <w:sz w:val="24"/>
          <w:szCs w:val="24"/>
          <w:lang w:val="es-PE"/>
        </w:rPr>
        <w:t xml:space="preserve"> </w:t>
      </w:r>
      <w:r w:rsidRPr="6DB36728" w:rsidR="00C22ADF">
        <w:rPr>
          <w:rFonts w:ascii="Times New Roman" w:hAnsi="Times New Roman" w:cs="Times New Roman"/>
          <w:sz w:val="24"/>
          <w:szCs w:val="24"/>
          <w:lang w:val="es-PE"/>
        </w:rPr>
        <w:t xml:space="preserve">respecto al </w:t>
      </w:r>
      <w:r w:rsidRPr="6DB36728" w:rsidR="00C22ADF">
        <w:rPr>
          <w:rFonts w:ascii="Times New Roman" w:hAnsi="Times New Roman" w:cs="Times New Roman"/>
          <w:b w:val="1"/>
          <w:bCs w:val="1"/>
          <w:sz w:val="24"/>
          <w:szCs w:val="24"/>
          <w:lang w:val="es-PE"/>
        </w:rPr>
        <w:t xml:space="preserve">SEGURO VIDA SEPELIO – primer diagnóstico de cáncer PÓLIZA No </w:t>
      </w:r>
      <w:r w:rsidRPr="6DB36728" w:rsidR="38E82E73">
        <w:rPr>
          <w:rFonts w:ascii="Times New Roman" w:hAnsi="Times New Roman" w:cs="Times New Roman"/>
          <w:b w:val="1"/>
          <w:bCs w:val="1"/>
          <w:sz w:val="24"/>
          <w:szCs w:val="24"/>
          <w:lang w:val="es-PE"/>
        </w:rPr>
        <w:t>.......</w:t>
      </w:r>
      <w:r w:rsidRPr="6DB36728" w:rsidR="00C22ADF">
        <w:rPr>
          <w:rFonts w:ascii="Times New Roman" w:hAnsi="Times New Roman" w:cs="Times New Roman"/>
          <w:b w:val="1"/>
          <w:bCs w:val="1"/>
          <w:sz w:val="24"/>
          <w:szCs w:val="24"/>
          <w:lang w:val="es-PE"/>
        </w:rPr>
        <w:t>.</w:t>
      </w:r>
    </w:p>
    <w:p w:rsidRPr="007D0617" w:rsidR="00C22ADF" w:rsidP="00C22ADF" w:rsidRDefault="00C22ADF" w14:paraId="7498835C" w14:textId="77777777">
      <w:pPr>
        <w:pStyle w:val="Default"/>
        <w:jc w:val="both"/>
        <w:rPr>
          <w:rFonts w:ascii="Times New Roman" w:hAnsi="Times New Roman" w:cs="Times New Roman"/>
        </w:rPr>
      </w:pPr>
    </w:p>
    <w:p w:rsidRPr="007D0617" w:rsidR="00C22ADF" w:rsidP="00C22ADF" w:rsidRDefault="00C22ADF" w14:paraId="19F44F3E" w14:textId="29F75D7B">
      <w:pPr>
        <w:autoSpaceDE w:val="0"/>
        <w:autoSpaceDN w:val="0"/>
        <w:adjustRightInd w:val="0"/>
        <w:jc w:val="both"/>
        <w:rPr>
          <w:rFonts w:ascii="Times New Roman" w:hAnsi="Times New Roman" w:cs="Times New Roman"/>
          <w:sz w:val="24"/>
          <w:szCs w:val="24"/>
          <w:lang w:val="es-PE"/>
        </w:rPr>
      </w:pPr>
      <w:r w:rsidRPr="6DB36728" w:rsidR="00C22ADF">
        <w:rPr>
          <w:rFonts w:ascii="Times New Roman" w:hAnsi="Times New Roman" w:cs="Times New Roman"/>
          <w:sz w:val="24"/>
          <w:szCs w:val="24"/>
          <w:lang w:val="es-PE"/>
        </w:rPr>
        <w:t xml:space="preserve">Que, el indicado recurso se sustenta resumidamente en lo siguiente: (1) los médicos le han explicado que una vez que la operen ahí estarán los resultados de su enfermedad; (2) denunciará a </w:t>
      </w:r>
      <w:r w:rsidRPr="6DB36728" w:rsidR="502DDC6F">
        <w:rPr>
          <w:rFonts w:ascii="Times New Roman" w:hAnsi="Times New Roman" w:cs="Times New Roman"/>
          <w:sz w:val="24"/>
          <w:szCs w:val="24"/>
          <w:lang w:val="es-PE"/>
        </w:rPr>
        <w:t>.............</w:t>
      </w:r>
      <w:r w:rsidRPr="6DB36728" w:rsidR="00C22ADF">
        <w:rPr>
          <w:rFonts w:ascii="Times New Roman" w:hAnsi="Times New Roman" w:cs="Times New Roman"/>
          <w:sz w:val="24"/>
          <w:szCs w:val="24"/>
          <w:lang w:val="es-PE"/>
        </w:rPr>
        <w:t xml:space="preserve"> y a la aseguradora que no protegen a nadie y solo desean cobrar un sueldo con el dinero de todos a quienes le engañaron con el cuento de que apenas se presente la enfermedad les iban a indemnizar; (3) cómo es posible que piensen que un diagnóstico no tiene valor; (4) el medico cardiólogo le ha dado un informe del examen que le ha realizado y ha considerado adenocarcinoma. </w:t>
      </w:r>
    </w:p>
    <w:p w:rsidRPr="007D0617" w:rsidR="00C22ADF" w:rsidP="00C22ADF" w:rsidRDefault="00C22ADF" w14:paraId="699D73BC" w14:textId="6ED51CBF">
      <w:pPr>
        <w:pStyle w:val="Textoindependiente"/>
        <w:rPr>
          <w:color w:val="000000"/>
          <w:lang w:val="es-PE" w:eastAsia="es-PE"/>
        </w:rPr>
      </w:pPr>
      <w:r w:rsidR="00C22ADF">
        <w:rPr/>
        <w:t xml:space="preserve">Que, la aseguradora absolvió el traslado del recurso interpuesto señalando en síntesis lo siguiente: (1) </w:t>
      </w:r>
      <w:r w:rsidRPr="6DB36728" w:rsidR="00C22ADF">
        <w:rPr>
          <w:color w:val="000000" w:themeColor="text1" w:themeTint="FF" w:themeShade="FF"/>
          <w:lang w:val="es-PE" w:eastAsia="es-PE"/>
        </w:rPr>
        <w:t xml:space="preserve">la cláusula adicional de primer diagnóstico de cáncer contratada por la reclamante, obliga a </w:t>
      </w:r>
      <w:r w:rsidRPr="6DB36728" w:rsidR="25EB553B">
        <w:rPr>
          <w:color w:val="000000" w:themeColor="text1" w:themeTint="FF" w:themeShade="FF"/>
          <w:lang w:val="es-PE" w:eastAsia="es-PE"/>
        </w:rPr>
        <w:t>.....................................</w:t>
      </w:r>
      <w:r w:rsidRPr="6DB36728" w:rsidR="00C22ADF">
        <w:rPr>
          <w:color w:val="000000" w:themeColor="text1" w:themeTint="FF" w:themeShade="FF"/>
          <w:lang w:val="es-PE" w:eastAsia="es-PE"/>
        </w:rPr>
        <w:t xml:space="preserve"> a indemnizar al asegurado una única vez por el primer diagnóstico Histopatológico de Cáncer; (2) conforme a la póliza, el asegurado debe presentar los siguientes documentos: - DNI del asegurado, - Informe Anatomopatológico Histológico Positivo original firmado y sellado por el médico patólogo y tratante y - fotocopia de la historia clínica del Asegurado; (3) la </w:t>
      </w:r>
      <w:r w:rsidRPr="6DB36728" w:rsidR="00C22ADF">
        <w:rPr>
          <w:i w:val="1"/>
          <w:iCs w:val="1"/>
          <w:color w:val="000000" w:themeColor="text1" w:themeTint="FF" w:themeShade="FF"/>
          <w:lang w:val="es-PE" w:eastAsia="es-PE"/>
        </w:rPr>
        <w:t xml:space="preserve">Histopatología </w:t>
      </w:r>
      <w:r w:rsidRPr="6DB36728" w:rsidR="00C22ADF">
        <w:rPr>
          <w:color w:val="000000" w:themeColor="text1" w:themeTint="FF" w:themeShade="FF"/>
          <w:lang w:val="es-PE" w:eastAsia="es-PE"/>
        </w:rPr>
        <w:t xml:space="preserve">es el examen microscópico de un tejido utilizado para el diagnóstico de tumores sin importar el tejido donde se aloje. Por este motivo, el informe Anatomopatológico Histológico que se detalla en la póliza es el documento más importante para determinar si, efectivamente, el asegurado tiene un </w:t>
      </w:r>
      <w:r w:rsidRPr="6DB36728" w:rsidR="00C22ADF">
        <w:rPr>
          <w:i w:val="1"/>
          <w:iCs w:val="1"/>
          <w:color w:val="000000" w:themeColor="text1" w:themeTint="FF" w:themeShade="FF"/>
          <w:lang w:val="es-PE" w:eastAsia="es-PE"/>
        </w:rPr>
        <w:t>“Diagnóstico Histopatológico de Cáncer”</w:t>
      </w:r>
      <w:r w:rsidRPr="6DB36728" w:rsidR="00C22ADF">
        <w:rPr>
          <w:color w:val="000000" w:themeColor="text1" w:themeTint="FF" w:themeShade="FF"/>
          <w:lang w:val="es-PE" w:eastAsia="es-PE"/>
        </w:rPr>
        <w:t xml:space="preserve">; (4) el Informe Anatomopatológico presentado como sustento del siniestro no diagnostica Cáncer de </w:t>
      </w:r>
      <w:r w:rsidRPr="6DB36728" w:rsidR="00C22ADF">
        <w:rPr>
          <w:color w:val="000000" w:themeColor="text1" w:themeTint="FF" w:themeShade="FF"/>
          <w:lang w:val="es-PE" w:eastAsia="es-PE"/>
        </w:rPr>
        <w:t>Cervix</w:t>
      </w:r>
      <w:r w:rsidRPr="6DB36728" w:rsidR="00C22ADF">
        <w:rPr>
          <w:color w:val="000000" w:themeColor="text1" w:themeTint="FF" w:themeShade="FF"/>
          <w:lang w:val="es-PE" w:eastAsia="es-PE"/>
        </w:rPr>
        <w:t xml:space="preserve">. De este modo, se concluye que la asegurada no tiene un </w:t>
      </w:r>
      <w:r w:rsidRPr="6DB36728" w:rsidR="00C22ADF">
        <w:rPr>
          <w:i w:val="1"/>
          <w:iCs w:val="1"/>
          <w:color w:val="000000" w:themeColor="text1" w:themeTint="FF" w:themeShade="FF"/>
          <w:lang w:val="es-PE" w:eastAsia="es-PE"/>
        </w:rPr>
        <w:t>primer diagnóstico histopatológico de cáncer</w:t>
      </w:r>
      <w:r w:rsidRPr="6DB36728" w:rsidR="00C22ADF">
        <w:rPr>
          <w:color w:val="000000" w:themeColor="text1" w:themeTint="FF" w:themeShade="FF"/>
          <w:lang w:val="es-PE" w:eastAsia="es-PE"/>
        </w:rPr>
        <w:t xml:space="preserve">; (5) si bien en el riesgo cardiológico presentado por la reclamante se menciona el Adenocarcinoma como el motivo por el cual se realiza el riesgo quirúrgico; no obstante, esto no constituye un diagnóstico histopatológico conforme al estándar de prueba pactado en la póliza; (6) en la historia clínica se evidencia que el diagnóstico es de Disociación </w:t>
      </w:r>
      <w:r w:rsidRPr="6DB36728" w:rsidR="00C22ADF">
        <w:rPr>
          <w:color w:val="000000" w:themeColor="text1" w:themeTint="FF" w:themeShade="FF"/>
          <w:lang w:val="es-PE" w:eastAsia="es-PE"/>
        </w:rPr>
        <w:t>Citohistológica</w:t>
      </w:r>
      <w:r w:rsidRPr="6DB36728" w:rsidR="00C22ADF">
        <w:rPr>
          <w:color w:val="000000" w:themeColor="text1" w:themeTint="FF" w:themeShade="FF"/>
          <w:lang w:val="es-PE" w:eastAsia="es-PE"/>
        </w:rPr>
        <w:t xml:space="preserve">; la cual, si bien requiere tratamiento para no convertirse en una neoplasia maligna, no es cáncer. </w:t>
      </w:r>
      <w:r w:rsidRPr="6DB36728" w:rsidR="00C22ADF">
        <w:rPr>
          <w:color w:val="000000" w:themeColor="text1" w:themeTint="FF" w:themeShade="FF"/>
          <w:lang w:val="es-PE" w:eastAsia="es-PE"/>
        </w:rPr>
        <w:t>Por lo tanto, no se encuentra dentro de la cobertura de la póliza.</w:t>
      </w:r>
      <w:r w:rsidRPr="6DB36728" w:rsidR="00C22ADF">
        <w:rPr>
          <w:color w:val="000000" w:themeColor="text1" w:themeTint="FF" w:themeShade="FF"/>
          <w:lang w:val="es-PE" w:eastAsia="es-PE"/>
        </w:rPr>
        <w:t xml:space="preserve"> </w:t>
      </w:r>
    </w:p>
    <w:p w:rsidRPr="007D0617" w:rsidR="007D0617" w:rsidP="00C22ADF" w:rsidRDefault="007D0617" w14:paraId="03DE62A0" w14:textId="77777777">
      <w:pPr>
        <w:pStyle w:val="Textoindependiente"/>
        <w:tabs>
          <w:tab w:val="left" w:pos="930"/>
        </w:tabs>
      </w:pPr>
    </w:p>
    <w:p w:rsidRPr="007D0617" w:rsidR="00C22ADF" w:rsidP="00C22ADF" w:rsidRDefault="00C22ADF" w14:paraId="0940B3EC" w14:textId="4EC8AE95">
      <w:pPr>
        <w:pStyle w:val="Textoindependiente"/>
        <w:tabs>
          <w:tab w:val="left" w:pos="930"/>
        </w:tabs>
      </w:pPr>
      <w:r w:rsidRPr="007D0617">
        <w:t>Que, atendiendo a lo expuesto, esta Defensoría resuelve finalmente lo siguiente:</w:t>
      </w:r>
    </w:p>
    <w:p w:rsidRPr="007D0617" w:rsidR="007D0617" w:rsidP="00C22ADF" w:rsidRDefault="007D0617" w14:paraId="7B362467" w14:textId="77777777">
      <w:pPr>
        <w:jc w:val="both"/>
        <w:rPr>
          <w:rFonts w:ascii="Times New Roman" w:hAnsi="Times New Roman" w:cs="Times New Roman"/>
          <w:b/>
          <w:sz w:val="24"/>
          <w:szCs w:val="24"/>
          <w:u w:val="single"/>
          <w:lang w:val="es-PE"/>
        </w:rPr>
      </w:pPr>
    </w:p>
    <w:p w:rsidRPr="007D0617" w:rsidR="00C22ADF" w:rsidP="00C22ADF" w:rsidRDefault="00C22ADF" w14:paraId="33EA96F2" w14:textId="67B3E3C6">
      <w:pPr>
        <w:jc w:val="both"/>
        <w:rPr>
          <w:rFonts w:ascii="Times New Roman" w:hAnsi="Times New Roman" w:cs="Times New Roman"/>
          <w:sz w:val="24"/>
          <w:szCs w:val="24"/>
          <w:lang w:val="es-PE"/>
        </w:rPr>
      </w:pPr>
      <w:r w:rsidRPr="007D0617">
        <w:rPr>
          <w:rFonts w:ascii="Times New Roman" w:hAnsi="Times New Roman" w:cs="Times New Roman"/>
          <w:b/>
          <w:sz w:val="24"/>
          <w:szCs w:val="24"/>
          <w:u w:val="single"/>
          <w:lang w:val="es-PE"/>
        </w:rPr>
        <w:t>PRIMERO</w:t>
      </w:r>
      <w:r w:rsidRPr="007D0617">
        <w:rPr>
          <w:rFonts w:ascii="Times New Roman" w:hAnsi="Times New Roman" w:cs="Times New Roman"/>
          <w:b/>
          <w:sz w:val="24"/>
          <w:szCs w:val="24"/>
          <w:lang w:val="es-PE"/>
        </w:rPr>
        <w:t>:</w:t>
      </w:r>
      <w:r w:rsidRPr="007D0617">
        <w:rPr>
          <w:rFonts w:ascii="Times New Roman" w:hAnsi="Times New Roman" w:cs="Times New Roman"/>
          <w:sz w:val="24"/>
          <w:szCs w:val="24"/>
          <w:lang w:val="es-PE"/>
        </w:rPr>
        <w:t xml:space="preserve"> El artículo 10 (Procedimiento) del Reglamento de la DEFASEG </w:t>
      </w:r>
      <w:r w:rsidRPr="007D0617">
        <w:rPr>
          <w:rFonts w:ascii="Times New Roman" w:hAnsi="Times New Roman" w:eastAsia="Arial Unicode MS" w:cs="Times New Roman"/>
          <w:sz w:val="24"/>
          <w:szCs w:val="24"/>
          <w:lang w:val="es-PE"/>
        </w:rPr>
        <w:t>(http://www.defaseg.com.pe/reglamento)</w:t>
      </w:r>
      <w:r w:rsidRPr="007D0617">
        <w:rPr>
          <w:rFonts w:ascii="Times New Roman" w:hAnsi="Times New Roman" w:cs="Times New Roman"/>
          <w:sz w:val="24"/>
          <w:szCs w:val="24"/>
          <w:lang w:val="es-PE"/>
        </w:rPr>
        <w:t xml:space="preserve"> establece que cualquiera de las partes que no se encuentre de acuerdo con la decisión adoptada por la Defensoría del Asegurado sobre la materia reclamada, podrá impugnarla, interponiendo el correspondiente recurso de impugnación.  </w:t>
      </w:r>
    </w:p>
    <w:p w:rsidRPr="007D0617" w:rsidR="00C22ADF" w:rsidP="00C22ADF" w:rsidRDefault="00C22ADF" w14:paraId="20C1F4E1" w14:textId="77777777">
      <w:pPr>
        <w:jc w:val="both"/>
        <w:rPr>
          <w:rFonts w:ascii="Times New Roman" w:hAnsi="Times New Roman" w:cs="Times New Roman"/>
          <w:sz w:val="24"/>
          <w:szCs w:val="24"/>
          <w:lang w:val="es-PE"/>
        </w:rPr>
      </w:pPr>
      <w:r w:rsidRPr="007D0617">
        <w:rPr>
          <w:rFonts w:ascii="Times New Roman" w:hAnsi="Times New Roman" w:cs="Times New Roman"/>
          <w:sz w:val="24"/>
          <w:szCs w:val="24"/>
          <w:lang w:val="es-PE"/>
        </w:rPr>
        <w:lastRenderedPageBreak/>
        <w:t>Conforme a ello, en el caso concreto, al interponer el recurso de impugnación la reclamante ha ejercido formalmente su derecho a contradecir lo resuelto por la Defensoría.</w:t>
      </w:r>
    </w:p>
    <w:p w:rsidRPr="007D0617" w:rsidR="00C22ADF" w:rsidP="00C22ADF" w:rsidRDefault="00C22ADF" w14:paraId="55E9EF83" w14:textId="77777777">
      <w:pPr>
        <w:jc w:val="both"/>
        <w:rPr>
          <w:rFonts w:ascii="Times New Roman" w:hAnsi="Times New Roman" w:cs="Times New Roman"/>
          <w:sz w:val="24"/>
          <w:szCs w:val="24"/>
          <w:lang w:val="es-ES"/>
        </w:rPr>
      </w:pPr>
      <w:r w:rsidRPr="007D0617">
        <w:rPr>
          <w:rFonts w:ascii="Times New Roman" w:hAnsi="Times New Roman" w:cs="Times New Roman"/>
          <w:b/>
          <w:bCs/>
          <w:sz w:val="24"/>
          <w:szCs w:val="24"/>
          <w:u w:val="single"/>
          <w:lang w:val="es-PE"/>
        </w:rPr>
        <w:t>SEGUNDO</w:t>
      </w:r>
      <w:r w:rsidRPr="007D0617">
        <w:rPr>
          <w:rFonts w:ascii="Times New Roman" w:hAnsi="Times New Roman" w:cs="Times New Roman"/>
          <w:b/>
          <w:bCs/>
          <w:sz w:val="24"/>
          <w:szCs w:val="24"/>
          <w:lang w:val="es-PE"/>
        </w:rPr>
        <w:t>:</w:t>
      </w:r>
      <w:r w:rsidRPr="007D0617">
        <w:rPr>
          <w:rFonts w:ascii="Times New Roman" w:hAnsi="Times New Roman" w:cs="Times New Roman"/>
          <w:bCs/>
          <w:sz w:val="24"/>
          <w:szCs w:val="24"/>
          <w:lang w:val="es-PE"/>
        </w:rPr>
        <w:t xml:space="preserve"> Que el recurso de impugnación presentado por la recurrente se sustenta en nueva prueba consistente en el informe de riesgo cardiológico</w:t>
      </w:r>
      <w:r w:rsidRPr="007D0617">
        <w:rPr>
          <w:rFonts w:ascii="Times New Roman" w:hAnsi="Times New Roman" w:cs="Times New Roman"/>
          <w:sz w:val="24"/>
          <w:szCs w:val="24"/>
          <w:lang w:val="es-PE"/>
        </w:rPr>
        <w:t>.</w:t>
      </w:r>
    </w:p>
    <w:p w:rsidRPr="007D0617" w:rsidR="00C22ADF" w:rsidP="00C22ADF" w:rsidRDefault="00C22ADF" w14:paraId="43CFDDAF" w14:textId="77777777">
      <w:pPr>
        <w:autoSpaceDE w:val="0"/>
        <w:autoSpaceDN w:val="0"/>
        <w:adjustRightInd w:val="0"/>
        <w:jc w:val="both"/>
        <w:rPr>
          <w:rFonts w:ascii="Times New Roman" w:hAnsi="Times New Roman" w:cs="Times New Roman"/>
          <w:color w:val="000000"/>
          <w:sz w:val="24"/>
          <w:szCs w:val="24"/>
          <w:lang w:val="es-PE" w:eastAsia="es-PE"/>
        </w:rPr>
      </w:pPr>
      <w:r w:rsidRPr="007D0617">
        <w:rPr>
          <w:rFonts w:ascii="Times New Roman" w:hAnsi="Times New Roman" w:cs="Times New Roman"/>
          <w:sz w:val="24"/>
          <w:szCs w:val="24"/>
          <w:lang w:val="es-PE"/>
        </w:rPr>
        <w:t xml:space="preserve">Conforme a la </w:t>
      </w:r>
      <w:r w:rsidRPr="007D0617">
        <w:rPr>
          <w:rFonts w:ascii="Times New Roman" w:hAnsi="Times New Roman" w:cs="Times New Roman"/>
          <w:bCs/>
          <w:sz w:val="24"/>
          <w:szCs w:val="24"/>
          <w:lang w:val="es-PE"/>
        </w:rPr>
        <w:t>resolución recurrida, se encontró legítimo el rechazo de cobertura al verificarse que,</w:t>
      </w:r>
      <w:r w:rsidRPr="007D0617">
        <w:rPr>
          <w:rFonts w:ascii="Times New Roman" w:hAnsi="Times New Roman" w:cs="Times New Roman"/>
          <w:color w:val="000000"/>
          <w:sz w:val="24"/>
          <w:szCs w:val="24"/>
          <w:lang w:val="es-PE" w:eastAsia="es-PE"/>
        </w:rPr>
        <w:t xml:space="preserve"> en el presente caso, las pruebas aportadas no demuestran la existencia de un diagnóstico de cáncer bajo el estándar probatorio contractualmente vinculante a las partes.</w:t>
      </w:r>
    </w:p>
    <w:p w:rsidRPr="007D0617" w:rsidR="00C22ADF" w:rsidP="00C22ADF" w:rsidRDefault="00C22ADF" w14:paraId="5CC31D13" w14:textId="77777777">
      <w:pPr>
        <w:autoSpaceDE w:val="0"/>
        <w:autoSpaceDN w:val="0"/>
        <w:adjustRightInd w:val="0"/>
        <w:jc w:val="both"/>
        <w:rPr>
          <w:rFonts w:ascii="Times New Roman" w:hAnsi="Times New Roman" w:cs="Times New Roman"/>
          <w:color w:val="000000"/>
          <w:sz w:val="24"/>
          <w:szCs w:val="24"/>
          <w:lang w:val="es-PE" w:eastAsia="es-PE"/>
        </w:rPr>
      </w:pPr>
      <w:r w:rsidRPr="007D0617">
        <w:rPr>
          <w:rFonts w:ascii="Times New Roman" w:hAnsi="Times New Roman" w:cs="Times New Roman"/>
          <w:bCs/>
          <w:sz w:val="24"/>
          <w:szCs w:val="24"/>
          <w:lang w:val="es-PE"/>
        </w:rPr>
        <w:t xml:space="preserve">Cabe reiterar que la póliza expresamente adopta </w:t>
      </w:r>
      <w:r w:rsidRPr="007D0617">
        <w:rPr>
          <w:rFonts w:ascii="Times New Roman" w:hAnsi="Times New Roman" w:cs="Times New Roman"/>
          <w:color w:val="000000"/>
          <w:sz w:val="24"/>
          <w:szCs w:val="24"/>
          <w:lang w:val="es-PE" w:eastAsia="es-PE"/>
        </w:rPr>
        <w:t xml:space="preserve">un estándar de prueba del cáncer, de manera que la cobertura sólo se activa ante el examen o diagnóstico “histopatológico de cáncer”. </w:t>
      </w:r>
    </w:p>
    <w:p w:rsidRPr="007D0617" w:rsidR="00C22ADF" w:rsidP="00C22ADF" w:rsidRDefault="00C22ADF" w14:paraId="4B3F5E89" w14:textId="77777777">
      <w:pPr>
        <w:autoSpaceDE w:val="0"/>
        <w:autoSpaceDN w:val="0"/>
        <w:adjustRightInd w:val="0"/>
        <w:jc w:val="both"/>
        <w:rPr>
          <w:rFonts w:ascii="Times New Roman" w:hAnsi="Times New Roman" w:cs="Times New Roman"/>
          <w:color w:val="000000"/>
          <w:sz w:val="24"/>
          <w:szCs w:val="24"/>
          <w:lang w:val="es-PE" w:eastAsia="es-PE"/>
        </w:rPr>
      </w:pPr>
      <w:r w:rsidRPr="007D0617">
        <w:rPr>
          <w:rFonts w:ascii="Times New Roman" w:hAnsi="Times New Roman" w:cs="Times New Roman"/>
          <w:color w:val="000000"/>
          <w:sz w:val="24"/>
          <w:szCs w:val="24"/>
          <w:lang w:val="es-PE" w:eastAsia="es-PE"/>
        </w:rPr>
        <w:t xml:space="preserve">En efecto, en el artículo 4 de la referida Cláusula Adicional se dispone que, </w:t>
      </w:r>
      <w:r w:rsidRPr="007D0617">
        <w:rPr>
          <w:rFonts w:ascii="Times New Roman" w:hAnsi="Times New Roman" w:cs="Times New Roman"/>
          <w:i/>
          <w:iCs/>
          <w:color w:val="000000"/>
          <w:sz w:val="24"/>
          <w:szCs w:val="24"/>
          <w:lang w:val="es-PE" w:eastAsia="es-PE"/>
        </w:rPr>
        <w:t xml:space="preserve">“En caso de Siniestro se deberá presentar los siguientes Documentos </w:t>
      </w:r>
      <w:proofErr w:type="spellStart"/>
      <w:r w:rsidRPr="007D0617">
        <w:rPr>
          <w:rFonts w:ascii="Times New Roman" w:hAnsi="Times New Roman" w:cs="Times New Roman"/>
          <w:i/>
          <w:iCs/>
          <w:color w:val="000000"/>
          <w:sz w:val="24"/>
          <w:szCs w:val="24"/>
          <w:lang w:val="es-PE" w:eastAsia="es-PE"/>
        </w:rPr>
        <w:t>Sustentatorios</w:t>
      </w:r>
      <w:proofErr w:type="spellEnd"/>
      <w:r w:rsidRPr="007D0617">
        <w:rPr>
          <w:rFonts w:ascii="Times New Roman" w:hAnsi="Times New Roman" w:cs="Times New Roman"/>
          <w:i/>
          <w:iCs/>
          <w:color w:val="000000"/>
          <w:sz w:val="24"/>
          <w:szCs w:val="24"/>
          <w:lang w:val="es-PE" w:eastAsia="es-PE"/>
        </w:rPr>
        <w:t xml:space="preserve">: • Copia del Documento Nacional de identidad del Asegurado. • Informe </w:t>
      </w:r>
      <w:proofErr w:type="spellStart"/>
      <w:r w:rsidRPr="007D0617">
        <w:rPr>
          <w:rFonts w:ascii="Times New Roman" w:hAnsi="Times New Roman" w:cs="Times New Roman"/>
          <w:i/>
          <w:iCs/>
          <w:color w:val="000000"/>
          <w:sz w:val="24"/>
          <w:szCs w:val="24"/>
          <w:lang w:val="es-PE" w:eastAsia="es-PE"/>
        </w:rPr>
        <w:t>Anátomo</w:t>
      </w:r>
      <w:proofErr w:type="spellEnd"/>
      <w:r w:rsidRPr="007D0617">
        <w:rPr>
          <w:rFonts w:ascii="Times New Roman" w:hAnsi="Times New Roman" w:cs="Times New Roman"/>
          <w:i/>
          <w:iCs/>
          <w:color w:val="000000"/>
          <w:sz w:val="24"/>
          <w:szCs w:val="24"/>
          <w:lang w:val="es-PE" w:eastAsia="es-PE"/>
        </w:rPr>
        <w:t xml:space="preserve"> Patológico Histológico Positivo original firmado y sellado por </w:t>
      </w:r>
      <w:proofErr w:type="spellStart"/>
      <w:r w:rsidRPr="007D0617">
        <w:rPr>
          <w:rFonts w:ascii="Times New Roman" w:hAnsi="Times New Roman" w:cs="Times New Roman"/>
          <w:i/>
          <w:iCs/>
          <w:color w:val="000000"/>
          <w:sz w:val="24"/>
          <w:szCs w:val="24"/>
          <w:lang w:val="es-PE" w:eastAsia="es-PE"/>
        </w:rPr>
        <w:t>elmédico</w:t>
      </w:r>
      <w:proofErr w:type="spellEnd"/>
      <w:r w:rsidRPr="007D0617">
        <w:rPr>
          <w:rFonts w:ascii="Times New Roman" w:hAnsi="Times New Roman" w:cs="Times New Roman"/>
          <w:i/>
          <w:iCs/>
          <w:color w:val="000000"/>
          <w:sz w:val="24"/>
          <w:szCs w:val="24"/>
          <w:lang w:val="es-PE" w:eastAsia="es-PE"/>
        </w:rPr>
        <w:t xml:space="preserve"> patólogo y tratante. • Fotocopia de la historia clínica del Asegurado”. </w:t>
      </w:r>
      <w:proofErr w:type="gramStart"/>
      <w:r w:rsidRPr="007D0617">
        <w:rPr>
          <w:rFonts w:ascii="Times New Roman" w:hAnsi="Times New Roman" w:cs="Times New Roman"/>
          <w:color w:val="000000"/>
          <w:sz w:val="24"/>
          <w:szCs w:val="24"/>
          <w:lang w:val="es-PE" w:eastAsia="es-PE"/>
        </w:rPr>
        <w:t>De acuerdo al</w:t>
      </w:r>
      <w:proofErr w:type="gramEnd"/>
      <w:r w:rsidRPr="007D0617">
        <w:rPr>
          <w:rFonts w:ascii="Times New Roman" w:hAnsi="Times New Roman" w:cs="Times New Roman"/>
          <w:color w:val="000000"/>
          <w:sz w:val="24"/>
          <w:szCs w:val="24"/>
          <w:lang w:val="es-PE" w:eastAsia="es-PE"/>
        </w:rPr>
        <w:t xml:space="preserve"> artículo 1, se define el Informe </w:t>
      </w:r>
      <w:proofErr w:type="spellStart"/>
      <w:r w:rsidRPr="007D0617">
        <w:rPr>
          <w:rFonts w:ascii="Times New Roman" w:hAnsi="Times New Roman" w:cs="Times New Roman"/>
          <w:color w:val="000000"/>
          <w:sz w:val="24"/>
          <w:szCs w:val="24"/>
          <w:lang w:val="es-PE" w:eastAsia="es-PE"/>
        </w:rPr>
        <w:t>Anátomo</w:t>
      </w:r>
      <w:proofErr w:type="spellEnd"/>
      <w:r w:rsidRPr="007D0617">
        <w:rPr>
          <w:rFonts w:ascii="Times New Roman" w:hAnsi="Times New Roman" w:cs="Times New Roman"/>
          <w:color w:val="000000"/>
          <w:sz w:val="24"/>
          <w:szCs w:val="24"/>
          <w:lang w:val="es-PE" w:eastAsia="es-PE"/>
        </w:rPr>
        <w:t xml:space="preserve"> Patológico Histológico Positivo como el </w:t>
      </w:r>
      <w:r w:rsidRPr="007D0617">
        <w:rPr>
          <w:rFonts w:ascii="Times New Roman" w:hAnsi="Times New Roman" w:cs="Times New Roman"/>
          <w:i/>
          <w:iCs/>
          <w:color w:val="000000"/>
          <w:sz w:val="24"/>
          <w:szCs w:val="24"/>
          <w:lang w:val="es-PE" w:eastAsia="es-PE"/>
        </w:rPr>
        <w:t xml:space="preserve">“Documento que contiene el resultado que define el diagnóstico histopatológico de Cáncer y es emitido por un médico </w:t>
      </w:r>
      <w:proofErr w:type="spellStart"/>
      <w:r w:rsidRPr="007D0617">
        <w:rPr>
          <w:rFonts w:ascii="Times New Roman" w:hAnsi="Times New Roman" w:cs="Times New Roman"/>
          <w:i/>
          <w:iCs/>
          <w:color w:val="000000"/>
          <w:sz w:val="24"/>
          <w:szCs w:val="24"/>
          <w:lang w:val="es-PE" w:eastAsia="es-PE"/>
        </w:rPr>
        <w:t>Anátomo</w:t>
      </w:r>
      <w:proofErr w:type="spellEnd"/>
      <w:r w:rsidRPr="007D0617">
        <w:rPr>
          <w:rFonts w:ascii="Times New Roman" w:hAnsi="Times New Roman" w:cs="Times New Roman"/>
          <w:i/>
          <w:iCs/>
          <w:color w:val="000000"/>
          <w:sz w:val="24"/>
          <w:szCs w:val="24"/>
          <w:lang w:val="es-PE" w:eastAsia="es-PE"/>
        </w:rPr>
        <w:t xml:space="preserve"> Patólogo”</w:t>
      </w:r>
      <w:r w:rsidRPr="007D0617">
        <w:rPr>
          <w:rFonts w:ascii="Times New Roman" w:hAnsi="Times New Roman" w:cs="Times New Roman"/>
          <w:color w:val="000000"/>
          <w:sz w:val="24"/>
          <w:szCs w:val="24"/>
          <w:lang w:val="es-PE" w:eastAsia="es-PE"/>
        </w:rPr>
        <w:t>.</w:t>
      </w:r>
    </w:p>
    <w:p w:rsidRPr="007D0617" w:rsidR="00C22ADF" w:rsidP="00C22ADF" w:rsidRDefault="00C22ADF" w14:paraId="6C49A0E4" w14:textId="77777777">
      <w:pPr>
        <w:autoSpaceDE w:val="0"/>
        <w:autoSpaceDN w:val="0"/>
        <w:adjustRightInd w:val="0"/>
        <w:jc w:val="both"/>
        <w:rPr>
          <w:rFonts w:ascii="Times New Roman" w:hAnsi="Times New Roman" w:cs="Times New Roman"/>
          <w:bCs/>
          <w:sz w:val="24"/>
          <w:szCs w:val="24"/>
          <w:lang w:val="es-ES" w:eastAsia="ar-SA"/>
        </w:rPr>
      </w:pPr>
      <w:r w:rsidRPr="007D0617">
        <w:rPr>
          <w:rFonts w:ascii="Times New Roman" w:hAnsi="Times New Roman" w:cs="Times New Roman"/>
          <w:color w:val="000000"/>
          <w:sz w:val="24"/>
          <w:szCs w:val="24"/>
          <w:lang w:val="es-PE" w:eastAsia="es-PE"/>
        </w:rPr>
        <w:t>El informe de riesgo cardiológico no sustituye ni libera la carga de la asegurada de presentar un examen o diagnóstico “histopatológico de cáncer”</w:t>
      </w:r>
    </w:p>
    <w:p w:rsidRPr="007D0617" w:rsidR="00C22ADF" w:rsidP="00C22ADF" w:rsidRDefault="00C22ADF" w14:paraId="38CCAE55" w14:textId="77777777">
      <w:pPr>
        <w:jc w:val="both"/>
        <w:rPr>
          <w:rFonts w:ascii="Times New Roman" w:hAnsi="Times New Roman" w:cs="Times New Roman"/>
          <w:sz w:val="24"/>
          <w:szCs w:val="24"/>
          <w:lang w:val="es-PE"/>
        </w:rPr>
      </w:pPr>
      <w:r w:rsidRPr="007D0617">
        <w:rPr>
          <w:rFonts w:ascii="Times New Roman" w:hAnsi="Times New Roman" w:cs="Times New Roman"/>
          <w:b/>
          <w:sz w:val="24"/>
          <w:szCs w:val="24"/>
          <w:u w:val="single"/>
          <w:lang w:val="es-PE"/>
        </w:rPr>
        <w:t>TERCERO</w:t>
      </w:r>
      <w:r w:rsidRPr="007D0617">
        <w:rPr>
          <w:rFonts w:ascii="Times New Roman" w:hAnsi="Times New Roman" w:cs="Times New Roman"/>
          <w:b/>
          <w:sz w:val="24"/>
          <w:szCs w:val="24"/>
          <w:lang w:val="es-PE"/>
        </w:rPr>
        <w:t>:</w:t>
      </w:r>
      <w:r w:rsidRPr="007D0617">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7D0617" w:rsidR="00C22ADF" w:rsidP="00C22ADF" w:rsidRDefault="00C22ADF" w14:paraId="44B1F9BC" w14:textId="5A9E2E25">
      <w:pPr>
        <w:jc w:val="both"/>
        <w:rPr>
          <w:rFonts w:ascii="Times New Roman" w:hAnsi="Times New Roman" w:cs="Times New Roman"/>
          <w:b/>
          <w:sz w:val="24"/>
          <w:szCs w:val="24"/>
          <w:lang w:val="es-PE"/>
        </w:rPr>
      </w:pPr>
      <w:r w:rsidRPr="007D0617">
        <w:rPr>
          <w:rFonts w:ascii="Times New Roman" w:hAnsi="Times New Roman" w:cs="Times New Roman"/>
          <w:b/>
          <w:sz w:val="24"/>
          <w:szCs w:val="24"/>
          <w:lang w:val="es-PE"/>
        </w:rPr>
        <w:t>RESUELVE:</w:t>
      </w:r>
    </w:p>
    <w:p w:rsidRPr="007D0617" w:rsidR="00C22ADF" w:rsidP="00C22ADF" w:rsidRDefault="00C22ADF" w14:paraId="2B0FE3A8" w14:textId="77777777">
      <w:pPr>
        <w:jc w:val="both"/>
        <w:rPr>
          <w:rFonts w:ascii="Times New Roman" w:hAnsi="Times New Roman" w:cs="Times New Roman"/>
          <w:sz w:val="24"/>
          <w:szCs w:val="24"/>
          <w:lang w:val="es-PE"/>
        </w:rPr>
      </w:pPr>
      <w:r w:rsidRPr="007D0617">
        <w:rPr>
          <w:rFonts w:ascii="Times New Roman" w:hAnsi="Times New Roman" w:eastAsia="Arial Unicode MS" w:cs="Times New Roman"/>
          <w:b/>
          <w:sz w:val="24"/>
          <w:szCs w:val="24"/>
          <w:lang w:val="es-PE"/>
        </w:rPr>
        <w:t>Declarar INFUNDADO el recurso de impugnación interpuesto y, por consiguiente, CONFIRMAR la Resolución Nro. 110/2022</w:t>
      </w:r>
      <w:r w:rsidRPr="007D0617">
        <w:rPr>
          <w:rFonts w:ascii="Times New Roman" w:hAnsi="Times New Roman" w:cs="Times New Roman"/>
          <w:sz w:val="24"/>
          <w:szCs w:val="24"/>
          <w:lang w:val="es-PE"/>
        </w:rPr>
        <w:t>.</w:t>
      </w:r>
    </w:p>
    <w:p w:rsidRPr="007D0617" w:rsidR="0051503F" w:rsidP="00060442" w:rsidRDefault="0051503F" w14:paraId="49CEE7E5" w14:textId="77777777">
      <w:pPr>
        <w:spacing w:after="0" w:line="240" w:lineRule="auto"/>
        <w:jc w:val="both"/>
        <w:rPr>
          <w:rFonts w:ascii="Times New Roman" w:hAnsi="Times New Roman" w:cs="Times New Roman"/>
          <w:bCs/>
          <w:sz w:val="24"/>
          <w:szCs w:val="24"/>
          <w:lang w:val="es-PE"/>
        </w:rPr>
      </w:pPr>
    </w:p>
    <w:p w:rsidRPr="007D0617" w:rsidR="00C173A8" w:rsidP="00092C2E" w:rsidRDefault="00C173A8" w14:paraId="21EFD7D3" w14:textId="5B4EBD38">
      <w:pPr>
        <w:suppressAutoHyphens/>
        <w:spacing w:after="0" w:line="240" w:lineRule="auto"/>
        <w:jc w:val="right"/>
        <w:outlineLvl w:val="0"/>
        <w:rPr>
          <w:rFonts w:ascii="Times New Roman" w:hAnsi="Times New Roman" w:eastAsia="Arial Unicode MS" w:cs="Times New Roman"/>
          <w:sz w:val="24"/>
          <w:szCs w:val="24"/>
          <w:lang w:val="es-PE" w:eastAsia="ar-SA"/>
        </w:rPr>
      </w:pPr>
      <w:r w:rsidRPr="007D0617">
        <w:rPr>
          <w:rFonts w:ascii="Times New Roman" w:hAnsi="Times New Roman" w:eastAsia="Arial Unicode MS" w:cs="Times New Roman"/>
          <w:sz w:val="24"/>
          <w:szCs w:val="24"/>
          <w:lang w:val="es-PE" w:eastAsia="ar-SA"/>
        </w:rPr>
        <w:t xml:space="preserve">Lima, </w:t>
      </w:r>
      <w:r w:rsidRPr="007D0617" w:rsidR="009D5E36">
        <w:rPr>
          <w:rFonts w:ascii="Times New Roman" w:hAnsi="Times New Roman" w:eastAsia="Arial Unicode MS" w:cs="Times New Roman"/>
          <w:sz w:val="24"/>
          <w:szCs w:val="24"/>
          <w:lang w:val="es-PE" w:eastAsia="ar-SA"/>
        </w:rPr>
        <w:t>2</w:t>
      </w:r>
      <w:r w:rsidRPr="007D0617" w:rsidR="00F52613">
        <w:rPr>
          <w:rFonts w:ascii="Times New Roman" w:hAnsi="Times New Roman" w:eastAsia="Arial Unicode MS" w:cs="Times New Roman"/>
          <w:sz w:val="24"/>
          <w:szCs w:val="24"/>
          <w:lang w:val="es-PE" w:eastAsia="ar-SA"/>
        </w:rPr>
        <w:t>9</w:t>
      </w:r>
      <w:r w:rsidRPr="007D0617" w:rsidR="00E72889">
        <w:rPr>
          <w:rFonts w:ascii="Times New Roman" w:hAnsi="Times New Roman" w:eastAsia="Arial Unicode MS" w:cs="Times New Roman"/>
          <w:sz w:val="24"/>
          <w:szCs w:val="24"/>
          <w:lang w:val="es-PE" w:eastAsia="ar-SA"/>
        </w:rPr>
        <w:t xml:space="preserve"> </w:t>
      </w:r>
      <w:r w:rsidRPr="007D0617">
        <w:rPr>
          <w:rFonts w:ascii="Times New Roman" w:hAnsi="Times New Roman" w:eastAsia="Arial Unicode MS" w:cs="Times New Roman"/>
          <w:sz w:val="24"/>
          <w:szCs w:val="24"/>
          <w:lang w:val="es-PE" w:eastAsia="ar-SA"/>
        </w:rPr>
        <w:t xml:space="preserve">de </w:t>
      </w:r>
      <w:r w:rsidRPr="007D0617" w:rsidR="006315FA">
        <w:rPr>
          <w:rFonts w:ascii="Times New Roman" w:hAnsi="Times New Roman" w:eastAsia="Arial Unicode MS" w:cs="Times New Roman"/>
          <w:sz w:val="24"/>
          <w:szCs w:val="24"/>
          <w:lang w:val="es-PE" w:eastAsia="ar-SA"/>
        </w:rPr>
        <w:t>agosto</w:t>
      </w:r>
      <w:r w:rsidRPr="007D0617">
        <w:rPr>
          <w:rFonts w:ascii="Times New Roman" w:hAnsi="Times New Roman" w:eastAsia="Arial Unicode MS" w:cs="Times New Roman"/>
          <w:sz w:val="24"/>
          <w:szCs w:val="24"/>
          <w:lang w:val="es-PE" w:eastAsia="ar-SA"/>
        </w:rPr>
        <w:t xml:space="preserve"> de 2022</w:t>
      </w:r>
      <w:r w:rsidRPr="007D0617">
        <w:rPr>
          <w:rFonts w:ascii="Times New Roman" w:hAnsi="Times New Roman" w:eastAsia="Times New Roman" w:cs="Times New Roman"/>
          <w:sz w:val="24"/>
          <w:szCs w:val="24"/>
          <w:lang w:val="es-PE" w:eastAsia="ar-SA"/>
        </w:rPr>
        <w:t xml:space="preserve"> </w:t>
      </w:r>
    </w:p>
    <w:p w:rsidRPr="007D0617"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7D0617" w:rsidR="00C173A8" w:rsidP="00C5766A" w:rsidRDefault="00C173A8" w14:paraId="1F888041" w14:textId="5D928D7D">
      <w:pPr>
        <w:spacing w:after="0" w:line="240" w:lineRule="auto"/>
        <w:jc w:val="both"/>
        <w:rPr>
          <w:rFonts w:ascii="Times New Roman" w:hAnsi="Times New Roman" w:cs="Times New Roman"/>
          <w:b/>
          <w:bCs/>
          <w:i/>
          <w:iCs/>
          <w:sz w:val="24"/>
          <w:szCs w:val="24"/>
          <w:lang w:val="es-PE"/>
        </w:rPr>
      </w:pPr>
      <w:r w:rsidRPr="007D0617">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7D0617" w:rsidR="0008494F" w:rsidP="00C5766A" w:rsidRDefault="0008494F" w14:paraId="5A4AC9FA" w14:textId="77777777">
      <w:pPr>
        <w:spacing w:after="0" w:line="240" w:lineRule="auto"/>
        <w:jc w:val="both"/>
        <w:rPr>
          <w:rFonts w:ascii="Times New Roman" w:hAnsi="Times New Roman" w:cs="Times New Roman"/>
          <w:b/>
          <w:bCs/>
          <w:i/>
          <w:iCs/>
          <w:sz w:val="24"/>
          <w:szCs w:val="24"/>
          <w:lang w:val="es-PE"/>
        </w:rPr>
      </w:pPr>
    </w:p>
    <w:p w:rsidRPr="007D0617"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7D0617">
        <w:rPr>
          <w:rFonts w:ascii="Times New Roman" w:hAnsi="Times New Roman" w:cs="Times New Roman"/>
          <w:b/>
          <w:bCs/>
          <w:sz w:val="24"/>
          <w:szCs w:val="24"/>
          <w:lang w:val="es-PE"/>
        </w:rPr>
        <w:t xml:space="preserve">Marco Antonio Ortega Piana – </w:t>
      </w:r>
      <w:proofErr w:type="gramStart"/>
      <w:r w:rsidRPr="007D0617">
        <w:rPr>
          <w:rFonts w:ascii="Times New Roman" w:hAnsi="Times New Roman" w:cs="Times New Roman"/>
          <w:b/>
          <w:bCs/>
          <w:sz w:val="24"/>
          <w:szCs w:val="24"/>
          <w:lang w:val="es-PE"/>
        </w:rPr>
        <w:t>Presidente</w:t>
      </w:r>
      <w:proofErr w:type="gramEnd"/>
    </w:p>
    <w:p w:rsidRPr="007D0617"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7D0617">
        <w:rPr>
          <w:rFonts w:ascii="Times New Roman" w:hAnsi="Times New Roman" w:cs="Times New Roman"/>
          <w:b/>
          <w:bCs/>
          <w:sz w:val="24"/>
          <w:szCs w:val="24"/>
          <w:lang w:val="es-PE"/>
        </w:rPr>
        <w:t xml:space="preserve">María Eugenia Valdez Fernández Baca – </w:t>
      </w:r>
      <w:r w:rsidRPr="007D0617" w:rsidR="001B1998">
        <w:rPr>
          <w:rFonts w:ascii="Times New Roman" w:hAnsi="Times New Roman" w:cs="Times New Roman"/>
          <w:b/>
          <w:bCs/>
          <w:sz w:val="24"/>
          <w:szCs w:val="24"/>
          <w:lang w:val="es-PE"/>
        </w:rPr>
        <w:t>Vocal</w:t>
      </w:r>
    </w:p>
    <w:p w:rsidRPr="007D0617"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7D0617">
        <w:rPr>
          <w:rFonts w:ascii="Times New Roman" w:hAnsi="Times New Roman" w:cs="Times New Roman"/>
          <w:b/>
          <w:bCs/>
          <w:sz w:val="24"/>
          <w:szCs w:val="24"/>
          <w:lang w:val="es-PE"/>
        </w:rPr>
        <w:t xml:space="preserve">Rolando Eyzaguirre </w:t>
      </w:r>
      <w:proofErr w:type="spellStart"/>
      <w:r w:rsidRPr="007D0617">
        <w:rPr>
          <w:rFonts w:ascii="Times New Roman" w:hAnsi="Times New Roman" w:cs="Times New Roman"/>
          <w:b/>
          <w:bCs/>
          <w:sz w:val="24"/>
          <w:szCs w:val="24"/>
          <w:lang w:val="es-PE"/>
        </w:rPr>
        <w:t>Maccan</w:t>
      </w:r>
      <w:proofErr w:type="spellEnd"/>
      <w:r w:rsidRPr="007D0617">
        <w:rPr>
          <w:rFonts w:ascii="Times New Roman" w:hAnsi="Times New Roman" w:cs="Times New Roman"/>
          <w:b/>
          <w:bCs/>
          <w:sz w:val="24"/>
          <w:szCs w:val="24"/>
          <w:lang w:val="es-PE"/>
        </w:rPr>
        <w:t xml:space="preserve"> - Vocal</w:t>
      </w:r>
    </w:p>
    <w:p w:rsidRPr="007D0617"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7D0617">
        <w:rPr>
          <w:rFonts w:ascii="Times New Roman" w:hAnsi="Times New Roman" w:cs="Times New Roman"/>
          <w:b/>
          <w:bCs/>
          <w:sz w:val="24"/>
          <w:szCs w:val="24"/>
          <w:lang w:val="es-PE"/>
        </w:rPr>
        <w:t>Gonzalo Abad del Busto – Vocal</w:t>
      </w:r>
    </w:p>
    <w:p w:rsidRPr="007D0617"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7D0617"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7D0617"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6E8B" w:rsidP="00784355" w:rsidRDefault="003E6E8B" w14:paraId="7E4424EA" w14:textId="77777777">
      <w:pPr>
        <w:spacing w:after="0" w:line="240" w:lineRule="auto"/>
      </w:pPr>
      <w:r>
        <w:separator/>
      </w:r>
    </w:p>
  </w:endnote>
  <w:endnote w:type="continuationSeparator" w:id="0">
    <w:p w:rsidR="003E6E8B" w:rsidP="00784355" w:rsidRDefault="003E6E8B" w14:paraId="6BD4DD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6E8B" w:rsidP="00784355" w:rsidRDefault="003E6E8B" w14:paraId="23273D1E" w14:textId="77777777">
      <w:pPr>
        <w:spacing w:after="0" w:line="240" w:lineRule="auto"/>
      </w:pPr>
      <w:r>
        <w:separator/>
      </w:r>
    </w:p>
  </w:footnote>
  <w:footnote w:type="continuationSeparator" w:id="0">
    <w:p w:rsidR="003E6E8B" w:rsidP="00784355" w:rsidRDefault="003E6E8B" w14:paraId="146A2ED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8AF3105"/>
    <w:multiLevelType w:val="hybridMultilevel"/>
    <w:tmpl w:val="A52E57C4"/>
    <w:lvl w:ilvl="0" w:tplc="CFC2E21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6C70DDB"/>
    <w:multiLevelType w:val="hybridMultilevel"/>
    <w:tmpl w:val="7AA204B6"/>
    <w:lvl w:ilvl="0" w:tplc="280A001B">
      <w:start w:val="1"/>
      <w:numFmt w:val="lowerRoman"/>
      <w:lvlText w:val="%1."/>
      <w:lvlJc w:val="righ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7"/>
  </w:num>
  <w:num w:numId="3" w16cid:durableId="760956054">
    <w:abstractNumId w:val="12"/>
  </w:num>
  <w:num w:numId="4" w16cid:durableId="1079518208">
    <w:abstractNumId w:val="11"/>
  </w:num>
  <w:num w:numId="5" w16cid:durableId="1198003566">
    <w:abstractNumId w:val="15"/>
  </w:num>
  <w:num w:numId="6" w16cid:durableId="1607540339">
    <w:abstractNumId w:val="0"/>
  </w:num>
  <w:num w:numId="7" w16cid:durableId="1490902120">
    <w:abstractNumId w:val="19"/>
  </w:num>
  <w:num w:numId="8" w16cid:durableId="615214413">
    <w:abstractNumId w:val="21"/>
  </w:num>
  <w:num w:numId="9" w16cid:durableId="10181194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186962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780940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442"/>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297"/>
    <w:rsid w:val="000868A1"/>
    <w:rsid w:val="00092684"/>
    <w:rsid w:val="00092C2E"/>
    <w:rsid w:val="0009634E"/>
    <w:rsid w:val="000A5666"/>
    <w:rsid w:val="000A5CAA"/>
    <w:rsid w:val="000B19A0"/>
    <w:rsid w:val="000B58D8"/>
    <w:rsid w:val="000C0585"/>
    <w:rsid w:val="000C0734"/>
    <w:rsid w:val="000C3D6F"/>
    <w:rsid w:val="000D7664"/>
    <w:rsid w:val="000F6340"/>
    <w:rsid w:val="000F6D7C"/>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824"/>
    <w:rsid w:val="002D3B01"/>
    <w:rsid w:val="002D7773"/>
    <w:rsid w:val="002E1221"/>
    <w:rsid w:val="002E17F9"/>
    <w:rsid w:val="002E72CC"/>
    <w:rsid w:val="002F09CA"/>
    <w:rsid w:val="002F35F0"/>
    <w:rsid w:val="002F376A"/>
    <w:rsid w:val="00303302"/>
    <w:rsid w:val="003045E3"/>
    <w:rsid w:val="00311A83"/>
    <w:rsid w:val="003156E0"/>
    <w:rsid w:val="0032132E"/>
    <w:rsid w:val="00335EB3"/>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E6E8B"/>
    <w:rsid w:val="003F0C97"/>
    <w:rsid w:val="003F1149"/>
    <w:rsid w:val="003F1B5F"/>
    <w:rsid w:val="003F3726"/>
    <w:rsid w:val="003F6B30"/>
    <w:rsid w:val="00403814"/>
    <w:rsid w:val="004049B9"/>
    <w:rsid w:val="00407045"/>
    <w:rsid w:val="00413C3F"/>
    <w:rsid w:val="00415B14"/>
    <w:rsid w:val="00417E23"/>
    <w:rsid w:val="00420016"/>
    <w:rsid w:val="004201E5"/>
    <w:rsid w:val="00425F75"/>
    <w:rsid w:val="00434D9C"/>
    <w:rsid w:val="00440BC2"/>
    <w:rsid w:val="00444232"/>
    <w:rsid w:val="00447FE4"/>
    <w:rsid w:val="00453EEA"/>
    <w:rsid w:val="00460338"/>
    <w:rsid w:val="00460C30"/>
    <w:rsid w:val="00465FB9"/>
    <w:rsid w:val="00466302"/>
    <w:rsid w:val="0047370C"/>
    <w:rsid w:val="0047522D"/>
    <w:rsid w:val="00476BA1"/>
    <w:rsid w:val="00477C29"/>
    <w:rsid w:val="00490F9F"/>
    <w:rsid w:val="00495003"/>
    <w:rsid w:val="00496A1A"/>
    <w:rsid w:val="004A3E25"/>
    <w:rsid w:val="004B51ED"/>
    <w:rsid w:val="004B5ED8"/>
    <w:rsid w:val="004C43FC"/>
    <w:rsid w:val="004C51EC"/>
    <w:rsid w:val="004C5A91"/>
    <w:rsid w:val="004C62B3"/>
    <w:rsid w:val="004E1BF9"/>
    <w:rsid w:val="004E65DD"/>
    <w:rsid w:val="004F549E"/>
    <w:rsid w:val="005009EF"/>
    <w:rsid w:val="00504C79"/>
    <w:rsid w:val="0051503F"/>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5E5A"/>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1A6C"/>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0617"/>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2DA6"/>
    <w:rsid w:val="00805091"/>
    <w:rsid w:val="00811120"/>
    <w:rsid w:val="00816B3F"/>
    <w:rsid w:val="0081754D"/>
    <w:rsid w:val="008177B9"/>
    <w:rsid w:val="00821801"/>
    <w:rsid w:val="00821DED"/>
    <w:rsid w:val="00832D37"/>
    <w:rsid w:val="00836831"/>
    <w:rsid w:val="00837DDE"/>
    <w:rsid w:val="0085087D"/>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51E3"/>
    <w:rsid w:val="008D67A4"/>
    <w:rsid w:val="008D6AFE"/>
    <w:rsid w:val="008D6DDF"/>
    <w:rsid w:val="008F1161"/>
    <w:rsid w:val="008F27EF"/>
    <w:rsid w:val="008F479E"/>
    <w:rsid w:val="008F4BEC"/>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2052"/>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5E36"/>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7B08"/>
    <w:rsid w:val="00B928FB"/>
    <w:rsid w:val="00B93683"/>
    <w:rsid w:val="00B93C7A"/>
    <w:rsid w:val="00B956C4"/>
    <w:rsid w:val="00B95F76"/>
    <w:rsid w:val="00BA0192"/>
    <w:rsid w:val="00BA24B0"/>
    <w:rsid w:val="00BB11B5"/>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2ADF"/>
    <w:rsid w:val="00C25B78"/>
    <w:rsid w:val="00C32068"/>
    <w:rsid w:val="00C33FEF"/>
    <w:rsid w:val="00C34D95"/>
    <w:rsid w:val="00C4163B"/>
    <w:rsid w:val="00C41F24"/>
    <w:rsid w:val="00C47619"/>
    <w:rsid w:val="00C52672"/>
    <w:rsid w:val="00C52848"/>
    <w:rsid w:val="00C52CFE"/>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4728"/>
    <w:rsid w:val="00CF55D6"/>
    <w:rsid w:val="00CF78D3"/>
    <w:rsid w:val="00D01EFF"/>
    <w:rsid w:val="00D10B27"/>
    <w:rsid w:val="00D12CFF"/>
    <w:rsid w:val="00D14B84"/>
    <w:rsid w:val="00D156AF"/>
    <w:rsid w:val="00D16367"/>
    <w:rsid w:val="00D166CE"/>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848B0"/>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DF79AA"/>
    <w:rsid w:val="00E02516"/>
    <w:rsid w:val="00E02C4A"/>
    <w:rsid w:val="00E107CA"/>
    <w:rsid w:val="00E1216B"/>
    <w:rsid w:val="00E1477F"/>
    <w:rsid w:val="00E16C63"/>
    <w:rsid w:val="00E20C5F"/>
    <w:rsid w:val="00E22EBE"/>
    <w:rsid w:val="00E25348"/>
    <w:rsid w:val="00E25D54"/>
    <w:rsid w:val="00E30E76"/>
    <w:rsid w:val="00E341F5"/>
    <w:rsid w:val="00E35FEA"/>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EE7A78"/>
    <w:rsid w:val="00F01B55"/>
    <w:rsid w:val="00F0237B"/>
    <w:rsid w:val="00F06498"/>
    <w:rsid w:val="00F11E0A"/>
    <w:rsid w:val="00F11F10"/>
    <w:rsid w:val="00F13013"/>
    <w:rsid w:val="00F14F22"/>
    <w:rsid w:val="00F15C12"/>
    <w:rsid w:val="00F16540"/>
    <w:rsid w:val="00F16CF9"/>
    <w:rsid w:val="00F20B09"/>
    <w:rsid w:val="00F3335E"/>
    <w:rsid w:val="00F349E0"/>
    <w:rsid w:val="00F439B5"/>
    <w:rsid w:val="00F52613"/>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0134"/>
    <w:rsid w:val="00FB4B0C"/>
    <w:rsid w:val="00FB4CAB"/>
    <w:rsid w:val="00FC0D10"/>
    <w:rsid w:val="00FC1934"/>
    <w:rsid w:val="00FC619D"/>
    <w:rsid w:val="00FD2CA3"/>
    <w:rsid w:val="00FE38F0"/>
    <w:rsid w:val="00FE43A9"/>
    <w:rsid w:val="00FF03CE"/>
    <w:rsid w:val="00FF41F3"/>
    <w:rsid w:val="00FF456B"/>
    <w:rsid w:val="094E7DE6"/>
    <w:rsid w:val="0C019339"/>
    <w:rsid w:val="0FEF1796"/>
    <w:rsid w:val="25EB553B"/>
    <w:rsid w:val="38E82E73"/>
    <w:rsid w:val="502DDC6F"/>
    <w:rsid w:val="6DB36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qFormat/>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 w:type="character" w:styleId="PrrafodelistaCar" w:customStyle="1">
    <w:name w:val="Párrafo de lista Car"/>
    <w:aliases w:val="Number List 1 Car"/>
    <w:link w:val="Prrafodelista"/>
    <w:uiPriority w:val="34"/>
    <w:locked/>
    <w:rsid w:val="00495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22436980">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7913641">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141896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43933980">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14453312">
      <w:bodyDiv w:val="1"/>
      <w:marLeft w:val="0"/>
      <w:marRight w:val="0"/>
      <w:marTop w:val="0"/>
      <w:marBottom w:val="0"/>
      <w:divBdr>
        <w:top w:val="none" w:sz="0" w:space="0" w:color="auto"/>
        <w:left w:val="none" w:sz="0" w:space="0" w:color="auto"/>
        <w:bottom w:val="none" w:sz="0" w:space="0" w:color="auto"/>
        <w:right w:val="none" w:sz="0" w:space="0" w:color="auto"/>
      </w:divBdr>
    </w:div>
    <w:div w:id="20181953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002439">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9BD0C16-70B6-4AD5-AFC1-030A71F09088}"/>
</file>

<file path=customXml/itemProps3.xml><?xml version="1.0" encoding="utf-8"?>
<ds:datastoreItem xmlns:ds="http://schemas.openxmlformats.org/officeDocument/2006/customXml" ds:itemID="{655C523F-F021-470C-9401-402B4C5183AF}"/>
</file>

<file path=customXml/itemProps4.xml><?xml version="1.0" encoding="utf-8"?>
<ds:datastoreItem xmlns:ds="http://schemas.openxmlformats.org/officeDocument/2006/customXml" ds:itemID="{635FF8BB-5D03-4A27-BCEA-491EEC9306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225</cp:revision>
  <cp:lastPrinted>2022-08-31T21:00:00Z</cp:lastPrinted>
  <dcterms:created xsi:type="dcterms:W3CDTF">2020-12-18T20:17:00Z</dcterms:created>
  <dcterms:modified xsi:type="dcterms:W3CDTF">2025-12-01T20:47:05Z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