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375C8" w:rsidR="00B10F71" w:rsidP="00041B86" w:rsidRDefault="00201C0D" w14:paraId="51974F0B" w14:textId="027B32C8">
      <w:pPr>
        <w:spacing w:after="0" w:line="240" w:lineRule="auto"/>
        <w:jc w:val="center"/>
        <w:rPr>
          <w:rFonts w:ascii="Times New Roman" w:hAnsi="Times New Roman" w:cs="Times New Roman"/>
          <w:b/>
          <w:sz w:val="24"/>
          <w:szCs w:val="24"/>
          <w:lang w:val="es-PE" w:eastAsia="ar-SA"/>
        </w:rPr>
      </w:pPr>
      <w:r w:rsidRPr="00D375C8">
        <w:rPr>
          <w:rFonts w:ascii="Times New Roman" w:hAnsi="Times New Roman" w:cs="Times New Roman"/>
          <w:b/>
          <w:sz w:val="24"/>
          <w:szCs w:val="24"/>
          <w:lang w:val="es-PE" w:eastAsia="ar-SA"/>
        </w:rPr>
        <w:t xml:space="preserve">RESOLUCIÓN DE RECURSO IMPUGNATIVO </w:t>
      </w:r>
      <w:proofErr w:type="spellStart"/>
      <w:r w:rsidRPr="00D375C8" w:rsidR="00707C99">
        <w:rPr>
          <w:rFonts w:ascii="Times New Roman" w:hAnsi="Times New Roman" w:cs="Times New Roman"/>
          <w:b/>
          <w:sz w:val="24"/>
          <w:szCs w:val="24"/>
          <w:lang w:val="es-PE" w:eastAsia="ar-SA"/>
        </w:rPr>
        <w:t>N°</w:t>
      </w:r>
      <w:proofErr w:type="spellEnd"/>
      <w:r w:rsidRPr="00D375C8" w:rsidR="00707C99">
        <w:rPr>
          <w:rFonts w:ascii="Times New Roman" w:hAnsi="Times New Roman" w:cs="Times New Roman"/>
          <w:b/>
          <w:sz w:val="24"/>
          <w:szCs w:val="24"/>
          <w:lang w:val="es-PE" w:eastAsia="ar-SA"/>
        </w:rPr>
        <w:t xml:space="preserve"> </w:t>
      </w:r>
      <w:r w:rsidRPr="00D375C8" w:rsidR="00C671F5">
        <w:rPr>
          <w:rFonts w:ascii="Times New Roman" w:hAnsi="Times New Roman" w:cs="Times New Roman"/>
          <w:b/>
          <w:sz w:val="24"/>
          <w:szCs w:val="24"/>
          <w:lang w:val="es-PE" w:eastAsia="ar-SA"/>
        </w:rPr>
        <w:t>0</w:t>
      </w:r>
      <w:r w:rsidRPr="00D375C8" w:rsidR="009D5E36">
        <w:rPr>
          <w:rFonts w:ascii="Times New Roman" w:hAnsi="Times New Roman" w:cs="Times New Roman"/>
          <w:b/>
          <w:sz w:val="24"/>
          <w:szCs w:val="24"/>
          <w:lang w:val="es-PE" w:eastAsia="ar-SA"/>
        </w:rPr>
        <w:t>6</w:t>
      </w:r>
      <w:r w:rsidRPr="00D375C8" w:rsidR="007460AB">
        <w:rPr>
          <w:rFonts w:ascii="Times New Roman" w:hAnsi="Times New Roman" w:cs="Times New Roman"/>
          <w:b/>
          <w:sz w:val="24"/>
          <w:szCs w:val="24"/>
          <w:lang w:val="es-PE" w:eastAsia="ar-SA"/>
        </w:rPr>
        <w:t>6</w:t>
      </w:r>
      <w:r w:rsidRPr="00D375C8" w:rsidR="00C671F5">
        <w:rPr>
          <w:rFonts w:ascii="Times New Roman" w:hAnsi="Times New Roman" w:cs="Times New Roman"/>
          <w:b/>
          <w:sz w:val="24"/>
          <w:szCs w:val="24"/>
          <w:lang w:val="es-PE" w:eastAsia="ar-SA"/>
        </w:rPr>
        <w:t>/2</w:t>
      </w:r>
      <w:r w:rsidRPr="00D375C8" w:rsidR="00B93C7A">
        <w:rPr>
          <w:rFonts w:ascii="Times New Roman" w:hAnsi="Times New Roman" w:cs="Times New Roman"/>
          <w:b/>
          <w:sz w:val="24"/>
          <w:szCs w:val="24"/>
          <w:lang w:val="es-PE" w:eastAsia="ar-SA"/>
        </w:rPr>
        <w:t>2</w:t>
      </w:r>
    </w:p>
    <w:p w:rsidRPr="00D375C8"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D375C8" w:rsidR="00D375C8" w:rsidP="00D375C8" w:rsidRDefault="00D375C8" w14:paraId="09F4AA57" w14:textId="77777777">
      <w:pPr>
        <w:jc w:val="both"/>
        <w:outlineLvl w:val="0"/>
        <w:rPr>
          <w:rFonts w:ascii="Times New Roman" w:hAnsi="Times New Roman" w:cs="Times New Roman"/>
          <w:b/>
          <w:bCs/>
          <w:sz w:val="24"/>
          <w:szCs w:val="24"/>
          <w:lang w:val="es-MX"/>
        </w:rPr>
      </w:pPr>
      <w:r w:rsidRPr="00D375C8">
        <w:rPr>
          <w:rFonts w:ascii="Times New Roman" w:hAnsi="Times New Roman" w:cs="Times New Roman"/>
          <w:b/>
          <w:bCs/>
          <w:sz w:val="24"/>
          <w:szCs w:val="24"/>
          <w:lang w:val="es-MX"/>
        </w:rPr>
        <w:t>VISTOS:</w:t>
      </w:r>
    </w:p>
    <w:p w:rsidRPr="00D375C8" w:rsidR="00D375C8" w:rsidP="00D375C8" w:rsidRDefault="00D375C8" w14:paraId="0D9A5FBC" w14:textId="375E66BA">
      <w:pPr>
        <w:pStyle w:val="Default"/>
        <w:jc w:val="both"/>
        <w:rPr>
          <w:rFonts w:ascii="Times New Roman" w:hAnsi="Times New Roman" w:cs="Times New Roman"/>
          <w:b w:val="1"/>
          <w:bCs w:val="1"/>
        </w:rPr>
      </w:pPr>
      <w:r w:rsidRPr="47B8B6FD" w:rsidR="00D375C8">
        <w:rPr>
          <w:rFonts w:ascii="Times New Roman" w:hAnsi="Times New Roman" w:cs="Times New Roman"/>
        </w:rPr>
        <w:t xml:space="preserve">El recurso de impugnación presentado por </w:t>
      </w:r>
      <w:r w:rsidRPr="47B8B6FD" w:rsidR="7EFD19AA">
        <w:rPr>
          <w:rFonts w:ascii="Times New Roman" w:hAnsi="Times New Roman" w:cs="Times New Roman"/>
          <w:b w:val="1"/>
          <w:bCs w:val="1"/>
        </w:rPr>
        <w:t>.............................................</w:t>
      </w:r>
      <w:r w:rsidRPr="47B8B6FD" w:rsidR="00D375C8">
        <w:rPr>
          <w:rFonts w:ascii="Times New Roman" w:hAnsi="Times New Roman" w:cs="Times New Roman"/>
          <w:b w:val="1"/>
          <w:bCs w:val="1"/>
        </w:rPr>
        <w:t xml:space="preserve"> </w:t>
      </w:r>
      <w:r w:rsidRPr="47B8B6FD" w:rsidR="00D375C8">
        <w:rPr>
          <w:rFonts w:ascii="Times New Roman" w:hAnsi="Times New Roman" w:cs="Times New Roman"/>
        </w:rPr>
        <w:t xml:space="preserve">respecto de la Resolución Nro. 160/22, expedida por esta Defensoría del Asegurado (DEFASEG), conforme a la cual se declaró INFUNDADA la reclamación interpuesta contra </w:t>
      </w:r>
      <w:r w:rsidRPr="47B8B6FD" w:rsidR="0774E1E8">
        <w:rPr>
          <w:rFonts w:ascii="Times New Roman" w:hAnsi="Times New Roman" w:cs="Times New Roman"/>
          <w:b w:val="1"/>
          <w:bCs w:val="1"/>
        </w:rPr>
        <w:t>.........................................................................</w:t>
      </w:r>
      <w:r w:rsidRPr="47B8B6FD" w:rsidR="00D375C8">
        <w:rPr>
          <w:rFonts w:ascii="Times New Roman" w:hAnsi="Times New Roman" w:cs="Times New Roman"/>
          <w:b w:val="1"/>
          <w:bCs w:val="1"/>
        </w:rPr>
        <w:t xml:space="preserve"> respecto</w:t>
      </w:r>
      <w:r w:rsidRPr="47B8B6FD" w:rsidR="00D375C8">
        <w:rPr>
          <w:rFonts w:ascii="Times New Roman" w:hAnsi="Times New Roman" w:cs="Times New Roman"/>
        </w:rPr>
        <w:t xml:space="preserve"> al </w:t>
      </w:r>
      <w:r w:rsidRPr="47B8B6FD" w:rsidR="00D375C8">
        <w:rPr>
          <w:rFonts w:ascii="Times New Roman" w:hAnsi="Times New Roman" w:cs="Times New Roman"/>
          <w:b w:val="1"/>
          <w:bCs w:val="1"/>
        </w:rPr>
        <w:t xml:space="preserve">SEGURO SEPELIO – PÓLIZA No </w:t>
      </w:r>
      <w:r w:rsidRPr="47B8B6FD" w:rsidR="6E0E67D3">
        <w:rPr>
          <w:rFonts w:ascii="Times New Roman" w:hAnsi="Times New Roman" w:cs="Times New Roman"/>
          <w:b w:val="1"/>
          <w:bCs w:val="1"/>
        </w:rPr>
        <w:t>.......................</w:t>
      </w:r>
      <w:r w:rsidRPr="47B8B6FD" w:rsidR="00D375C8">
        <w:rPr>
          <w:rFonts w:ascii="Times New Roman" w:hAnsi="Times New Roman" w:cs="Times New Roman"/>
          <w:b w:val="1"/>
          <w:bCs w:val="1"/>
        </w:rPr>
        <w:t>.</w:t>
      </w:r>
    </w:p>
    <w:p w:rsidRPr="00D375C8" w:rsidR="00D375C8" w:rsidP="00D375C8" w:rsidRDefault="00D375C8" w14:paraId="765775F4" w14:textId="77777777">
      <w:pPr>
        <w:pStyle w:val="Default"/>
        <w:jc w:val="both"/>
        <w:rPr>
          <w:rFonts w:ascii="Times New Roman" w:hAnsi="Times New Roman" w:cs="Times New Roman"/>
        </w:rPr>
      </w:pPr>
    </w:p>
    <w:p w:rsidRPr="00D375C8" w:rsidR="00D375C8" w:rsidP="00D375C8" w:rsidRDefault="00D375C8" w14:paraId="1454F67F" w14:textId="77777777">
      <w:pPr>
        <w:autoSpaceDE w:val="0"/>
        <w:autoSpaceDN w:val="0"/>
        <w:adjustRightInd w:val="0"/>
        <w:jc w:val="both"/>
        <w:rPr>
          <w:rFonts w:ascii="Times New Roman" w:hAnsi="Times New Roman" w:cs="Times New Roman"/>
          <w:color w:val="000000"/>
          <w:sz w:val="24"/>
          <w:szCs w:val="24"/>
          <w:lang w:val="es-PE" w:eastAsia="es-PE"/>
        </w:rPr>
      </w:pPr>
      <w:r w:rsidRPr="00D375C8">
        <w:rPr>
          <w:rFonts w:ascii="Times New Roman" w:hAnsi="Times New Roman" w:cs="Times New Roman"/>
          <w:sz w:val="24"/>
          <w:szCs w:val="24"/>
          <w:lang w:val="es-PE"/>
        </w:rPr>
        <w:t xml:space="preserve">Que, el indicado recurso se sustenta resumidamente en lo siguiente: (1) </w:t>
      </w:r>
      <w:r w:rsidRPr="00D375C8">
        <w:rPr>
          <w:rFonts w:ascii="Times New Roman" w:hAnsi="Times New Roman" w:cs="Times New Roman"/>
          <w:color w:val="000000"/>
          <w:sz w:val="24"/>
          <w:szCs w:val="24"/>
          <w:lang w:val="es-PE" w:eastAsia="es-PE"/>
        </w:rPr>
        <w:t xml:space="preserve">en el certificado de defunción general de su difunta esposa se aprecia que la causa básica del fallecimiento es EPOC EXACERBADO; (2) la aseguradora con el fin de no indemnizar al beneficiario alega que la historia clínica </w:t>
      </w:r>
      <w:proofErr w:type="spellStart"/>
      <w:r w:rsidRPr="00D375C8">
        <w:rPr>
          <w:rFonts w:ascii="Times New Roman" w:hAnsi="Times New Roman" w:cs="Times New Roman"/>
          <w:color w:val="000000"/>
          <w:sz w:val="24"/>
          <w:szCs w:val="24"/>
          <w:lang w:val="es-PE" w:eastAsia="es-PE"/>
        </w:rPr>
        <w:t>N°</w:t>
      </w:r>
      <w:proofErr w:type="spellEnd"/>
      <w:r w:rsidRPr="00D375C8">
        <w:rPr>
          <w:rFonts w:ascii="Times New Roman" w:hAnsi="Times New Roman" w:cs="Times New Roman"/>
          <w:color w:val="000000"/>
          <w:sz w:val="24"/>
          <w:szCs w:val="24"/>
          <w:lang w:val="es-PE" w:eastAsia="es-PE"/>
        </w:rPr>
        <w:t xml:space="preserve"> 7787 con fecha de ingreso 26/09/2019 registrada en el Hospital II Chocope su difunta esposa padecía de bronquiectasias y fibrosis pulmonar hace más de 5 años; mas no de asma como se ha argumentado en la resolución; (3) tomando en consideración que la fecha de ingreso a la póliza del seguro fue el 14/08/2015 el presente caso se encuentra sin cobertura al corresponder los diagnósticos antes mencionados como pre existente a la contratación del Seguro de acuerdo a lo señalado en las condiciones de la póliza alega la aseguradora lo cual es falso porque en la cláusula de exclusiones se puede concluir que no se le puede excluir de la indemnización, pues como se acredita en el contrato “se puede excluir siempre y cuando la asegurada haya padecido hipertensión, diabetes o asma”; (4) lo que quiere decir con esto es que lo que no figura en el contrato la palabra BRONQUIECTASIAS, que es otro tipo de enfermedad.</w:t>
      </w:r>
    </w:p>
    <w:p w:rsidRPr="00D375C8" w:rsidR="00D375C8" w:rsidP="00D375C8" w:rsidRDefault="00D375C8" w14:paraId="6894CD1D" w14:textId="0E9C3E9A">
      <w:pPr>
        <w:pStyle w:val="Textoindependiente"/>
      </w:pPr>
      <w:r w:rsidR="00D375C8">
        <w:rPr/>
        <w:t xml:space="preserve">Que, la aseguradora absolvió el traslado del recurso interpuesto señalando  en síntesis lo siguiente: (1) </w:t>
      </w:r>
      <w:r w:rsidRPr="47B8B6FD" w:rsidR="00D375C8">
        <w:rPr>
          <w:color w:val="000000" w:themeColor="text1" w:themeTint="FF" w:themeShade="FF"/>
          <w:lang w:val="es-PE" w:eastAsia="es-PE"/>
        </w:rPr>
        <w:t xml:space="preserve">en la Historia Clínica </w:t>
      </w:r>
      <w:r w:rsidRPr="47B8B6FD" w:rsidR="00D375C8">
        <w:rPr>
          <w:color w:val="000000" w:themeColor="text1" w:themeTint="FF" w:themeShade="FF"/>
          <w:lang w:val="es-PE" w:eastAsia="es-PE"/>
        </w:rPr>
        <w:t>N°</w:t>
      </w:r>
      <w:r w:rsidRPr="47B8B6FD" w:rsidR="00D375C8">
        <w:rPr>
          <w:color w:val="000000" w:themeColor="text1" w:themeTint="FF" w:themeShade="FF"/>
          <w:lang w:val="es-PE" w:eastAsia="es-PE"/>
        </w:rPr>
        <w:t xml:space="preserve"> 7787 se indica expresamente como antecedentes patológicos de la paciente, que tiene BRONQUIECTASIS y FIBROSIS PULMONAR desde hace 5 años, es decir desde el año 2014, es decir, la asegurada padecía de enfermedades con anterioridad a la fecha de contratación de la póliza grupal de seguro de Sepelio (Póliza </w:t>
      </w:r>
      <w:r w:rsidRPr="47B8B6FD" w:rsidR="00D375C8">
        <w:rPr>
          <w:color w:val="000000" w:themeColor="text1" w:themeTint="FF" w:themeShade="FF"/>
          <w:lang w:val="es-PE" w:eastAsia="es-PE"/>
        </w:rPr>
        <w:t>N°</w:t>
      </w:r>
      <w:r w:rsidRPr="47B8B6FD" w:rsidR="00D375C8">
        <w:rPr>
          <w:color w:val="000000" w:themeColor="text1" w:themeTint="FF" w:themeShade="FF"/>
          <w:lang w:val="es-PE" w:eastAsia="es-PE"/>
        </w:rPr>
        <w:t xml:space="preserve"> </w:t>
      </w:r>
      <w:r w:rsidRPr="47B8B6FD" w:rsidR="6E0E67D3">
        <w:rPr>
          <w:color w:val="000000" w:themeColor="text1" w:themeTint="FF" w:themeShade="FF"/>
          <w:lang w:val="es-PE" w:eastAsia="es-PE"/>
        </w:rPr>
        <w:t>.......................</w:t>
      </w:r>
      <w:r w:rsidRPr="47B8B6FD" w:rsidR="00D375C8">
        <w:rPr>
          <w:color w:val="000000" w:themeColor="text1" w:themeTint="FF" w:themeShade="FF"/>
          <w:lang w:val="es-PE" w:eastAsia="es-PE"/>
        </w:rPr>
        <w:t>, enfermedades que se encuentra relacionada directamente con la causa que originó su fallecimiento, y que se configuran como prexistentes a la contratación del seguro en cuestión; (2)  el rechazo de cobertura del seguro de Sepelio se encuentra debidamente sustentada en documentación de carácter médico-legal, y por lo tanto, dentro de las exclusiones debidamente establecidas en las condiciones del seguro de sepelio, al evidenciarse que el siniestro se encuentra directamente relacionado a una enfermedad preexistente al inicio del seguro de sepelio.</w:t>
      </w:r>
    </w:p>
    <w:p w:rsidRPr="00D375C8" w:rsidR="00D375C8" w:rsidP="00D375C8" w:rsidRDefault="00D375C8" w14:paraId="2F8DCE98" w14:textId="77777777">
      <w:pPr>
        <w:pStyle w:val="Textoindependiente"/>
        <w:rPr>
          <w:color w:val="000000"/>
          <w:lang w:val="es-PE" w:eastAsia="es-PE"/>
        </w:rPr>
      </w:pPr>
      <w:r w:rsidRPr="00D375C8">
        <w:rPr>
          <w:color w:val="000000"/>
          <w:lang w:val="es-PE" w:eastAsia="es-PE"/>
        </w:rPr>
        <w:t xml:space="preserve"> </w:t>
      </w:r>
    </w:p>
    <w:p w:rsidRPr="00D375C8" w:rsidR="00D375C8" w:rsidP="00D375C8" w:rsidRDefault="00D375C8" w14:paraId="6E3B56C3" w14:textId="77777777">
      <w:pPr>
        <w:autoSpaceDE w:val="0"/>
        <w:autoSpaceDN w:val="0"/>
        <w:adjustRightInd w:val="0"/>
        <w:rPr>
          <w:rFonts w:ascii="Times New Roman" w:hAnsi="Times New Roman" w:cs="Times New Roman"/>
          <w:sz w:val="24"/>
          <w:szCs w:val="24"/>
          <w:lang w:val="es-ES" w:eastAsia="ar-SA"/>
        </w:rPr>
      </w:pPr>
      <w:r w:rsidRPr="00D375C8">
        <w:rPr>
          <w:rFonts w:ascii="Times New Roman" w:hAnsi="Times New Roman" w:cs="Times New Roman"/>
          <w:sz w:val="24"/>
          <w:szCs w:val="24"/>
          <w:lang w:val="es-PE"/>
        </w:rPr>
        <w:t>Que, atendiendo a lo expuesto, esta Defensoría resuelve finalmente lo siguiente:</w:t>
      </w:r>
    </w:p>
    <w:p w:rsidRPr="00D375C8" w:rsidR="00D375C8" w:rsidP="00D375C8" w:rsidRDefault="00D375C8" w14:paraId="400FD3DA" w14:textId="77777777">
      <w:pPr>
        <w:jc w:val="both"/>
        <w:rPr>
          <w:rFonts w:ascii="Times New Roman" w:hAnsi="Times New Roman" w:cs="Times New Roman"/>
          <w:sz w:val="24"/>
          <w:szCs w:val="24"/>
          <w:lang w:val="es-PE"/>
        </w:rPr>
      </w:pPr>
      <w:r w:rsidRPr="00D375C8">
        <w:rPr>
          <w:rFonts w:ascii="Times New Roman" w:hAnsi="Times New Roman" w:cs="Times New Roman"/>
          <w:b/>
          <w:sz w:val="24"/>
          <w:szCs w:val="24"/>
          <w:u w:val="single"/>
          <w:lang w:val="es-PE"/>
        </w:rPr>
        <w:t>PRIMERO</w:t>
      </w:r>
      <w:r w:rsidRPr="00D375C8">
        <w:rPr>
          <w:rFonts w:ascii="Times New Roman" w:hAnsi="Times New Roman" w:cs="Times New Roman"/>
          <w:b/>
          <w:sz w:val="24"/>
          <w:szCs w:val="24"/>
          <w:lang w:val="es-PE"/>
        </w:rPr>
        <w:t>:</w:t>
      </w:r>
      <w:r w:rsidRPr="00D375C8">
        <w:rPr>
          <w:rFonts w:ascii="Times New Roman" w:hAnsi="Times New Roman" w:cs="Times New Roman"/>
          <w:sz w:val="24"/>
          <w:szCs w:val="24"/>
          <w:lang w:val="es-PE"/>
        </w:rPr>
        <w:t xml:space="preserve"> El artículo 10 (Procedimiento) del Reglamento de la DEFASEG </w:t>
      </w:r>
      <w:r w:rsidRPr="00D375C8">
        <w:rPr>
          <w:rFonts w:ascii="Times New Roman" w:hAnsi="Times New Roman" w:eastAsia="Arial Unicode MS" w:cs="Times New Roman"/>
          <w:sz w:val="24"/>
          <w:szCs w:val="24"/>
          <w:lang w:val="es-PE"/>
        </w:rPr>
        <w:t>(http://www.defaseg.com.pe/reglamento)</w:t>
      </w:r>
      <w:r w:rsidRPr="00D375C8">
        <w:rPr>
          <w:rFonts w:ascii="Times New Roman" w:hAnsi="Times New Roman" w:cs="Times New Roman"/>
          <w:sz w:val="24"/>
          <w:szCs w:val="24"/>
          <w:lang w:val="es-PE"/>
        </w:rPr>
        <w:t xml:space="preserve"> establece que cualquiera de las partes que no se encuentre de acuerdo con la decisión adoptada por la Defensoría del Asegurado sobre la materia reclamada, podrá impugnarla, interponiendo el correspondiente recurso de impugnación.  </w:t>
      </w:r>
    </w:p>
    <w:p w:rsidRPr="00D375C8" w:rsidR="00D375C8" w:rsidP="00D375C8" w:rsidRDefault="00D375C8" w14:paraId="3A3F1F72" w14:textId="77777777">
      <w:pPr>
        <w:jc w:val="both"/>
        <w:rPr>
          <w:rFonts w:ascii="Times New Roman" w:hAnsi="Times New Roman" w:cs="Times New Roman"/>
          <w:sz w:val="24"/>
          <w:szCs w:val="24"/>
          <w:lang w:val="es-PE"/>
        </w:rPr>
      </w:pPr>
    </w:p>
    <w:p w:rsidRPr="00D375C8" w:rsidR="00D375C8" w:rsidP="00D375C8" w:rsidRDefault="00D375C8" w14:paraId="22A63CAC" w14:textId="77777777">
      <w:pPr>
        <w:jc w:val="both"/>
        <w:rPr>
          <w:rFonts w:ascii="Times New Roman" w:hAnsi="Times New Roman" w:cs="Times New Roman"/>
          <w:sz w:val="24"/>
          <w:szCs w:val="24"/>
          <w:lang w:val="es-PE"/>
        </w:rPr>
      </w:pPr>
      <w:r w:rsidRPr="00D375C8">
        <w:rPr>
          <w:rFonts w:ascii="Times New Roman" w:hAnsi="Times New Roman" w:cs="Times New Roman"/>
          <w:sz w:val="24"/>
          <w:szCs w:val="24"/>
          <w:lang w:val="es-PE"/>
        </w:rPr>
        <w:lastRenderedPageBreak/>
        <w:t>Conforme a ello, en el caso concreto, al interponer el recurso de impugnación el reclamante ha ejercido formalmente su derecho a contradecir lo resuelto por la Defensoría.</w:t>
      </w:r>
    </w:p>
    <w:p w:rsidRPr="00D375C8" w:rsidR="00D375C8" w:rsidP="00D375C8" w:rsidRDefault="00D375C8" w14:paraId="61267DB6" w14:textId="77777777">
      <w:pPr>
        <w:jc w:val="both"/>
        <w:rPr>
          <w:rFonts w:ascii="Times New Roman" w:hAnsi="Times New Roman" w:cs="Times New Roman"/>
          <w:sz w:val="24"/>
          <w:szCs w:val="24"/>
          <w:lang w:val="es-ES"/>
        </w:rPr>
      </w:pPr>
      <w:r w:rsidRPr="00D375C8">
        <w:rPr>
          <w:rFonts w:ascii="Times New Roman" w:hAnsi="Times New Roman" w:cs="Times New Roman"/>
          <w:b/>
          <w:bCs/>
          <w:sz w:val="24"/>
          <w:szCs w:val="24"/>
          <w:u w:val="single"/>
          <w:lang w:val="es-PE"/>
        </w:rPr>
        <w:t>SEGUNDO</w:t>
      </w:r>
      <w:r w:rsidRPr="00D375C8">
        <w:rPr>
          <w:rFonts w:ascii="Times New Roman" w:hAnsi="Times New Roman" w:cs="Times New Roman"/>
          <w:b/>
          <w:bCs/>
          <w:sz w:val="24"/>
          <w:szCs w:val="24"/>
          <w:lang w:val="es-PE"/>
        </w:rPr>
        <w:t>:</w:t>
      </w:r>
      <w:r w:rsidRPr="00D375C8">
        <w:rPr>
          <w:rFonts w:ascii="Times New Roman" w:hAnsi="Times New Roman" w:cs="Times New Roman"/>
          <w:bCs/>
          <w:sz w:val="24"/>
          <w:szCs w:val="24"/>
          <w:lang w:val="es-PE"/>
        </w:rPr>
        <w:t xml:space="preserve"> Que el recurso de impugnación presentado por el recurrente no se sustenta en nueva prueba, sino que expresa las mismas razones que invocó al presentar su reclamo</w:t>
      </w:r>
      <w:r w:rsidRPr="00D375C8">
        <w:rPr>
          <w:rFonts w:ascii="Times New Roman" w:hAnsi="Times New Roman" w:cs="Times New Roman"/>
          <w:sz w:val="24"/>
          <w:szCs w:val="24"/>
          <w:lang w:val="es-PE"/>
        </w:rPr>
        <w:t>.</w:t>
      </w:r>
    </w:p>
    <w:p w:rsidRPr="00D375C8" w:rsidR="00D375C8" w:rsidP="00D375C8" w:rsidRDefault="00D375C8" w14:paraId="62306D0E" w14:textId="77777777">
      <w:pPr>
        <w:jc w:val="both"/>
        <w:rPr>
          <w:rFonts w:ascii="Times New Roman" w:hAnsi="Times New Roman" w:cs="Times New Roman"/>
          <w:color w:val="000000"/>
          <w:sz w:val="24"/>
          <w:szCs w:val="24"/>
          <w:lang w:val="es-PE" w:eastAsia="es-PE"/>
        </w:rPr>
      </w:pPr>
      <w:r w:rsidRPr="00D375C8">
        <w:rPr>
          <w:rFonts w:ascii="Times New Roman" w:hAnsi="Times New Roman" w:cs="Times New Roman"/>
          <w:sz w:val="24"/>
          <w:szCs w:val="24"/>
          <w:lang w:val="es-PE"/>
        </w:rPr>
        <w:t xml:space="preserve">En efecto el reclamante interpreta que la cláusula de exclusiones sólo señala como enfermedades preexistentes a la hipertensión, diabetes y asma, por lo que como </w:t>
      </w:r>
      <w:r w:rsidRPr="00D375C8">
        <w:rPr>
          <w:rFonts w:ascii="Times New Roman" w:hAnsi="Times New Roman" w:cs="Times New Roman"/>
          <w:color w:val="000000"/>
          <w:sz w:val="24"/>
          <w:szCs w:val="24"/>
          <w:lang w:val="es-PE" w:eastAsia="es-PE"/>
        </w:rPr>
        <w:t>su esposa no ha padecido de Asma, el fallecimiento a su entender resulta cubierto.</w:t>
      </w:r>
    </w:p>
    <w:p w:rsidRPr="00D375C8" w:rsidR="00D375C8" w:rsidP="00D375C8" w:rsidRDefault="00D375C8" w14:paraId="52EC1610" w14:textId="77777777">
      <w:pPr>
        <w:autoSpaceDE w:val="0"/>
        <w:autoSpaceDN w:val="0"/>
        <w:adjustRightInd w:val="0"/>
        <w:jc w:val="both"/>
        <w:rPr>
          <w:rFonts w:ascii="Times New Roman" w:hAnsi="Times New Roman" w:cs="Times New Roman"/>
          <w:sz w:val="24"/>
          <w:szCs w:val="24"/>
          <w:lang w:val="es-ES" w:eastAsia="ar-SA"/>
        </w:rPr>
      </w:pPr>
      <w:r w:rsidRPr="00D375C8">
        <w:rPr>
          <w:rFonts w:ascii="Times New Roman" w:hAnsi="Times New Roman" w:cs="Times New Roman"/>
          <w:sz w:val="24"/>
          <w:szCs w:val="24"/>
          <w:lang w:val="es-PE"/>
        </w:rPr>
        <w:t xml:space="preserve">Conforme a la </w:t>
      </w:r>
      <w:r w:rsidRPr="00D375C8">
        <w:rPr>
          <w:rFonts w:ascii="Times New Roman" w:hAnsi="Times New Roman" w:cs="Times New Roman"/>
          <w:bCs/>
          <w:sz w:val="24"/>
          <w:szCs w:val="24"/>
          <w:lang w:val="es-PE"/>
        </w:rPr>
        <w:t xml:space="preserve">resolución recurrida, se encontró legítimo el rechazo de cobertura por cuanto se verificó que, </w:t>
      </w:r>
      <w:r w:rsidRPr="00D375C8">
        <w:rPr>
          <w:rFonts w:ascii="Times New Roman" w:hAnsi="Times New Roman" w:cs="Times New Roman"/>
          <w:sz w:val="24"/>
          <w:szCs w:val="24"/>
          <w:lang w:val="es-PE"/>
        </w:rPr>
        <w:t>conforme a la historia clínica, está probado que la asegurada dependiente padecía de BRONQUIECTASIS y FIBROSIS PULMONAR desde el 2014, esto es antes de la contratación del seguro el 14 de agosto de 2015.</w:t>
      </w:r>
    </w:p>
    <w:p w:rsidRPr="00D375C8" w:rsidR="00D375C8" w:rsidP="00D375C8" w:rsidRDefault="00D375C8" w14:paraId="11FE7C80" w14:textId="7BA5D45E">
      <w:pPr>
        <w:autoSpaceDE w:val="0"/>
        <w:autoSpaceDN w:val="0"/>
        <w:adjustRightInd w:val="0"/>
        <w:jc w:val="both"/>
        <w:rPr>
          <w:rFonts w:ascii="Times New Roman" w:hAnsi="Times New Roman" w:cs="Times New Roman"/>
          <w:bCs/>
          <w:sz w:val="24"/>
          <w:szCs w:val="24"/>
          <w:lang w:val="es-PE"/>
        </w:rPr>
      </w:pPr>
      <w:r w:rsidRPr="00D375C8">
        <w:rPr>
          <w:rFonts w:ascii="Times New Roman" w:hAnsi="Times New Roman" w:cs="Times New Roman"/>
          <w:sz w:val="24"/>
          <w:szCs w:val="24"/>
          <w:lang w:val="es-PE"/>
        </w:rPr>
        <w:t>En ese sentido, dichos padecimientos son preexistencias que configuran causal de exclusión de cobertura según los términos de la póliza contratada:</w:t>
      </w:r>
    </w:p>
    <w:p w:rsidRPr="00D375C8" w:rsidR="00D375C8" w:rsidP="00D375C8" w:rsidRDefault="00D375C8" w14:paraId="6AFAEE59" w14:textId="3D916543">
      <w:pPr>
        <w:autoSpaceDE w:val="0"/>
        <w:autoSpaceDN w:val="0"/>
        <w:adjustRightInd w:val="0"/>
        <w:jc w:val="both"/>
      </w:pPr>
      <w:r w:rsidR="3417FD99">
        <w:rPr/>
        <w:t>............................................................................................................................................................</w:t>
      </w:r>
    </w:p>
    <w:p w:rsidRPr="00D375C8" w:rsidR="00D375C8" w:rsidP="00D375C8" w:rsidRDefault="00D375C8" w14:paraId="289ACC89" w14:textId="77777777">
      <w:pPr>
        <w:autoSpaceDE w:val="0"/>
        <w:autoSpaceDN w:val="0"/>
        <w:adjustRightInd w:val="0"/>
        <w:jc w:val="both"/>
        <w:rPr>
          <w:rFonts w:ascii="Times New Roman" w:hAnsi="Times New Roman" w:cs="Times New Roman"/>
          <w:sz w:val="24"/>
          <w:szCs w:val="24"/>
          <w:lang w:val="es-PE"/>
        </w:rPr>
      </w:pPr>
      <w:r w:rsidRPr="00D375C8">
        <w:rPr>
          <w:rFonts w:ascii="Times New Roman" w:hAnsi="Times New Roman" w:cs="Times New Roman"/>
          <w:sz w:val="24"/>
          <w:szCs w:val="24"/>
          <w:lang w:val="es-PE"/>
        </w:rPr>
        <w:t>Tal como se aprecia en el tenor de la exclusión, las únicas enfermedades que no se consideran preexistencias son los casos de hipertensión, diabetes o asma.</w:t>
      </w:r>
    </w:p>
    <w:p w:rsidRPr="00D375C8" w:rsidR="00D375C8" w:rsidP="00D375C8" w:rsidRDefault="00D375C8" w14:paraId="4899FDCD" w14:textId="77777777">
      <w:pPr>
        <w:autoSpaceDE w:val="0"/>
        <w:autoSpaceDN w:val="0"/>
        <w:adjustRightInd w:val="0"/>
        <w:jc w:val="both"/>
        <w:rPr>
          <w:rFonts w:ascii="Times New Roman" w:hAnsi="Times New Roman" w:cs="Times New Roman"/>
          <w:sz w:val="24"/>
          <w:szCs w:val="24"/>
          <w:lang w:val="es-PE"/>
        </w:rPr>
      </w:pPr>
      <w:r w:rsidRPr="00D375C8">
        <w:rPr>
          <w:rFonts w:ascii="Times New Roman" w:hAnsi="Times New Roman" w:cs="Times New Roman"/>
          <w:sz w:val="24"/>
          <w:szCs w:val="24"/>
          <w:lang w:val="es-PE"/>
        </w:rPr>
        <w:t xml:space="preserve">Por tanto, el resto de </w:t>
      </w:r>
      <w:proofErr w:type="gramStart"/>
      <w:r w:rsidRPr="00D375C8">
        <w:rPr>
          <w:rFonts w:ascii="Times New Roman" w:hAnsi="Times New Roman" w:cs="Times New Roman"/>
          <w:sz w:val="24"/>
          <w:szCs w:val="24"/>
          <w:lang w:val="es-PE"/>
        </w:rPr>
        <w:t>enfermedades</w:t>
      </w:r>
      <w:proofErr w:type="gramEnd"/>
      <w:r w:rsidRPr="00D375C8">
        <w:rPr>
          <w:rFonts w:ascii="Times New Roman" w:hAnsi="Times New Roman" w:cs="Times New Roman"/>
          <w:sz w:val="24"/>
          <w:szCs w:val="24"/>
          <w:lang w:val="es-PE"/>
        </w:rPr>
        <w:t xml:space="preserve"> califican como preexistencias, como es el caso de la BRONQUIECTASIS, siempre que sean anteriores a la celebración del contrato de seguros. </w:t>
      </w:r>
    </w:p>
    <w:p w:rsidRPr="00D375C8" w:rsidR="00D375C8" w:rsidP="00D375C8" w:rsidRDefault="00D375C8" w14:paraId="56AA7C6F" w14:textId="77777777">
      <w:pPr>
        <w:autoSpaceDE w:val="0"/>
        <w:autoSpaceDN w:val="0"/>
        <w:adjustRightInd w:val="0"/>
        <w:jc w:val="both"/>
        <w:rPr>
          <w:rFonts w:ascii="Times New Roman" w:hAnsi="Times New Roman" w:cs="Times New Roman"/>
          <w:sz w:val="24"/>
          <w:szCs w:val="24"/>
          <w:lang w:val="es-PE"/>
        </w:rPr>
      </w:pPr>
      <w:r w:rsidRPr="00D375C8">
        <w:rPr>
          <w:rFonts w:ascii="Times New Roman" w:hAnsi="Times New Roman" w:cs="Times New Roman"/>
          <w:color w:val="000000"/>
          <w:sz w:val="24"/>
          <w:szCs w:val="24"/>
          <w:lang w:val="es-PE" w:eastAsia="es-PE"/>
        </w:rPr>
        <w:t xml:space="preserve"> </w:t>
      </w:r>
    </w:p>
    <w:p w:rsidRPr="00D375C8" w:rsidR="00D375C8" w:rsidP="00D375C8" w:rsidRDefault="00D375C8" w14:paraId="65749BCB" w14:textId="77777777">
      <w:pPr>
        <w:autoSpaceDE w:val="0"/>
        <w:autoSpaceDN w:val="0"/>
        <w:adjustRightInd w:val="0"/>
        <w:jc w:val="both"/>
        <w:rPr>
          <w:rFonts w:ascii="Times New Roman" w:hAnsi="Times New Roman" w:cs="Times New Roman"/>
          <w:sz w:val="24"/>
          <w:szCs w:val="24"/>
          <w:lang w:val="es-PE"/>
        </w:rPr>
      </w:pPr>
      <w:r w:rsidRPr="00D375C8">
        <w:rPr>
          <w:rFonts w:ascii="Times New Roman" w:hAnsi="Times New Roman" w:cs="Times New Roman"/>
          <w:sz w:val="24"/>
          <w:szCs w:val="24"/>
          <w:lang w:val="es-PE"/>
        </w:rPr>
        <w:lastRenderedPageBreak/>
        <w:t>En esa medida, cabe reiterar que existe fundamento válido de rechazo de cobertura, por cuanto la asegurada padecía una preexistencia.</w:t>
      </w:r>
    </w:p>
    <w:p w:rsidRPr="00D375C8" w:rsidR="00D375C8" w:rsidP="00D375C8" w:rsidRDefault="00D375C8" w14:paraId="4C40D734" w14:textId="77777777">
      <w:pPr>
        <w:jc w:val="both"/>
        <w:rPr>
          <w:rFonts w:ascii="Times New Roman" w:hAnsi="Times New Roman" w:cs="Times New Roman"/>
          <w:sz w:val="24"/>
          <w:szCs w:val="24"/>
          <w:lang w:val="es-PE"/>
        </w:rPr>
      </w:pPr>
      <w:r w:rsidRPr="00D375C8">
        <w:rPr>
          <w:rFonts w:ascii="Times New Roman" w:hAnsi="Times New Roman" w:cs="Times New Roman"/>
          <w:b/>
          <w:sz w:val="24"/>
          <w:szCs w:val="24"/>
          <w:u w:val="single"/>
          <w:lang w:val="es-PE"/>
        </w:rPr>
        <w:t>TERCERO</w:t>
      </w:r>
      <w:r w:rsidRPr="00D375C8">
        <w:rPr>
          <w:rFonts w:ascii="Times New Roman" w:hAnsi="Times New Roman" w:cs="Times New Roman"/>
          <w:b/>
          <w:sz w:val="24"/>
          <w:szCs w:val="24"/>
          <w:lang w:val="es-PE"/>
        </w:rPr>
        <w:t>:</w:t>
      </w:r>
      <w:r w:rsidRPr="00D375C8">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D375C8" w:rsidR="00D375C8" w:rsidP="00D375C8" w:rsidRDefault="00D375C8" w14:paraId="2A1CC9AA" w14:textId="77777777">
      <w:pPr>
        <w:jc w:val="both"/>
        <w:rPr>
          <w:rFonts w:ascii="Times New Roman" w:hAnsi="Times New Roman" w:cs="Times New Roman"/>
          <w:b/>
          <w:sz w:val="24"/>
          <w:szCs w:val="24"/>
          <w:lang w:val="es-PE"/>
        </w:rPr>
      </w:pPr>
      <w:r w:rsidRPr="00D375C8">
        <w:rPr>
          <w:rFonts w:ascii="Times New Roman" w:hAnsi="Times New Roman" w:cs="Times New Roman"/>
          <w:b/>
          <w:sz w:val="24"/>
          <w:szCs w:val="24"/>
          <w:lang w:val="es-PE"/>
        </w:rPr>
        <w:t>RESUELVE:</w:t>
      </w:r>
    </w:p>
    <w:p w:rsidRPr="00D375C8" w:rsidR="00D375C8" w:rsidP="00D375C8" w:rsidRDefault="00D375C8" w14:paraId="6FE7FCAF" w14:textId="77777777">
      <w:pPr>
        <w:jc w:val="both"/>
        <w:rPr>
          <w:rFonts w:ascii="Times New Roman" w:hAnsi="Times New Roman" w:cs="Times New Roman"/>
          <w:sz w:val="24"/>
          <w:szCs w:val="24"/>
          <w:lang w:val="es-PE"/>
        </w:rPr>
      </w:pPr>
      <w:r w:rsidRPr="00D375C8">
        <w:rPr>
          <w:rFonts w:ascii="Times New Roman" w:hAnsi="Times New Roman" w:eastAsia="Arial Unicode MS" w:cs="Times New Roman"/>
          <w:b/>
          <w:sz w:val="24"/>
          <w:szCs w:val="24"/>
          <w:lang w:val="es-PE"/>
        </w:rPr>
        <w:t>Declarar INFUNDADO el recurso de impugnación interpuesto y, por consiguiente, CONFIRMAR la Resolución Nro. 160/22</w:t>
      </w:r>
      <w:r w:rsidRPr="00D375C8">
        <w:rPr>
          <w:rFonts w:ascii="Times New Roman" w:hAnsi="Times New Roman" w:cs="Times New Roman"/>
          <w:sz w:val="24"/>
          <w:szCs w:val="24"/>
          <w:lang w:val="es-PE"/>
        </w:rPr>
        <w:t>.</w:t>
      </w:r>
    </w:p>
    <w:p w:rsidRPr="00D375C8" w:rsidR="00C173A8" w:rsidP="00092C2E" w:rsidRDefault="00C173A8" w14:paraId="21EFD7D3" w14:textId="271A88E5">
      <w:pPr>
        <w:suppressAutoHyphens/>
        <w:spacing w:after="0" w:line="240" w:lineRule="auto"/>
        <w:jc w:val="right"/>
        <w:outlineLvl w:val="0"/>
        <w:rPr>
          <w:rFonts w:ascii="Times New Roman" w:hAnsi="Times New Roman" w:eastAsia="Arial Unicode MS" w:cs="Times New Roman"/>
          <w:sz w:val="24"/>
          <w:szCs w:val="24"/>
          <w:lang w:val="es-PE" w:eastAsia="ar-SA"/>
        </w:rPr>
      </w:pPr>
      <w:r w:rsidRPr="00D375C8">
        <w:rPr>
          <w:rFonts w:ascii="Times New Roman" w:hAnsi="Times New Roman" w:eastAsia="Arial Unicode MS" w:cs="Times New Roman"/>
          <w:sz w:val="24"/>
          <w:szCs w:val="24"/>
          <w:lang w:val="es-PE" w:eastAsia="ar-SA"/>
        </w:rPr>
        <w:t xml:space="preserve">Lima, </w:t>
      </w:r>
      <w:r w:rsidRPr="00D375C8" w:rsidR="005669AF">
        <w:rPr>
          <w:rFonts w:ascii="Times New Roman" w:hAnsi="Times New Roman" w:eastAsia="Arial Unicode MS" w:cs="Times New Roman"/>
          <w:sz w:val="24"/>
          <w:szCs w:val="24"/>
          <w:lang w:val="es-PE" w:eastAsia="ar-SA"/>
        </w:rPr>
        <w:t xml:space="preserve">05 </w:t>
      </w:r>
      <w:r w:rsidRPr="00D375C8">
        <w:rPr>
          <w:rFonts w:ascii="Times New Roman" w:hAnsi="Times New Roman" w:eastAsia="Arial Unicode MS" w:cs="Times New Roman"/>
          <w:sz w:val="24"/>
          <w:szCs w:val="24"/>
          <w:lang w:val="es-PE" w:eastAsia="ar-SA"/>
        </w:rPr>
        <w:t xml:space="preserve">de </w:t>
      </w:r>
      <w:r w:rsidRPr="00D375C8" w:rsidR="005669AF">
        <w:rPr>
          <w:rFonts w:ascii="Times New Roman" w:hAnsi="Times New Roman" w:eastAsia="Arial Unicode MS" w:cs="Times New Roman"/>
          <w:sz w:val="24"/>
          <w:szCs w:val="24"/>
          <w:lang w:val="es-PE" w:eastAsia="ar-SA"/>
        </w:rPr>
        <w:t>septiembre</w:t>
      </w:r>
      <w:r w:rsidRPr="00D375C8">
        <w:rPr>
          <w:rFonts w:ascii="Times New Roman" w:hAnsi="Times New Roman" w:eastAsia="Arial Unicode MS" w:cs="Times New Roman"/>
          <w:sz w:val="24"/>
          <w:szCs w:val="24"/>
          <w:lang w:val="es-PE" w:eastAsia="ar-SA"/>
        </w:rPr>
        <w:t xml:space="preserve"> de 2022</w:t>
      </w:r>
      <w:r w:rsidRPr="00D375C8">
        <w:rPr>
          <w:rFonts w:ascii="Times New Roman" w:hAnsi="Times New Roman" w:eastAsia="Times New Roman" w:cs="Times New Roman"/>
          <w:sz w:val="24"/>
          <w:szCs w:val="24"/>
          <w:lang w:val="es-PE" w:eastAsia="ar-SA"/>
        </w:rPr>
        <w:t xml:space="preserve"> </w:t>
      </w:r>
    </w:p>
    <w:p w:rsidRPr="00D375C8"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375C8"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D375C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375C8" w:rsidR="0008494F" w:rsidP="00C5766A" w:rsidRDefault="0008494F" w14:paraId="5A4AC9FA" w14:textId="345ACCC6">
      <w:pPr>
        <w:spacing w:after="0" w:line="240" w:lineRule="auto"/>
        <w:jc w:val="both"/>
        <w:rPr>
          <w:rFonts w:ascii="Times New Roman" w:hAnsi="Times New Roman" w:cs="Times New Roman"/>
          <w:b/>
          <w:bCs/>
          <w:i/>
          <w:iCs/>
          <w:sz w:val="24"/>
          <w:szCs w:val="24"/>
          <w:lang w:val="es-PE"/>
        </w:rPr>
      </w:pPr>
    </w:p>
    <w:p w:rsidRPr="00D375C8" w:rsidR="00222F44" w:rsidP="00222F44" w:rsidRDefault="00222F44" w14:paraId="1A6E8C1E" w14:textId="0A5565B4">
      <w:pPr>
        <w:spacing w:after="0" w:line="360" w:lineRule="auto"/>
        <w:jc w:val="center"/>
        <w:rPr>
          <w:rFonts w:ascii="Times New Roman" w:hAnsi="Times New Roman" w:cs="Times New Roman"/>
          <w:b/>
          <w:bCs/>
          <w:sz w:val="24"/>
          <w:szCs w:val="24"/>
          <w:lang w:val="es-PE"/>
        </w:rPr>
      </w:pPr>
      <w:r w:rsidRPr="00D375C8">
        <w:rPr>
          <w:rFonts w:ascii="Times New Roman" w:hAnsi="Times New Roman" w:cs="Times New Roman"/>
          <w:b/>
          <w:bCs/>
          <w:sz w:val="24"/>
          <w:szCs w:val="24"/>
          <w:lang w:val="es-PE"/>
        </w:rPr>
        <w:t xml:space="preserve">Rolando Eyzaguirre </w:t>
      </w:r>
      <w:proofErr w:type="spellStart"/>
      <w:r w:rsidRPr="00D375C8">
        <w:rPr>
          <w:rFonts w:ascii="Times New Roman" w:hAnsi="Times New Roman" w:cs="Times New Roman"/>
          <w:b/>
          <w:bCs/>
          <w:sz w:val="24"/>
          <w:szCs w:val="24"/>
          <w:lang w:val="es-PE"/>
        </w:rPr>
        <w:t>Maccan</w:t>
      </w:r>
      <w:proofErr w:type="spellEnd"/>
      <w:r w:rsidRPr="00D375C8">
        <w:rPr>
          <w:rFonts w:ascii="Times New Roman" w:hAnsi="Times New Roman" w:cs="Times New Roman"/>
          <w:b/>
          <w:bCs/>
          <w:sz w:val="24"/>
          <w:szCs w:val="24"/>
          <w:lang w:val="es-PE"/>
        </w:rPr>
        <w:t xml:space="preserve"> – </w:t>
      </w:r>
      <w:proofErr w:type="gramStart"/>
      <w:r w:rsidRPr="00D375C8">
        <w:rPr>
          <w:rFonts w:ascii="Times New Roman" w:hAnsi="Times New Roman" w:cs="Times New Roman"/>
          <w:b/>
          <w:bCs/>
          <w:sz w:val="24"/>
          <w:szCs w:val="24"/>
          <w:lang w:val="es-PE"/>
        </w:rPr>
        <w:t>Presidente</w:t>
      </w:r>
      <w:proofErr w:type="gramEnd"/>
    </w:p>
    <w:p w:rsidRPr="00D375C8" w:rsidR="00222F44" w:rsidP="00222F44" w:rsidRDefault="00222F44" w14:paraId="6F457479" w14:textId="4204CEC4">
      <w:pPr>
        <w:spacing w:after="0" w:line="360" w:lineRule="auto"/>
        <w:jc w:val="center"/>
        <w:rPr>
          <w:rFonts w:ascii="Times New Roman" w:hAnsi="Times New Roman" w:cs="Times New Roman"/>
          <w:b/>
          <w:bCs/>
          <w:sz w:val="24"/>
          <w:szCs w:val="24"/>
          <w:lang w:val="es-PE"/>
        </w:rPr>
      </w:pPr>
      <w:r w:rsidRPr="00D375C8">
        <w:rPr>
          <w:rFonts w:ascii="Times New Roman" w:hAnsi="Times New Roman" w:cs="Times New Roman"/>
          <w:b/>
          <w:bCs/>
          <w:sz w:val="24"/>
          <w:szCs w:val="24"/>
          <w:lang w:val="es-PE"/>
        </w:rPr>
        <w:t>María Eugenia Valdez Fernández Baca – Vocal</w:t>
      </w:r>
    </w:p>
    <w:p w:rsidRPr="00D375C8" w:rsidR="001B1998" w:rsidP="001B1998" w:rsidRDefault="001B1998" w14:paraId="4E9466D5" w14:textId="710F47AB">
      <w:pPr>
        <w:spacing w:after="0" w:line="360" w:lineRule="auto"/>
        <w:jc w:val="center"/>
        <w:rPr>
          <w:rFonts w:ascii="Times New Roman" w:hAnsi="Times New Roman" w:cs="Times New Roman"/>
          <w:b/>
          <w:bCs/>
          <w:sz w:val="24"/>
          <w:szCs w:val="24"/>
          <w:lang w:val="es-PE"/>
        </w:rPr>
      </w:pPr>
      <w:r w:rsidRPr="00D375C8">
        <w:rPr>
          <w:rFonts w:ascii="Times New Roman" w:hAnsi="Times New Roman" w:cs="Times New Roman"/>
          <w:b/>
          <w:bCs/>
          <w:sz w:val="24"/>
          <w:szCs w:val="24"/>
          <w:lang w:val="es-PE"/>
        </w:rPr>
        <w:t xml:space="preserve">Marco Antonio Ortega Piana – </w:t>
      </w:r>
      <w:r w:rsidRPr="00D375C8" w:rsidR="00222F44">
        <w:rPr>
          <w:rFonts w:ascii="Times New Roman" w:hAnsi="Times New Roman" w:cs="Times New Roman"/>
          <w:b/>
          <w:bCs/>
          <w:sz w:val="24"/>
          <w:szCs w:val="24"/>
          <w:lang w:val="es-PE"/>
        </w:rPr>
        <w:t>Vocal</w:t>
      </w:r>
    </w:p>
    <w:p w:rsidRPr="00D375C8"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375C8">
        <w:rPr>
          <w:rFonts w:ascii="Times New Roman" w:hAnsi="Times New Roman" w:cs="Times New Roman"/>
          <w:b/>
          <w:bCs/>
          <w:sz w:val="24"/>
          <w:szCs w:val="24"/>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397C" w:rsidP="00784355" w:rsidRDefault="0010397C" w14:paraId="1F116DC4" w14:textId="77777777">
      <w:pPr>
        <w:spacing w:after="0" w:line="240" w:lineRule="auto"/>
      </w:pPr>
      <w:r>
        <w:separator/>
      </w:r>
    </w:p>
  </w:endnote>
  <w:endnote w:type="continuationSeparator" w:id="0">
    <w:p w:rsidR="0010397C" w:rsidP="00784355" w:rsidRDefault="0010397C" w14:paraId="51D20F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397C" w:rsidP="00784355" w:rsidRDefault="0010397C" w14:paraId="11D0651F" w14:textId="77777777">
      <w:pPr>
        <w:spacing w:after="0" w:line="240" w:lineRule="auto"/>
      </w:pPr>
      <w:r>
        <w:separator/>
      </w:r>
    </w:p>
  </w:footnote>
  <w:footnote w:type="continuationSeparator" w:id="0">
    <w:p w:rsidR="0010397C" w:rsidP="00784355" w:rsidRDefault="0010397C" w14:paraId="379F13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913"/>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039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31AD"/>
    <w:rsid w:val="006C6261"/>
    <w:rsid w:val="006D2BA9"/>
    <w:rsid w:val="006D397E"/>
    <w:rsid w:val="006E2366"/>
    <w:rsid w:val="006E4547"/>
    <w:rsid w:val="006E5783"/>
    <w:rsid w:val="006E698A"/>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375C8"/>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1F10"/>
    <w:rsid w:val="00F13013"/>
    <w:rsid w:val="00F14F22"/>
    <w:rsid w:val="00F15C12"/>
    <w:rsid w:val="00F16540"/>
    <w:rsid w:val="00F16CF9"/>
    <w:rsid w:val="00F20B09"/>
    <w:rsid w:val="00F3335E"/>
    <w:rsid w:val="00F349E0"/>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774E1E8"/>
    <w:rsid w:val="1EEDF4DB"/>
    <w:rsid w:val="3417FD99"/>
    <w:rsid w:val="47B8B6FD"/>
    <w:rsid w:val="4E732937"/>
    <w:rsid w:val="6E0E67D3"/>
    <w:rsid w:val="7BB91E0A"/>
    <w:rsid w:val="7EFD1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08973059">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3AC8B85-3DB5-4A32-B9A5-68AF8F3098B0}"/>
</file>

<file path=customXml/itemProps3.xml><?xml version="1.0" encoding="utf-8"?>
<ds:datastoreItem xmlns:ds="http://schemas.openxmlformats.org/officeDocument/2006/customXml" ds:itemID="{B5B4A4BF-1654-4556-B2CE-FE94D15DDF11}"/>
</file>

<file path=customXml/itemProps4.xml><?xml version="1.0" encoding="utf-8"?>
<ds:datastoreItem xmlns:ds="http://schemas.openxmlformats.org/officeDocument/2006/customXml" ds:itemID="{3C14B899-5836-452C-B4D9-EE3C7ABC30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237</cp:revision>
  <cp:lastPrinted>2022-09-05T16:11:00Z</cp:lastPrinted>
  <dcterms:created xsi:type="dcterms:W3CDTF">2020-12-18T20:17:00Z</dcterms:created>
  <dcterms:modified xsi:type="dcterms:W3CDTF">2025-12-01T21:02:25Z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