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36CA9" w:rsidR="00B10F71" w:rsidP="00041B86" w:rsidRDefault="00201C0D" w14:paraId="51974F0B" w14:textId="27EAB286">
      <w:pPr>
        <w:spacing w:after="0" w:line="240" w:lineRule="auto"/>
        <w:jc w:val="center"/>
        <w:rPr>
          <w:rFonts w:ascii="Times New Roman" w:hAnsi="Times New Roman" w:cs="Times New Roman"/>
          <w:b/>
          <w:sz w:val="24"/>
          <w:szCs w:val="24"/>
          <w:lang w:val="es-PE" w:eastAsia="ar-SA"/>
        </w:rPr>
      </w:pPr>
      <w:r w:rsidRPr="00F36CA9">
        <w:rPr>
          <w:rFonts w:ascii="Times New Roman" w:hAnsi="Times New Roman" w:cs="Times New Roman"/>
          <w:b/>
          <w:sz w:val="24"/>
          <w:szCs w:val="24"/>
          <w:lang w:val="es-PE" w:eastAsia="ar-SA"/>
        </w:rPr>
        <w:t xml:space="preserve">RESOLUCIÓN DE RECURSO IMPUGNATIVO </w:t>
      </w:r>
      <w:r w:rsidRPr="00F36CA9" w:rsidR="00707C99">
        <w:rPr>
          <w:rFonts w:ascii="Times New Roman" w:hAnsi="Times New Roman" w:cs="Times New Roman"/>
          <w:b/>
          <w:sz w:val="24"/>
          <w:szCs w:val="24"/>
          <w:lang w:val="es-PE" w:eastAsia="ar-SA"/>
        </w:rPr>
        <w:t xml:space="preserve">N° </w:t>
      </w:r>
      <w:r w:rsidRPr="00F36CA9" w:rsidR="00C671F5">
        <w:rPr>
          <w:rFonts w:ascii="Times New Roman" w:hAnsi="Times New Roman" w:cs="Times New Roman"/>
          <w:b/>
          <w:sz w:val="24"/>
          <w:szCs w:val="24"/>
          <w:lang w:val="es-PE" w:eastAsia="ar-SA"/>
        </w:rPr>
        <w:t>0</w:t>
      </w:r>
      <w:r w:rsidRPr="00F36CA9" w:rsidR="009D5E36">
        <w:rPr>
          <w:rFonts w:ascii="Times New Roman" w:hAnsi="Times New Roman" w:cs="Times New Roman"/>
          <w:b/>
          <w:sz w:val="24"/>
          <w:szCs w:val="24"/>
          <w:lang w:val="es-PE" w:eastAsia="ar-SA"/>
        </w:rPr>
        <w:t>6</w:t>
      </w:r>
      <w:r w:rsidRPr="00F36CA9" w:rsidR="00AA7BD7">
        <w:rPr>
          <w:rFonts w:ascii="Times New Roman" w:hAnsi="Times New Roman" w:cs="Times New Roman"/>
          <w:b/>
          <w:sz w:val="24"/>
          <w:szCs w:val="24"/>
          <w:lang w:val="es-PE" w:eastAsia="ar-SA"/>
        </w:rPr>
        <w:t>7</w:t>
      </w:r>
      <w:r w:rsidRPr="00F36CA9" w:rsidR="00C671F5">
        <w:rPr>
          <w:rFonts w:ascii="Times New Roman" w:hAnsi="Times New Roman" w:cs="Times New Roman"/>
          <w:b/>
          <w:sz w:val="24"/>
          <w:szCs w:val="24"/>
          <w:lang w:val="es-PE" w:eastAsia="ar-SA"/>
        </w:rPr>
        <w:t>/2</w:t>
      </w:r>
      <w:r w:rsidRPr="00F36CA9" w:rsidR="00B93C7A">
        <w:rPr>
          <w:rFonts w:ascii="Times New Roman" w:hAnsi="Times New Roman" w:cs="Times New Roman"/>
          <w:b/>
          <w:sz w:val="24"/>
          <w:szCs w:val="24"/>
          <w:lang w:val="es-PE" w:eastAsia="ar-SA"/>
        </w:rPr>
        <w:t>2</w:t>
      </w:r>
    </w:p>
    <w:p w:rsidRPr="00F36CA9"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F36CA9" w:rsidR="00F36CA9" w:rsidP="00F36CA9" w:rsidRDefault="00F36CA9" w14:paraId="1109C6DE" w14:textId="77777777">
      <w:pPr>
        <w:jc w:val="both"/>
        <w:outlineLvl w:val="0"/>
        <w:rPr>
          <w:rFonts w:ascii="Times New Roman" w:hAnsi="Times New Roman" w:cs="Times New Roman"/>
          <w:b/>
          <w:bCs/>
          <w:sz w:val="24"/>
          <w:szCs w:val="24"/>
          <w:lang w:val="es-MX"/>
        </w:rPr>
      </w:pPr>
      <w:r w:rsidRPr="00F36CA9">
        <w:rPr>
          <w:rFonts w:ascii="Times New Roman" w:hAnsi="Times New Roman" w:cs="Times New Roman"/>
          <w:b/>
          <w:bCs/>
          <w:sz w:val="24"/>
          <w:szCs w:val="24"/>
          <w:lang w:val="es-MX"/>
        </w:rPr>
        <w:t>VISTOS:</w:t>
      </w:r>
    </w:p>
    <w:p w:rsidRPr="00F36CA9" w:rsidR="00F36CA9" w:rsidP="00F36CA9" w:rsidRDefault="00F36CA9" w14:paraId="3F1EE454" w14:textId="06E66034">
      <w:pPr>
        <w:jc w:val="both"/>
        <w:rPr>
          <w:rFonts w:ascii="Times New Roman" w:hAnsi="Times New Roman" w:cs="Times New Roman"/>
          <w:b w:val="1"/>
          <w:bCs w:val="1"/>
          <w:sz w:val="24"/>
          <w:szCs w:val="24"/>
          <w:lang w:val="es-PE"/>
        </w:rPr>
      </w:pPr>
      <w:r w:rsidRPr="7AFCD5BD" w:rsidR="00F36CA9">
        <w:rPr>
          <w:rFonts w:ascii="Times New Roman" w:hAnsi="Times New Roman" w:cs="Times New Roman"/>
          <w:sz w:val="24"/>
          <w:szCs w:val="24"/>
          <w:lang w:val="es-PE"/>
        </w:rPr>
        <w:t xml:space="preserve">El recurso de impugnación presentado por </w:t>
      </w:r>
      <w:r w:rsidRPr="7AFCD5BD" w:rsidR="27F066FD">
        <w:rPr>
          <w:rFonts w:ascii="Times New Roman" w:hAnsi="Times New Roman" w:cs="Times New Roman"/>
          <w:b w:val="1"/>
          <w:bCs w:val="1"/>
          <w:sz w:val="24"/>
          <w:szCs w:val="24"/>
          <w:lang w:val="es-PE"/>
        </w:rPr>
        <w:t>..................................................................</w:t>
      </w:r>
      <w:r w:rsidRPr="7AFCD5BD" w:rsidR="00F36CA9">
        <w:rPr>
          <w:rFonts w:ascii="Times New Roman" w:hAnsi="Times New Roman" w:cs="Times New Roman"/>
          <w:sz w:val="24"/>
          <w:szCs w:val="24"/>
          <w:lang w:val="es-PE"/>
        </w:rPr>
        <w:t xml:space="preserve"> </w:t>
      </w:r>
      <w:r w:rsidRPr="7AFCD5BD" w:rsidR="00F36CA9">
        <w:rPr>
          <w:rFonts w:ascii="Times New Roman" w:hAnsi="Times New Roman" w:cs="Times New Roman"/>
          <w:sz w:val="24"/>
          <w:szCs w:val="24"/>
          <w:lang w:val="es-PE"/>
        </w:rPr>
        <w:t xml:space="preserve">respecto de la Resolución Nro. 164/22, expedida por el Órgano Resolutivo Unipersonal de esta Defensoría del Asegurado (DEFASEG), conforme a la cual se declaró INFUNDADA la reclamación interpuesta contra </w:t>
      </w:r>
      <w:r w:rsidRPr="7AFCD5BD" w:rsidR="40BB7413">
        <w:rPr>
          <w:rFonts w:ascii="Times New Roman" w:hAnsi="Times New Roman" w:cs="Times New Roman"/>
          <w:b w:val="1"/>
          <w:bCs w:val="1"/>
          <w:sz w:val="24"/>
          <w:szCs w:val="24"/>
          <w:lang w:val="es-PE"/>
        </w:rPr>
        <w:t>..............................</w:t>
      </w:r>
      <w:r w:rsidRPr="7AFCD5BD" w:rsidR="00F36CA9">
        <w:rPr>
          <w:rFonts w:ascii="Times New Roman" w:hAnsi="Times New Roman" w:cs="Times New Roman"/>
          <w:b w:val="1"/>
          <w:bCs w:val="1"/>
          <w:sz w:val="24"/>
          <w:szCs w:val="24"/>
          <w:lang w:val="es-PE"/>
        </w:rPr>
        <w:t xml:space="preserve"> </w:t>
      </w:r>
      <w:r w:rsidRPr="7AFCD5BD" w:rsidR="00F36CA9">
        <w:rPr>
          <w:rFonts w:ascii="Times New Roman" w:hAnsi="Times New Roman" w:cs="Times New Roman"/>
          <w:sz w:val="24"/>
          <w:szCs w:val="24"/>
          <w:lang w:val="es-PE"/>
        </w:rPr>
        <w:t>en relación con el</w:t>
      </w:r>
      <w:r w:rsidRPr="7AFCD5BD" w:rsidR="00F36CA9">
        <w:rPr>
          <w:rFonts w:ascii="Times New Roman" w:hAnsi="Times New Roman" w:cs="Times New Roman"/>
          <w:b w:val="1"/>
          <w:bCs w:val="1"/>
          <w:sz w:val="24"/>
          <w:szCs w:val="24"/>
          <w:lang w:val="es-MX"/>
        </w:rPr>
        <w:t xml:space="preserve"> </w:t>
      </w:r>
      <w:r w:rsidRPr="7AFCD5BD" w:rsidR="00F36CA9">
        <w:rPr>
          <w:rFonts w:ascii="Times New Roman" w:hAnsi="Times New Roman" w:cs="Times New Roman"/>
          <w:b w:val="1"/>
          <w:bCs w:val="1"/>
          <w:sz w:val="24"/>
          <w:szCs w:val="24"/>
          <w:lang w:val="es-PE"/>
        </w:rPr>
        <w:t>SEGURO DE PROTECCIÓN DE TARJETAS</w:t>
      </w:r>
      <w:r w:rsidRPr="7AFCD5BD" w:rsidR="00F36CA9">
        <w:rPr>
          <w:rFonts w:ascii="Times New Roman" w:hAnsi="Times New Roman" w:cs="Times New Roman"/>
          <w:sz w:val="24"/>
          <w:szCs w:val="24"/>
          <w:lang w:val="es-PE"/>
        </w:rPr>
        <w:t>;</w:t>
      </w:r>
    </w:p>
    <w:p w:rsidRPr="00F36CA9" w:rsidR="00F36CA9" w:rsidP="00F36CA9" w:rsidRDefault="00F36CA9" w14:paraId="1F2A2E67" w14:textId="77777777">
      <w:pPr>
        <w:pStyle w:val="Textoindependiente"/>
      </w:pPr>
      <w:r w:rsidRPr="00F36CA9">
        <w:t>Que, el indicado recurso se sustenta resumidamente en lo siguiente: a) No se ha revisado ni mencionado nada respecto al objeto principal del</w:t>
      </w:r>
      <w:r w:rsidRPr="00F36CA9">
        <w:rPr>
          <w:b/>
          <w:bCs w:val="0"/>
        </w:rPr>
        <w:t xml:space="preserve"> </w:t>
      </w:r>
      <w:r w:rsidRPr="00F36CA9">
        <w:t>Certificado de Seguro de Protección de Tarjeta es el “uso indebido de las tarjetas</w:t>
      </w:r>
      <w:r w:rsidRPr="00F36CA9">
        <w:rPr>
          <w:b/>
          <w:bCs w:val="0"/>
        </w:rPr>
        <w:t xml:space="preserve"> </w:t>
      </w:r>
      <w:r w:rsidRPr="00F36CA9">
        <w:t>de débito o crédito en establecimientos comerciales o en cajeros</w:t>
      </w:r>
      <w:r w:rsidRPr="00F36CA9">
        <w:rPr>
          <w:b/>
          <w:bCs w:val="0"/>
        </w:rPr>
        <w:t xml:space="preserve"> </w:t>
      </w:r>
      <w:r w:rsidRPr="00F36CA9">
        <w:t>automáticos a consecuencia de robo por asalto, secuestro, hurto</w:t>
      </w:r>
      <w:r w:rsidRPr="00F36CA9">
        <w:rPr>
          <w:b/>
          <w:bCs w:val="0"/>
        </w:rPr>
        <w:t xml:space="preserve"> </w:t>
      </w:r>
      <w:r w:rsidRPr="00F36CA9">
        <w:t>agravado o hurto simple”; b) cuando contrató la póliza materia de reclamo, y de acuerdo a lo descrito en la cobertura principal era consciente que lo establecido cubría el uso indebido de la tarjeta (cabe señalar que en la póliza no se precisa ni se detalla como restricción que el uso indebido sea por clonación, adulteración, delito informático, etc) como pretende ahora darle contenido especifico a dicha cláusula: c) lo ocurrido el 24 de febrero de 2022, configura el uso indebido de su tarjeta</w:t>
      </w:r>
    </w:p>
    <w:p w:rsidRPr="00F36CA9" w:rsidR="00F36CA9" w:rsidP="00F36CA9" w:rsidRDefault="00F36CA9" w14:paraId="3042EEA0" w14:textId="642F82AC">
      <w:pPr>
        <w:pStyle w:val="Textoindependiente"/>
      </w:pPr>
      <w:r w:rsidR="29EA7B06">
        <w:rPr/>
        <w:t>..................</w:t>
      </w:r>
      <w:r w:rsidR="00F36CA9">
        <w:rPr/>
        <w:t xml:space="preserve"> al realizarse dos consumos por un total de S/.5000.00 (Cinco Mil Soles). Este hecho ocurrió en un punto de venta</w:t>
      </w:r>
      <w:r w:rsidR="0DA373CF">
        <w:rPr/>
        <w:t>..................</w:t>
      </w:r>
      <w:r w:rsidR="00F36CA9">
        <w:rPr/>
        <w:t>, es decir se dio en un establecimiento comercial como lo establece la Cobertura Principal, y es que cabe señalar, que</w:t>
      </w:r>
      <w:r w:rsidR="0DA373CF">
        <w:rPr/>
        <w:t>..................</w:t>
      </w:r>
      <w:r w:rsidR="00F36CA9">
        <w:rPr/>
        <w:t xml:space="preserve"> es un prestador de servicios de procesamiento de pagos con tarjetas con más de 600,000 comercios afiliados; d) como consecuencia del uso indebido de su tarjeta ahora tiene una deuda de S/.5000.00 soles, es decir se configuró la lesión de mi patrimonio al tener ahora una deuda con el banco </w:t>
      </w:r>
      <w:r w:rsidR="29EA7B06">
        <w:rPr/>
        <w:t>..................</w:t>
      </w:r>
      <w:r w:rsidR="00F36CA9">
        <w:rPr/>
        <w:t xml:space="preserve">, y que ahora la aseguradora pretender desconocer su obligación principal; e) no hace un análisis de los medios de prueba que adjuntó tales como sus horarios de trabajo, la firma en los </w:t>
      </w:r>
      <w:r w:rsidR="00F36CA9">
        <w:rPr/>
        <w:t>vouchers</w:t>
      </w:r>
      <w:r w:rsidR="00F36CA9">
        <w:rPr/>
        <w:t xml:space="preserve"> que no es la suya y el estado de cuenta completo enviado por el Banco </w:t>
      </w:r>
      <w:r w:rsidR="29EA7B06">
        <w:rPr/>
        <w:t>..................</w:t>
      </w:r>
      <w:r w:rsidR="00F36CA9">
        <w:rPr/>
        <w:t xml:space="preserve">, y que demuestran que el siniestro ocurrido contra su persona es parte de la pluralidad de modalidades delictivas contra el patrimonio existentes, y que al final de cuenta es un hurto que tiene como finalidad lesionar el patrimonio; f) la definición de delito informático como pretender denominar </w:t>
      </w:r>
      <w:r w:rsidR="1030D3C0">
        <w:rPr/>
        <w:t>..................</w:t>
      </w:r>
      <w:r w:rsidR="00F36CA9">
        <w:rPr/>
        <w:t xml:space="preserve"> a fin de excluir la cobertura de la póliza, al final de cuentas es un nombre que le quiere asignar al siniestro para justificar que la cobertura no aplica, no obstante, cabe señalar que la ley de delitos informáticos, Ley </w:t>
      </w:r>
      <w:r w:rsidR="00F36CA9">
        <w:rPr/>
        <w:t>N°</w:t>
      </w:r>
      <w:r w:rsidR="00F36CA9">
        <w:rPr/>
        <w:t xml:space="preserve"> 30096, fue promulgada el 21 de octubre de 2013, es decir hace más de 10 años, y contrató una póliza en el 2020, considerando que siendo la cobertura principal el uso indebido de su  tarjeta como consecuencia de un robo o de un hurto </w:t>
      </w:r>
    </w:p>
    <w:p w:rsidRPr="00F36CA9" w:rsidR="00F36CA9" w:rsidP="00F36CA9" w:rsidRDefault="00F36CA9" w14:paraId="12C9355D" w14:textId="6FBB2FAC">
      <w:pPr>
        <w:pStyle w:val="Textoindependiente"/>
      </w:pPr>
      <w:r w:rsidR="00F36CA9">
        <w:rPr/>
        <w:t xml:space="preserve">y no que ahora pretenda dotar de contenido en beneficio de </w:t>
      </w:r>
      <w:r w:rsidR="1030D3C0">
        <w:rPr/>
        <w:t>..................</w:t>
      </w:r>
      <w:r w:rsidR="00F36CA9">
        <w:rPr/>
        <w:t xml:space="preserve">, lo cual en virtud del artículo 1361 del Código Civil dispone que los contratos son obligatorios en cuanto se haya expresado en ellos, presumiéndose que lo declarado es lo querido por ambas partes; f) el plazo de las 24 horas corresponde al uso indebido de la tarjeta a consecuencia de robo por asalto y/o secuestro, situación que no se ha configurado en el presente caso, por lo que mal hace </w:t>
      </w:r>
      <w:r w:rsidR="1030D3C0">
        <w:rPr/>
        <w:t>..................</w:t>
      </w:r>
      <w:r w:rsidR="00F36CA9">
        <w:rPr/>
        <w:t xml:space="preserve"> en sostener que dicha obligación resultaría aplicable a su caso; g) se concluye que sí se ha probado el uso indebido de la tarjeta que materializa la cobertura del Seguro Contratado, por lo que corresponde la aplicación de la cobertura de la póliza materia de reclamo. Asimismo, cabe señalar que se ha vulnerado el Principio de Máxima Buena Fe, toda vez que los medios probatorios que ha adjuntado  obran solo con la verdad, sin ocultar nada, sin embargo, no se han valorado en conjunto, ya que no se analiza, las firmas que no le corresponden en los </w:t>
      </w:r>
      <w:r w:rsidR="00F36CA9">
        <w:rPr/>
        <w:t>vouchers</w:t>
      </w:r>
      <w:r w:rsidR="00F36CA9">
        <w:rPr/>
        <w:t xml:space="preserve"> que adjuntó, no se analiza el estado de cuenta completo emitido por el banco en el </w:t>
      </w:r>
      <w:r w:rsidR="00F36CA9">
        <w:rPr/>
        <w:t>que no realizo compras por montos mayores a dos mil soles, verificándose que aquel día se encontraba en su centro de labores, así como tampoco se ha hecho mención de cada uno de los medios de prueba expuestos.</w:t>
      </w:r>
    </w:p>
    <w:p w:rsidRPr="00F36CA9" w:rsidR="00F36CA9" w:rsidP="00F36CA9" w:rsidRDefault="00F36CA9" w14:paraId="4C10DDF7" w14:textId="77777777">
      <w:pPr>
        <w:pStyle w:val="Textoindependiente"/>
      </w:pPr>
    </w:p>
    <w:p w:rsidRPr="00F36CA9" w:rsidR="00F36CA9" w:rsidP="00F36CA9" w:rsidRDefault="00F36CA9" w14:paraId="3E203AE0" w14:textId="789A7CB0">
      <w:pPr>
        <w:pStyle w:val="Textoindependiente"/>
      </w:pPr>
      <w:r w:rsidR="00F36CA9">
        <w:rPr/>
        <w:t xml:space="preserve">Que, </w:t>
      </w:r>
      <w:r w:rsidR="40BB7413">
        <w:rPr/>
        <w:t>..............................</w:t>
      </w:r>
      <w:r w:rsidR="00F36CA9">
        <w:rPr/>
        <w:t xml:space="preserve"> absolvió el traslado del recurso impugnatorio indicando, en síntesis, lo siguiente: a) La cobertura se ve amparada en tanto se cumplan con las condiciones que constan en la póliza. </w:t>
      </w:r>
      <w:r w:rsidR="00F36CA9">
        <w:rPr/>
        <w:t>Para ello, es imprescindible destacar el hecho de la presentación de la denuncia dentro de las 24 horas, por ser el primer fundamento de nuestro rechazo.</w:t>
      </w:r>
      <w:r w:rsidR="00F36CA9">
        <w:rPr/>
        <w:t xml:space="preserve"> </w:t>
      </w:r>
      <w:r w:rsidR="00F36CA9">
        <w:rPr/>
        <w:t>Por razones obvias, en el supuesto de haberse cumplido con lo anterior, la solicitud hubiera sido aprobada; en tanto se vean cumplidas las demás condiciones que constan en la póliza.</w:t>
      </w:r>
      <w:r w:rsidR="00F36CA9">
        <w:rPr/>
        <w:t xml:space="preserve"> Dichas condiciones incluyen la siguiente cobertura, el cual se constituye como segundo fundamento de rechazo; b) la asegurada insiste en su recurso de apelación que </w:t>
      </w:r>
      <w:r w:rsidR="1030D3C0">
        <w:rPr/>
        <w:t>..................</w:t>
      </w:r>
      <w:r w:rsidR="00F36CA9">
        <w:rPr/>
        <w:t xml:space="preserve"> no habría revisado el objeto principal del Certificado de Seguro de Protección de tarjeta, que se detalla en la captura precedente. Además, en el numeral 6° de su apelación, la asegurada menciona que al contratar la póliza era consciente de la cobertura por uso indebido de la tarjeta y que el fraude informático no es parte de las restricciones. La reclamante incurre en un error al señalar que era consciente de que lo establecido en el contrato cubriría el uso indebido de su tarjeta. Al respecto, debemos precisarle a la asegurada que, no se encuentra en discusión si ha sido consciente o no sobre lo claramente establecido en la póliza de seguro; sino, más bien, cuáles son los riesgos efectivamente cubiertos por la póliza, </w:t>
      </w:r>
      <w:r w:rsidR="00F36CA9">
        <w:rPr/>
        <w:t>de acuerdo a</w:t>
      </w:r>
      <w:r w:rsidR="00F36CA9">
        <w:rPr/>
        <w:t xml:space="preserve"> las normas de interpretación literal, que ofrece la ley, y su pertinencia para su solicitud. Si bien existe un uso indebido de su tarjeta, </w:t>
      </w:r>
      <w:r w:rsidR="00F36CA9">
        <w:rPr/>
        <w:t>éste</w:t>
      </w:r>
      <w:r w:rsidR="00F36CA9">
        <w:rPr/>
        <w:t xml:space="preserve"> siniestro no se ve contemplado en las condiciones de coberturas contratadas por la Asegurada; c) según la reclamante, la modalidad delictiva que sufrió configura como hurto. Sin embargo, es más sensato remitimos a las normas en la materia para dilucidar el significado legal de las condiciones. Para ello es importante citar las definiciones de robo, secuestro, hurto agravado y</w:t>
      </w:r>
    </w:p>
    <w:p w:rsidRPr="00F36CA9" w:rsidR="00F36CA9" w:rsidP="00F36CA9" w:rsidRDefault="00F36CA9" w14:paraId="757F7DA9" w14:textId="77777777">
      <w:pPr>
        <w:pStyle w:val="Textoindependiente"/>
      </w:pPr>
      <w:r w:rsidRPr="00F36CA9">
        <w:t>hurto simple contempladas en nuestro Código Penal. Sustentándonos en la normativa penal, las</w:t>
      </w:r>
    </w:p>
    <w:p w:rsidRPr="00F36CA9" w:rsidR="00F36CA9" w:rsidP="00F36CA9" w:rsidRDefault="00F36CA9" w14:paraId="3704B7E1" w14:textId="77777777">
      <w:pPr>
        <w:pStyle w:val="Textoindependiente"/>
      </w:pPr>
      <w:r w:rsidRPr="00F36CA9">
        <w:t>coberturas se activarán si el uso indebido de la tarjeta se produjo en cajeros automáticos o en centros comerciales a consecuencia de la sustracción, apoderamiento y/o privación de la libertad de asegurado y de su tarjeta, supuestos no acreditados por la reclamante en su reclamo; por tanto, motivo de rechazo de su solicitud; d) la reclamante adjunta medios de prueba que lo único que confirman es la tesis de la Compañía, la asegurada ha sido víctima de un fraude informático, riesgo no cubierto por la póliza; e) en su Denuncia Policial de fecha 16 de abril de 2022, la asegurada denuncia que se trataría de un fraude electrónico, puesto que se percata de los consumos no reconocidos al momento de pagar su tarjeta de crédito; no mencionando, en ningún momento, la sustracción y el apoderamiento de su tarjeta. Así, las pruebas que ofrece la denunciante no hacen más que probar que existió, efectivamente, un delito informático, supuesto que no se encuentra cubierto por la póliza contratada; f) la reclamante insiste en recalcar que se ha vulnerado los Principios de Máxima de Buena Fe e Indemnización, sobre lo cual debemos rechazar dichas acusaciones sin sustento. Es más, las mismas se devienen en infundadas conforme los hechos y normativa aplicada a lo largo del presente escrito.</w:t>
      </w:r>
    </w:p>
    <w:p w:rsidRPr="00F36CA9" w:rsidR="00F36CA9" w:rsidP="00F36CA9" w:rsidRDefault="00F36CA9" w14:paraId="4B0EF367" w14:textId="77777777">
      <w:pPr>
        <w:pStyle w:val="Textoindependiente"/>
      </w:pPr>
    </w:p>
    <w:p w:rsidRPr="00F36CA9" w:rsidR="00F36CA9" w:rsidP="00F36CA9" w:rsidRDefault="00F36CA9" w14:paraId="179C86E5" w14:textId="77777777">
      <w:pPr>
        <w:pStyle w:val="Textoindependiente"/>
        <w:tabs>
          <w:tab w:val="left" w:pos="930"/>
        </w:tabs>
      </w:pPr>
      <w:r w:rsidRPr="00F36CA9">
        <w:t xml:space="preserve">Que, atendiendo a lo expuesto, esta Defensoría resuelve finalmente lo siguiente: </w:t>
      </w:r>
    </w:p>
    <w:p w:rsidRPr="00F36CA9" w:rsidR="00F36CA9" w:rsidP="00F36CA9" w:rsidRDefault="00F36CA9" w14:paraId="6AEFB5D0" w14:textId="77777777">
      <w:pPr>
        <w:pStyle w:val="Textoindependiente"/>
        <w:tabs>
          <w:tab w:val="left" w:pos="930"/>
        </w:tabs>
      </w:pPr>
    </w:p>
    <w:p w:rsidRPr="00F36CA9" w:rsidR="00F36CA9" w:rsidP="00F36CA9" w:rsidRDefault="00F36CA9" w14:paraId="091ED65D" w14:textId="77777777">
      <w:pPr>
        <w:jc w:val="both"/>
        <w:rPr>
          <w:rFonts w:ascii="Times New Roman" w:hAnsi="Times New Roman" w:cs="Times New Roman"/>
          <w:sz w:val="24"/>
          <w:szCs w:val="24"/>
          <w:lang w:val="es-PE"/>
        </w:rPr>
      </w:pPr>
      <w:r w:rsidRPr="00F36CA9">
        <w:rPr>
          <w:rFonts w:ascii="Times New Roman" w:hAnsi="Times New Roman" w:cs="Times New Roman"/>
          <w:b/>
          <w:sz w:val="24"/>
          <w:szCs w:val="24"/>
          <w:u w:val="single"/>
          <w:lang w:val="es-PE"/>
        </w:rPr>
        <w:t>PRIMERO</w:t>
      </w:r>
      <w:r w:rsidRPr="00F36CA9">
        <w:rPr>
          <w:rFonts w:ascii="Times New Roman" w:hAnsi="Times New Roman" w:cs="Times New Roman"/>
          <w:b/>
          <w:sz w:val="24"/>
          <w:szCs w:val="24"/>
          <w:lang w:val="es-PE"/>
        </w:rPr>
        <w:t>:</w:t>
      </w:r>
      <w:r w:rsidRPr="00F36CA9">
        <w:rPr>
          <w:rFonts w:ascii="Times New Roman" w:hAnsi="Times New Roman" w:cs="Times New Roman"/>
          <w:sz w:val="24"/>
          <w:szCs w:val="24"/>
          <w:lang w:val="es-PE"/>
        </w:rPr>
        <w:t xml:space="preserve"> El artículo 10 (Procedimiento) del Reglamento de la DEFASEG </w:t>
      </w:r>
      <w:r w:rsidRPr="00F36CA9">
        <w:rPr>
          <w:rFonts w:ascii="Times New Roman" w:hAnsi="Times New Roman" w:eastAsia="Arial Unicode MS" w:cs="Times New Roman"/>
          <w:sz w:val="24"/>
          <w:szCs w:val="24"/>
          <w:lang w:val="es-PE"/>
        </w:rPr>
        <w:t>(http://www.defaseg.com.pe/reglamento)</w:t>
      </w:r>
      <w:r w:rsidRPr="00F36CA9">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w:t>
      </w:r>
      <w:r w:rsidRPr="00F36CA9">
        <w:rPr>
          <w:rFonts w:ascii="Times New Roman" w:hAnsi="Times New Roman" w:cs="Times New Roman"/>
          <w:sz w:val="24"/>
          <w:szCs w:val="24"/>
          <w:lang w:val="es-PE"/>
        </w:rPr>
        <w:lastRenderedPageBreak/>
        <w:t xml:space="preserve">materia reclamada, podrá impugnarla, interponiendo el correspondiente recurso de impugnación.  </w:t>
      </w:r>
    </w:p>
    <w:p w:rsidRPr="00F36CA9" w:rsidR="00F36CA9" w:rsidP="00F36CA9" w:rsidRDefault="00F36CA9" w14:paraId="7F12738A" w14:textId="77777777">
      <w:pPr>
        <w:jc w:val="both"/>
        <w:rPr>
          <w:rFonts w:ascii="Times New Roman" w:hAnsi="Times New Roman" w:cs="Times New Roman"/>
          <w:sz w:val="24"/>
          <w:szCs w:val="24"/>
          <w:lang w:val="es-PE"/>
        </w:rPr>
      </w:pPr>
      <w:r w:rsidRPr="00F36CA9">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F36CA9" w:rsidR="00F36CA9" w:rsidP="00F36CA9" w:rsidRDefault="00F36CA9" w14:paraId="01E77976" w14:textId="77777777">
      <w:pPr>
        <w:spacing w:line="240" w:lineRule="auto"/>
        <w:jc w:val="both"/>
        <w:rPr>
          <w:rStyle w:val="Textoennegrita"/>
          <w:rFonts w:ascii="Times New Roman" w:hAnsi="Times New Roman" w:cs="Times New Roman"/>
          <w:b w:val="0"/>
          <w:bCs/>
          <w:sz w:val="24"/>
          <w:szCs w:val="24"/>
          <w:lang w:val="es-PE"/>
        </w:rPr>
      </w:pPr>
      <w:r w:rsidRPr="00F36CA9">
        <w:rPr>
          <w:rFonts w:ascii="Times New Roman" w:hAnsi="Times New Roman" w:cs="Times New Roman"/>
          <w:b/>
          <w:bCs/>
          <w:sz w:val="24"/>
          <w:szCs w:val="24"/>
          <w:u w:val="single"/>
          <w:lang w:val="es-PE"/>
        </w:rPr>
        <w:t>SEGUNDO</w:t>
      </w:r>
      <w:r w:rsidRPr="00F36CA9">
        <w:rPr>
          <w:rFonts w:ascii="Times New Roman" w:hAnsi="Times New Roman" w:cs="Times New Roman"/>
          <w:b/>
          <w:bCs/>
          <w:sz w:val="24"/>
          <w:szCs w:val="24"/>
          <w:lang w:val="es-PE"/>
        </w:rPr>
        <w:t>:</w:t>
      </w:r>
      <w:r w:rsidRPr="00F36CA9">
        <w:rPr>
          <w:rFonts w:ascii="Times New Roman" w:hAnsi="Times New Roman" w:cs="Times New Roman"/>
          <w:bCs/>
          <w:sz w:val="24"/>
          <w:szCs w:val="24"/>
          <w:lang w:val="es-PE"/>
        </w:rPr>
        <w:t xml:space="preserve"> </w:t>
      </w:r>
      <w:r w:rsidRPr="00F36CA9">
        <w:rPr>
          <w:rFonts w:ascii="Times New Roman" w:hAnsi="Times New Roman" w:cs="Times New Roman"/>
          <w:sz w:val="24"/>
          <w:szCs w:val="24"/>
          <w:lang w:val="es-PE"/>
        </w:rPr>
        <w:t>De acuerdo a</w:t>
      </w:r>
      <w:r w:rsidRPr="00F36CA9">
        <w:rPr>
          <w:rFonts w:ascii="Times New Roman" w:hAnsi="Times New Roman" w:cs="Times New Roman"/>
          <w:b/>
          <w:bCs/>
          <w:sz w:val="24"/>
          <w:szCs w:val="24"/>
          <w:lang w:val="es-PE"/>
        </w:rPr>
        <w:t xml:space="preserve"> </w:t>
      </w:r>
      <w:r w:rsidRPr="00F36CA9">
        <w:rPr>
          <w:rStyle w:val="Textoennegrita"/>
          <w:rFonts w:ascii="Times New Roman" w:hAnsi="Times New Roman" w:cs="Times New Roman"/>
          <w:b w:val="0"/>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36CA9" w:rsidR="00F36CA9" w:rsidP="00F36CA9" w:rsidRDefault="00F36CA9" w14:paraId="282B4EF4" w14:textId="77777777">
      <w:pPr>
        <w:jc w:val="both"/>
        <w:rPr>
          <w:rStyle w:val="Textoennegrita"/>
          <w:rFonts w:ascii="Times New Roman" w:hAnsi="Times New Roman" w:cs="Times New Roman"/>
          <w:b w:val="0"/>
          <w:sz w:val="24"/>
          <w:szCs w:val="24"/>
          <w:lang w:val="es-PE"/>
        </w:rPr>
      </w:pPr>
      <w:r w:rsidRPr="00F36CA9">
        <w:rPr>
          <w:rFonts w:ascii="Times New Roman" w:hAnsi="Times New Roman" w:cs="Times New Roman"/>
          <w:b/>
          <w:sz w:val="24"/>
          <w:szCs w:val="24"/>
          <w:u w:val="single"/>
          <w:lang w:val="es-PE"/>
        </w:rPr>
        <w:t>TERCERO</w:t>
      </w:r>
      <w:r w:rsidRPr="00F36CA9">
        <w:rPr>
          <w:rFonts w:ascii="Times New Roman" w:hAnsi="Times New Roman" w:cs="Times New Roman"/>
          <w:bCs/>
          <w:sz w:val="24"/>
          <w:szCs w:val="24"/>
          <w:u w:val="single"/>
          <w:lang w:val="es-PE"/>
        </w:rPr>
        <w:t>:</w:t>
      </w:r>
      <w:r w:rsidRPr="00F36CA9">
        <w:rPr>
          <w:rFonts w:ascii="Times New Roman" w:hAnsi="Times New Roman" w:cs="Times New Roman"/>
          <w:bCs/>
          <w:sz w:val="24"/>
          <w:szCs w:val="24"/>
          <w:lang w:val="es-PE"/>
        </w:rPr>
        <w:t xml:space="preserve"> Conforme al noveno considerando de la resolución impugnada, la reclamación fue desestimada por cuanto, </w:t>
      </w:r>
      <w:r w:rsidRPr="00F36CA9">
        <w:rPr>
          <w:rFonts w:ascii="Times New Roman" w:hAnsi="Times New Roman" w:cs="Times New Roman"/>
          <w:sz w:val="24"/>
          <w:szCs w:val="24"/>
          <w:lang w:val="es-PE"/>
        </w:rPr>
        <w:t xml:space="preserve">en el presente caso, </w:t>
      </w:r>
      <w:r w:rsidRPr="00F36CA9">
        <w:rPr>
          <w:rStyle w:val="Textoennegrita"/>
          <w:rFonts w:ascii="Times New Roman" w:hAnsi="Times New Roman" w:cs="Times New Roman"/>
          <w:b w:val="0"/>
          <w:bCs/>
          <w:sz w:val="24"/>
          <w:szCs w:val="24"/>
          <w:lang w:val="es-PE"/>
        </w:rPr>
        <w:t>el evento ocurrido no se encuentra como un riesgo coberturado en la póliza contrada.</w:t>
      </w:r>
    </w:p>
    <w:p w:rsidRPr="00F36CA9" w:rsidR="00F36CA9" w:rsidP="00F36CA9" w:rsidRDefault="00F36CA9" w14:paraId="2080AB21" w14:textId="086B31EB">
      <w:pPr>
        <w:jc w:val="both"/>
        <w:rPr>
          <w:rFonts w:ascii="Times New Roman" w:hAnsi="Times New Roman" w:cs="Times New Roman"/>
          <w:noProof/>
          <w:sz w:val="24"/>
          <w:szCs w:val="24"/>
          <w:lang w:val="es-PE"/>
        </w:rPr>
      </w:pPr>
      <w:r w:rsidRPr="7AFCD5BD" w:rsidR="00F36CA9">
        <w:rPr>
          <w:rFonts w:ascii="Times New Roman" w:hAnsi="Times New Roman" w:cs="Times New Roman"/>
          <w:noProof/>
          <w:sz w:val="24"/>
          <w:szCs w:val="24"/>
          <w:lang w:val="es-PE"/>
        </w:rPr>
        <w:t xml:space="preserve">Al respecto, precisar que con fecha 06 de abril de 2022 a las 17:12 horas aproximadamente, conforme a lo sustentado en la denuncia policial,  la reclamante toma conocimiento que le habían realizado compras desde su tarjeta de credito del Banco </w:t>
      </w:r>
      <w:r w:rsidRPr="7AFCD5BD" w:rsidR="29EA7B06">
        <w:rPr>
          <w:rFonts w:ascii="Times New Roman" w:hAnsi="Times New Roman" w:cs="Times New Roman"/>
          <w:noProof/>
          <w:sz w:val="24"/>
          <w:szCs w:val="24"/>
          <w:lang w:val="es-PE"/>
        </w:rPr>
        <w:t>..................</w:t>
      </w:r>
      <w:r w:rsidRPr="7AFCD5BD" w:rsidR="00F36CA9">
        <w:rPr>
          <w:rFonts w:ascii="Times New Roman" w:hAnsi="Times New Roman" w:cs="Times New Roman"/>
          <w:noProof/>
          <w:sz w:val="24"/>
          <w:szCs w:val="24"/>
          <w:lang w:val="es-PE"/>
        </w:rPr>
        <w:t xml:space="preserve"> por la suma S/. 5,000.00 (Cinco Mil Soles), quedando acreditado que que los consumos no autorizados se realizaron de manera presencial y que la asegurada siempre mantuvo en su poder la tarjeta.</w:t>
      </w:r>
    </w:p>
    <w:p w:rsidRPr="00F36CA9" w:rsidR="00F36CA9" w:rsidP="00F36CA9" w:rsidRDefault="00F36CA9" w14:paraId="0331DC38" w14:textId="77777777">
      <w:pPr>
        <w:jc w:val="both"/>
        <w:rPr>
          <w:rFonts w:ascii="Times New Roman" w:hAnsi="Times New Roman" w:cs="Times New Roman"/>
          <w:noProof/>
          <w:sz w:val="24"/>
          <w:szCs w:val="24"/>
          <w:lang w:val="es-PE"/>
        </w:rPr>
      </w:pPr>
      <w:r w:rsidRPr="00F36CA9">
        <w:rPr>
          <w:rFonts w:ascii="Times New Roman" w:hAnsi="Times New Roman" w:cs="Times New Roman"/>
          <w:noProof/>
          <w:sz w:val="24"/>
          <w:szCs w:val="24"/>
          <w:lang w:val="es-PE"/>
        </w:rPr>
        <w:t xml:space="preserve">La cobertura </w:t>
      </w:r>
      <w:r w:rsidRPr="00F36CA9">
        <w:rPr>
          <w:rFonts w:ascii="Times New Roman" w:hAnsi="Times New Roman" w:cs="Times New Roman"/>
          <w:i/>
          <w:iCs/>
          <w:noProof/>
          <w:sz w:val="24"/>
          <w:szCs w:val="24"/>
          <w:lang w:val="es-PE"/>
        </w:rPr>
        <w:t>“indemnización por uso indebido de la(s) tarjeta (s) de débito o crédito en establecimientos comerciales o en cajeros automáticos a consecuencia de robo por asalto, secuestro, hurto agravado o hurto simple”</w:t>
      </w:r>
      <w:r w:rsidRPr="00F36CA9">
        <w:rPr>
          <w:rFonts w:ascii="Times New Roman" w:hAnsi="Times New Roman" w:cs="Times New Roman"/>
          <w:noProof/>
          <w:sz w:val="24"/>
          <w:szCs w:val="24"/>
          <w:lang w:val="es-PE"/>
        </w:rPr>
        <w:t>no puede ser aplicada en este caso, en la medida que la tarjeta nunca fue robada y/o hurtada; por el contrario, la asegurada siempre mantuvo el plastico en su poder.</w:t>
      </w:r>
    </w:p>
    <w:p w:rsidRPr="00F36CA9" w:rsidR="00F36CA9" w:rsidP="00F36CA9" w:rsidRDefault="00F36CA9" w14:paraId="2ADA11E8" w14:textId="77777777">
      <w:pPr>
        <w:jc w:val="both"/>
        <w:rPr>
          <w:rFonts w:ascii="Times New Roman" w:hAnsi="Times New Roman" w:cs="Times New Roman"/>
          <w:sz w:val="24"/>
          <w:szCs w:val="24"/>
          <w:lang w:val="es-PE"/>
        </w:rPr>
      </w:pPr>
      <w:r w:rsidRPr="00F36CA9">
        <w:rPr>
          <w:rFonts w:ascii="Times New Roman" w:hAnsi="Times New Roman" w:cs="Times New Roman"/>
          <w:sz w:val="24"/>
          <w:szCs w:val="24"/>
          <w:lang w:val="es-PE"/>
        </w:rPr>
        <w:t>Conforme a lo señalado la séptima regla interpretativa contenida en el artículo IV de la Ley Nro. 29946 – Ley del Contrato de Seguro: “</w:t>
      </w:r>
      <w:r w:rsidRPr="00F36CA9">
        <w:rPr>
          <w:rFonts w:ascii="Times New Roman" w:hAnsi="Times New Roman" w:cs="Times New Roman"/>
          <w:b/>
          <w:bCs/>
          <w:i/>
          <w:iCs/>
          <w:sz w:val="24"/>
          <w:szCs w:val="24"/>
          <w:u w:val="single"/>
          <w:lang w:val="es-PE"/>
        </w:rPr>
        <w:t>La cobertura</w:t>
      </w:r>
      <w:r w:rsidRPr="00F36CA9">
        <w:rPr>
          <w:rFonts w:ascii="Times New Roman" w:hAnsi="Times New Roman" w:cs="Times New Roman"/>
          <w:i/>
          <w:iCs/>
          <w:sz w:val="24"/>
          <w:szCs w:val="24"/>
          <w:lang w:val="es-PE"/>
        </w:rPr>
        <w:t xml:space="preserve">, exclusiones y, en general, la extensión del riesgo, así como los derechos de los beneficiarios, previstos en el contrato de seguro, </w:t>
      </w:r>
      <w:r w:rsidRPr="00F36CA9">
        <w:rPr>
          <w:rFonts w:ascii="Times New Roman" w:hAnsi="Times New Roman" w:cs="Times New Roman"/>
          <w:b/>
          <w:bCs/>
          <w:i/>
          <w:iCs/>
          <w:sz w:val="24"/>
          <w:szCs w:val="24"/>
          <w:u w:val="single"/>
          <w:lang w:val="es-PE"/>
        </w:rPr>
        <w:t>deben interpretarse literalmente</w:t>
      </w:r>
      <w:r w:rsidRPr="00F36CA9">
        <w:rPr>
          <w:rFonts w:ascii="Times New Roman" w:hAnsi="Times New Roman" w:cs="Times New Roman"/>
          <w:i/>
          <w:iCs/>
          <w:sz w:val="24"/>
          <w:szCs w:val="24"/>
          <w:lang w:val="es-PE"/>
        </w:rPr>
        <w:t>”</w:t>
      </w:r>
      <w:r w:rsidRPr="00F36CA9">
        <w:rPr>
          <w:rFonts w:ascii="Times New Roman" w:hAnsi="Times New Roman" w:cs="Times New Roman"/>
          <w:sz w:val="24"/>
          <w:szCs w:val="24"/>
          <w:lang w:val="es-PE"/>
        </w:rPr>
        <w:t xml:space="preserve"> (lo destacado es nuestro); y, en este sentido, carece de sustento pretender que la aseguradora deba otorgar cobertura a riesgos que no han sido aceptados.</w:t>
      </w:r>
    </w:p>
    <w:p w:rsidRPr="00F36CA9" w:rsidR="00F36CA9" w:rsidP="00F36CA9" w:rsidRDefault="00F36CA9" w14:paraId="0AEDC8A7" w14:textId="77777777">
      <w:pPr>
        <w:jc w:val="both"/>
        <w:rPr>
          <w:rFonts w:ascii="Times New Roman" w:hAnsi="Times New Roman" w:cs="Times New Roman"/>
          <w:sz w:val="24"/>
          <w:szCs w:val="24"/>
          <w:lang w:val="es-PE"/>
        </w:rPr>
      </w:pPr>
      <w:r w:rsidRPr="00F36CA9">
        <w:rPr>
          <w:rFonts w:ascii="Times New Roman" w:hAnsi="Times New Roman" w:cs="Times New Roman"/>
          <w:sz w:val="24"/>
          <w:szCs w:val="24"/>
          <w:lang w:val="es-PE"/>
        </w:rPr>
        <w:t xml:space="preserve">Finalmente, reiterar que en la medida que el siniestro no encaja en ninguna de las coberturas contradas, carece de relevancia pronunciarse sobre la inobservancia de una carga contractual </w:t>
      </w:r>
      <w:r w:rsidRPr="00F36CA9">
        <w:rPr>
          <w:rFonts w:ascii="Times New Roman" w:hAnsi="Times New Roman" w:cs="Times New Roman"/>
          <w:i/>
          <w:iCs/>
          <w:sz w:val="24"/>
          <w:szCs w:val="24"/>
          <w:lang w:val="es-PE"/>
        </w:rPr>
        <w:t xml:space="preserve">ex post, </w:t>
      </w:r>
      <w:r w:rsidRPr="00F36CA9">
        <w:rPr>
          <w:rFonts w:ascii="Times New Roman" w:hAnsi="Times New Roman" w:cs="Times New Roman"/>
          <w:sz w:val="24"/>
          <w:szCs w:val="24"/>
          <w:lang w:val="es-PE"/>
        </w:rPr>
        <w:t>la cual hace referencia al uso indebido de la tarjeta a consecuencia de robo por asalto y/o secuestro, hecho que no ha ocurrido en el presente caso.</w:t>
      </w:r>
    </w:p>
    <w:p w:rsidRPr="00F36CA9" w:rsidR="00F36CA9" w:rsidP="00F36CA9" w:rsidRDefault="00F36CA9" w14:paraId="5F377134" w14:textId="77777777">
      <w:pPr>
        <w:jc w:val="both"/>
        <w:rPr>
          <w:rFonts w:ascii="Times New Roman" w:hAnsi="Times New Roman" w:cs="Times New Roman"/>
          <w:sz w:val="24"/>
          <w:szCs w:val="24"/>
          <w:lang w:val="es-PE"/>
        </w:rPr>
      </w:pPr>
      <w:r w:rsidRPr="00F36CA9">
        <w:rPr>
          <w:rFonts w:ascii="Times New Roman" w:hAnsi="Times New Roman" w:cs="Times New Roman"/>
          <w:bCs/>
          <w:sz w:val="24"/>
          <w:szCs w:val="24"/>
          <w:lang w:val="es-PE"/>
        </w:rPr>
        <w:t xml:space="preserve">El </w:t>
      </w:r>
      <w:r w:rsidRPr="00F36CA9">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 la reclamante, que esta Defensoría respeta, pero no comparte,</w:t>
      </w:r>
      <w:r w:rsidRPr="00F36CA9">
        <w:rPr>
          <w:rFonts w:ascii="Times New Roman" w:hAnsi="Times New Roman" w:cs="Times New Roman"/>
          <w:sz w:val="24"/>
          <w:szCs w:val="24"/>
          <w:lang w:val="es-PE"/>
        </w:rPr>
        <w:t xml:space="preserve"> pero sin aportar argumento o medio probatorio alguno que permita objetivamente a este colegiado apreciar que habría incurrido efectivamente en un error o vicio al momento de resolver.</w:t>
      </w:r>
    </w:p>
    <w:p w:rsidRPr="00F36CA9" w:rsidR="00F36CA9" w:rsidP="00F36CA9" w:rsidRDefault="00F36CA9" w14:paraId="6CFEBD1E" w14:textId="77777777">
      <w:pPr>
        <w:jc w:val="both"/>
        <w:rPr>
          <w:rFonts w:ascii="Times New Roman" w:hAnsi="Times New Roman" w:cs="Times New Roman"/>
          <w:bCs/>
          <w:sz w:val="24"/>
          <w:szCs w:val="24"/>
          <w:lang w:val="es-ES"/>
        </w:rPr>
      </w:pPr>
      <w:r w:rsidRPr="00F36CA9">
        <w:rPr>
          <w:rFonts w:ascii="Times New Roman" w:hAnsi="Times New Roman" w:cs="Times New Roman"/>
          <w:bCs/>
          <w:sz w:val="24"/>
          <w:szCs w:val="24"/>
          <w:lang w:val="es-PE"/>
        </w:rPr>
        <w:lastRenderedPageBreak/>
        <w:t>En ese sentido, el colegiado reitera su convicción que, de los antecedentes fácticos del caso, se verifican pruebas en el sentido que existen razones fundadas para estimar que el rechazo de cobertura es legítimo.</w:t>
      </w:r>
    </w:p>
    <w:p w:rsidRPr="00F36CA9" w:rsidR="00F36CA9" w:rsidP="00F36CA9" w:rsidRDefault="00F36CA9" w14:paraId="03AA10F4" w14:textId="77777777">
      <w:pPr>
        <w:jc w:val="both"/>
        <w:rPr>
          <w:rFonts w:ascii="Times New Roman" w:hAnsi="Times New Roman" w:cs="Times New Roman"/>
          <w:sz w:val="24"/>
          <w:szCs w:val="24"/>
          <w:lang w:val="es-PE"/>
        </w:rPr>
      </w:pPr>
      <w:r w:rsidRPr="00F36CA9">
        <w:rPr>
          <w:rFonts w:ascii="Times New Roman" w:hAnsi="Times New Roman" w:cs="Times New Roman"/>
          <w:b/>
          <w:sz w:val="24"/>
          <w:szCs w:val="24"/>
          <w:u w:val="single"/>
          <w:lang w:val="es-PE"/>
        </w:rPr>
        <w:t>CUARTO</w:t>
      </w:r>
      <w:r w:rsidRPr="00F36CA9">
        <w:rPr>
          <w:rFonts w:ascii="Times New Roman" w:hAnsi="Times New Roman" w:cs="Times New Roman"/>
          <w:b/>
          <w:sz w:val="24"/>
          <w:szCs w:val="24"/>
          <w:lang w:val="es-PE"/>
        </w:rPr>
        <w:t>:</w:t>
      </w:r>
      <w:r w:rsidRPr="00F36CA9">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F36CA9" w:rsidR="00F36CA9" w:rsidP="00F36CA9" w:rsidRDefault="00F36CA9" w14:paraId="2E59073B" w14:textId="77777777">
      <w:pPr>
        <w:jc w:val="both"/>
        <w:rPr>
          <w:rFonts w:ascii="Times New Roman" w:hAnsi="Times New Roman" w:cs="Times New Roman"/>
          <w:b/>
          <w:sz w:val="24"/>
          <w:szCs w:val="24"/>
          <w:lang w:val="es-PE"/>
        </w:rPr>
      </w:pPr>
      <w:r w:rsidRPr="00F36CA9">
        <w:rPr>
          <w:rFonts w:ascii="Times New Roman" w:hAnsi="Times New Roman" w:cs="Times New Roman"/>
          <w:b/>
          <w:sz w:val="24"/>
          <w:szCs w:val="24"/>
          <w:lang w:val="es-PE"/>
        </w:rPr>
        <w:t>ATENDIENDO A LO EXPRESADO, CONFORME A SU REGLAMENTO, ESTE COLEGIADO RESUELVE:</w:t>
      </w:r>
    </w:p>
    <w:p w:rsidR="00F36CA9" w:rsidP="7AFCD5BD" w:rsidRDefault="00F36CA9" w14:paraId="28772AD1" w14:textId="4D4B030B">
      <w:pPr>
        <w:pStyle w:val="Default"/>
        <w:jc w:val="both"/>
        <w:rPr>
          <w:rFonts w:ascii="Times New Roman" w:hAnsi="Times New Roman" w:cs="Times New Roman"/>
          <w:b w:val="1"/>
          <w:bCs w:val="1"/>
          <w:lang w:val="es-MX"/>
        </w:rPr>
      </w:pPr>
      <w:r w:rsidRPr="7AFCD5BD" w:rsidR="00F36CA9">
        <w:rPr>
          <w:rFonts w:ascii="Times New Roman" w:hAnsi="Times New Roman" w:cs="Times New Roman"/>
          <w:b w:val="1"/>
          <w:bCs w:val="1"/>
        </w:rPr>
        <w:t xml:space="preserve">DECLARAR INFUNDADO </w:t>
      </w:r>
      <w:r w:rsidRPr="7AFCD5BD" w:rsidR="00F36CA9">
        <w:rPr>
          <w:rFonts w:ascii="Times New Roman" w:hAnsi="Times New Roman" w:cs="Times New Roman"/>
        </w:rPr>
        <w:t>el recurso de impugnación interpuesto por</w:t>
      </w:r>
      <w:r w:rsidRPr="7AFCD5BD" w:rsidR="00F36CA9">
        <w:rPr>
          <w:rFonts w:ascii="Times New Roman" w:hAnsi="Times New Roman" w:cs="Times New Roman"/>
          <w:b w:val="1"/>
          <w:bCs w:val="1"/>
        </w:rPr>
        <w:t xml:space="preserve"> </w:t>
      </w:r>
      <w:r w:rsidRPr="7AFCD5BD" w:rsidR="27F066FD">
        <w:rPr>
          <w:rFonts w:ascii="Times New Roman" w:hAnsi="Times New Roman" w:cs="Times New Roman"/>
          <w:b w:val="1"/>
          <w:bCs w:val="1"/>
        </w:rPr>
        <w:t>..................................................................</w:t>
      </w:r>
      <w:r w:rsidRPr="7AFCD5BD" w:rsidR="00F36CA9">
        <w:rPr>
          <w:rFonts w:ascii="Times New Roman" w:hAnsi="Times New Roman" w:cs="Times New Roman"/>
        </w:rPr>
        <w:t xml:space="preserve"> y, por consiguiente,</w:t>
      </w:r>
      <w:r w:rsidRPr="7AFCD5BD" w:rsidR="00F36CA9">
        <w:rPr>
          <w:rFonts w:ascii="Times New Roman" w:hAnsi="Times New Roman" w:cs="Times New Roman"/>
          <w:b w:val="1"/>
          <w:bCs w:val="1"/>
        </w:rPr>
        <w:t xml:space="preserve"> CONFIRMAR la Resolución </w:t>
      </w:r>
      <w:r w:rsidRPr="7AFCD5BD" w:rsidR="00F36CA9">
        <w:rPr>
          <w:rFonts w:ascii="Times New Roman" w:hAnsi="Times New Roman" w:cs="Times New Roman"/>
          <w:b w:val="1"/>
          <w:bCs w:val="1"/>
        </w:rPr>
        <w:t>N°</w:t>
      </w:r>
      <w:r w:rsidRPr="7AFCD5BD" w:rsidR="00F36CA9">
        <w:rPr>
          <w:rFonts w:ascii="Times New Roman" w:hAnsi="Times New Roman" w:cs="Times New Roman"/>
          <w:b w:val="1"/>
          <w:bCs w:val="1"/>
        </w:rPr>
        <w:t xml:space="preserve"> 164/22</w:t>
      </w:r>
      <w:r w:rsidRPr="7AFCD5BD" w:rsidR="00F36CA9">
        <w:rPr>
          <w:rFonts w:ascii="Times New Roman" w:hAnsi="Times New Roman" w:cs="Times New Roman"/>
          <w:b w:val="1"/>
          <w:bCs w:val="1"/>
          <w:lang w:val="es-MX"/>
        </w:rPr>
        <w:t>.</w:t>
      </w:r>
    </w:p>
    <w:p w:rsidRPr="00F36CA9" w:rsidR="005A7259" w:rsidP="00F36CA9" w:rsidRDefault="005A7259" w14:paraId="2813A898" w14:textId="77777777">
      <w:pPr>
        <w:pStyle w:val="Default"/>
        <w:jc w:val="both"/>
        <w:rPr>
          <w:rFonts w:ascii="Times New Roman" w:hAnsi="Times New Roman" w:cs="Times New Roman"/>
          <w:b/>
        </w:rPr>
      </w:pPr>
    </w:p>
    <w:p w:rsidRPr="00F36CA9" w:rsidR="00C173A8" w:rsidP="00092C2E" w:rsidRDefault="00C173A8" w14:paraId="21EFD7D3" w14:textId="18A8C3F1">
      <w:pPr>
        <w:suppressAutoHyphens/>
        <w:spacing w:after="0" w:line="240" w:lineRule="auto"/>
        <w:jc w:val="right"/>
        <w:outlineLvl w:val="0"/>
        <w:rPr>
          <w:rFonts w:ascii="Times New Roman" w:hAnsi="Times New Roman" w:eastAsia="Arial Unicode MS" w:cs="Times New Roman"/>
          <w:sz w:val="24"/>
          <w:szCs w:val="24"/>
          <w:lang w:val="es-PE" w:eastAsia="ar-SA"/>
        </w:rPr>
      </w:pPr>
      <w:r w:rsidRPr="00F36CA9">
        <w:rPr>
          <w:rFonts w:ascii="Times New Roman" w:hAnsi="Times New Roman" w:eastAsia="Arial Unicode MS" w:cs="Times New Roman"/>
          <w:sz w:val="24"/>
          <w:szCs w:val="24"/>
          <w:lang w:val="es-PE" w:eastAsia="ar-SA"/>
        </w:rPr>
        <w:t xml:space="preserve">Lima, </w:t>
      </w:r>
      <w:r w:rsidRPr="00F36CA9" w:rsidR="00AA7BD7">
        <w:rPr>
          <w:rFonts w:ascii="Times New Roman" w:hAnsi="Times New Roman" w:eastAsia="Arial Unicode MS" w:cs="Times New Roman"/>
          <w:sz w:val="24"/>
          <w:szCs w:val="24"/>
          <w:lang w:val="es-PE" w:eastAsia="ar-SA"/>
        </w:rPr>
        <w:t>1</w:t>
      </w:r>
      <w:r w:rsidR="000E650C">
        <w:rPr>
          <w:rFonts w:ascii="Times New Roman" w:hAnsi="Times New Roman" w:eastAsia="Arial Unicode MS" w:cs="Times New Roman"/>
          <w:sz w:val="24"/>
          <w:szCs w:val="24"/>
          <w:lang w:val="es-PE" w:eastAsia="ar-SA"/>
        </w:rPr>
        <w:t>3</w:t>
      </w:r>
      <w:r w:rsidRPr="00F36CA9" w:rsidR="005669AF">
        <w:rPr>
          <w:rFonts w:ascii="Times New Roman" w:hAnsi="Times New Roman" w:eastAsia="Arial Unicode MS" w:cs="Times New Roman"/>
          <w:sz w:val="24"/>
          <w:szCs w:val="24"/>
          <w:lang w:val="es-PE" w:eastAsia="ar-SA"/>
        </w:rPr>
        <w:t xml:space="preserve"> </w:t>
      </w:r>
      <w:r w:rsidRPr="00F36CA9">
        <w:rPr>
          <w:rFonts w:ascii="Times New Roman" w:hAnsi="Times New Roman" w:eastAsia="Arial Unicode MS" w:cs="Times New Roman"/>
          <w:sz w:val="24"/>
          <w:szCs w:val="24"/>
          <w:lang w:val="es-PE" w:eastAsia="ar-SA"/>
        </w:rPr>
        <w:t xml:space="preserve">de </w:t>
      </w:r>
      <w:r w:rsidRPr="00F36CA9" w:rsidR="005669AF">
        <w:rPr>
          <w:rFonts w:ascii="Times New Roman" w:hAnsi="Times New Roman" w:eastAsia="Arial Unicode MS" w:cs="Times New Roman"/>
          <w:sz w:val="24"/>
          <w:szCs w:val="24"/>
          <w:lang w:val="es-PE" w:eastAsia="ar-SA"/>
        </w:rPr>
        <w:t>septiembre</w:t>
      </w:r>
      <w:r w:rsidRPr="00F36CA9">
        <w:rPr>
          <w:rFonts w:ascii="Times New Roman" w:hAnsi="Times New Roman" w:eastAsia="Arial Unicode MS" w:cs="Times New Roman"/>
          <w:sz w:val="24"/>
          <w:szCs w:val="24"/>
          <w:lang w:val="es-PE" w:eastAsia="ar-SA"/>
        </w:rPr>
        <w:t xml:space="preserve"> de 2022</w:t>
      </w:r>
      <w:r w:rsidRPr="00F36CA9">
        <w:rPr>
          <w:rFonts w:ascii="Times New Roman" w:hAnsi="Times New Roman" w:eastAsia="Times New Roman" w:cs="Times New Roman"/>
          <w:sz w:val="24"/>
          <w:szCs w:val="24"/>
          <w:lang w:val="es-PE" w:eastAsia="ar-SA"/>
        </w:rPr>
        <w:t xml:space="preserve"> </w:t>
      </w:r>
    </w:p>
    <w:p w:rsidRPr="00F36CA9"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36CA9"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F36CA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36CA9" w:rsidR="0008494F" w:rsidP="00C5766A" w:rsidRDefault="0008494F" w14:paraId="5A4AC9FA" w14:textId="345ACCC6">
      <w:pPr>
        <w:spacing w:after="0" w:line="240" w:lineRule="auto"/>
        <w:jc w:val="both"/>
        <w:rPr>
          <w:rFonts w:ascii="Times New Roman" w:hAnsi="Times New Roman" w:cs="Times New Roman"/>
          <w:b/>
          <w:bCs/>
          <w:i/>
          <w:iCs/>
          <w:sz w:val="24"/>
          <w:szCs w:val="24"/>
          <w:lang w:val="es-PE"/>
        </w:rPr>
      </w:pPr>
    </w:p>
    <w:p w:rsidRPr="00F36CA9" w:rsidR="00222F44" w:rsidP="00222F44" w:rsidRDefault="00222F44" w14:paraId="1A6E8C1E" w14:textId="0A5565B4">
      <w:pPr>
        <w:spacing w:after="0" w:line="360" w:lineRule="auto"/>
        <w:jc w:val="center"/>
        <w:rPr>
          <w:rFonts w:ascii="Times New Roman" w:hAnsi="Times New Roman" w:cs="Times New Roman"/>
          <w:b/>
          <w:bCs/>
          <w:sz w:val="24"/>
          <w:szCs w:val="24"/>
          <w:lang w:val="es-PE"/>
        </w:rPr>
      </w:pPr>
      <w:r w:rsidRPr="00F36CA9">
        <w:rPr>
          <w:rFonts w:ascii="Times New Roman" w:hAnsi="Times New Roman" w:cs="Times New Roman"/>
          <w:b/>
          <w:bCs/>
          <w:sz w:val="24"/>
          <w:szCs w:val="24"/>
          <w:lang w:val="es-PE"/>
        </w:rPr>
        <w:t>Rolando Eyzaguirre Maccan – Presidente</w:t>
      </w:r>
    </w:p>
    <w:p w:rsidRPr="00F36CA9" w:rsidR="00222F44" w:rsidP="00222F44" w:rsidRDefault="00222F44" w14:paraId="6F457479" w14:textId="4204CEC4">
      <w:pPr>
        <w:spacing w:after="0" w:line="360" w:lineRule="auto"/>
        <w:jc w:val="center"/>
        <w:rPr>
          <w:rFonts w:ascii="Times New Roman" w:hAnsi="Times New Roman" w:cs="Times New Roman"/>
          <w:b/>
          <w:bCs/>
          <w:sz w:val="24"/>
          <w:szCs w:val="24"/>
          <w:lang w:val="es-PE"/>
        </w:rPr>
      </w:pPr>
      <w:r w:rsidRPr="00F36CA9">
        <w:rPr>
          <w:rFonts w:ascii="Times New Roman" w:hAnsi="Times New Roman" w:cs="Times New Roman"/>
          <w:b/>
          <w:bCs/>
          <w:sz w:val="24"/>
          <w:szCs w:val="24"/>
          <w:lang w:val="es-PE"/>
        </w:rPr>
        <w:t>María Eugenia Valdez Fernández Baca – Vocal</w:t>
      </w:r>
    </w:p>
    <w:p w:rsidRPr="00F36CA9" w:rsidR="001B1998" w:rsidP="001B1998" w:rsidRDefault="001B1998" w14:paraId="4E9466D5" w14:textId="710F47AB">
      <w:pPr>
        <w:spacing w:after="0" w:line="360" w:lineRule="auto"/>
        <w:jc w:val="center"/>
        <w:rPr>
          <w:rFonts w:ascii="Times New Roman" w:hAnsi="Times New Roman" w:cs="Times New Roman"/>
          <w:b/>
          <w:bCs/>
          <w:sz w:val="24"/>
          <w:szCs w:val="24"/>
          <w:lang w:val="es-PE"/>
        </w:rPr>
      </w:pPr>
      <w:r w:rsidRPr="00F36CA9">
        <w:rPr>
          <w:rFonts w:ascii="Times New Roman" w:hAnsi="Times New Roman" w:cs="Times New Roman"/>
          <w:b/>
          <w:bCs/>
          <w:sz w:val="24"/>
          <w:szCs w:val="24"/>
          <w:lang w:val="es-PE"/>
        </w:rPr>
        <w:t xml:space="preserve">Marco Antonio Ortega Piana – </w:t>
      </w:r>
      <w:r w:rsidRPr="00F36CA9" w:rsidR="00222F44">
        <w:rPr>
          <w:rFonts w:ascii="Times New Roman" w:hAnsi="Times New Roman" w:cs="Times New Roman"/>
          <w:b/>
          <w:bCs/>
          <w:sz w:val="24"/>
          <w:szCs w:val="24"/>
          <w:lang w:val="es-PE"/>
        </w:rPr>
        <w:t>Vocal</w:t>
      </w:r>
    </w:p>
    <w:p w:rsidRPr="00F36CA9"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F36CA9">
        <w:rPr>
          <w:rFonts w:ascii="Times New Roman" w:hAnsi="Times New Roman" w:cs="Times New Roman"/>
          <w:b/>
          <w:bCs/>
          <w:sz w:val="24"/>
          <w:szCs w:val="24"/>
          <w:lang w:val="es-PE"/>
        </w:rPr>
        <w:t>Gonzalo Abad del Busto – Vocal</w:t>
      </w:r>
    </w:p>
    <w:p w:rsidRPr="00005913"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05913"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05913"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0EAA" w:rsidP="00784355" w:rsidRDefault="00EA0EAA" w14:paraId="5E5B5992" w14:textId="77777777">
      <w:pPr>
        <w:spacing w:after="0" w:line="240" w:lineRule="auto"/>
      </w:pPr>
      <w:r>
        <w:separator/>
      </w:r>
    </w:p>
  </w:endnote>
  <w:endnote w:type="continuationSeparator" w:id="0">
    <w:p w:rsidR="00EA0EAA" w:rsidP="00784355" w:rsidRDefault="00EA0EAA" w14:paraId="0CC771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0EAA" w:rsidP="00784355" w:rsidRDefault="00EA0EAA" w14:paraId="2FEE602F" w14:textId="77777777">
      <w:pPr>
        <w:spacing w:after="0" w:line="240" w:lineRule="auto"/>
      </w:pPr>
      <w:r>
        <w:separator/>
      </w:r>
    </w:p>
  </w:footnote>
  <w:footnote w:type="continuationSeparator" w:id="0">
    <w:p w:rsidR="00EA0EAA" w:rsidP="00784355" w:rsidRDefault="00EA0EAA" w14:paraId="210C5C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913"/>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E650C"/>
    <w:rsid w:val="000F6340"/>
    <w:rsid w:val="000F6D7C"/>
    <w:rsid w:val="001039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024"/>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2F44"/>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12FF"/>
    <w:rsid w:val="002B726E"/>
    <w:rsid w:val="002C1B87"/>
    <w:rsid w:val="002C2A0F"/>
    <w:rsid w:val="002C6780"/>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43BC"/>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69AF"/>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259"/>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31AD"/>
    <w:rsid w:val="006C6261"/>
    <w:rsid w:val="006D2BA9"/>
    <w:rsid w:val="006D397E"/>
    <w:rsid w:val="006E2366"/>
    <w:rsid w:val="006E4547"/>
    <w:rsid w:val="006E5783"/>
    <w:rsid w:val="006E698A"/>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0AB"/>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29D"/>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A7BD7"/>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6478"/>
    <w:rsid w:val="00B87B08"/>
    <w:rsid w:val="00B928FB"/>
    <w:rsid w:val="00B93683"/>
    <w:rsid w:val="00B93C7A"/>
    <w:rsid w:val="00B956C4"/>
    <w:rsid w:val="00B95F76"/>
    <w:rsid w:val="00BA0192"/>
    <w:rsid w:val="00BA24B0"/>
    <w:rsid w:val="00BA291C"/>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375C8"/>
    <w:rsid w:val="00D41E07"/>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0EAA"/>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46A6"/>
    <w:rsid w:val="00F06498"/>
    <w:rsid w:val="00F11E0A"/>
    <w:rsid w:val="00F11F10"/>
    <w:rsid w:val="00F13013"/>
    <w:rsid w:val="00F14F22"/>
    <w:rsid w:val="00F15C12"/>
    <w:rsid w:val="00F16540"/>
    <w:rsid w:val="00F16CF9"/>
    <w:rsid w:val="00F20B09"/>
    <w:rsid w:val="00F3335E"/>
    <w:rsid w:val="00F349E0"/>
    <w:rsid w:val="00F36CA9"/>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DA373CF"/>
    <w:rsid w:val="1030D3C0"/>
    <w:rsid w:val="1EF743C4"/>
    <w:rsid w:val="27F066FD"/>
    <w:rsid w:val="29EA7B06"/>
    <w:rsid w:val="40BB7413"/>
    <w:rsid w:val="57216BD7"/>
    <w:rsid w:val="6129D405"/>
    <w:rsid w:val="7AFCD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08973059">
      <w:bodyDiv w:val="1"/>
      <w:marLeft w:val="0"/>
      <w:marRight w:val="0"/>
      <w:marTop w:val="0"/>
      <w:marBottom w:val="0"/>
      <w:divBdr>
        <w:top w:val="none" w:sz="0" w:space="0" w:color="auto"/>
        <w:left w:val="none" w:sz="0" w:space="0" w:color="auto"/>
        <w:bottom w:val="none" w:sz="0" w:space="0" w:color="auto"/>
        <w:right w:val="none" w:sz="0" w:space="0" w:color="auto"/>
      </w:divBdr>
    </w:div>
    <w:div w:id="1317999586">
      <w:bodyDiv w:val="1"/>
      <w:marLeft w:val="0"/>
      <w:marRight w:val="0"/>
      <w:marTop w:val="0"/>
      <w:marBottom w:val="0"/>
      <w:divBdr>
        <w:top w:val="none" w:sz="0" w:space="0" w:color="auto"/>
        <w:left w:val="none" w:sz="0" w:space="0" w:color="auto"/>
        <w:bottom w:val="none" w:sz="0" w:space="0" w:color="auto"/>
        <w:right w:val="none" w:sz="0" w:space="0" w:color="auto"/>
      </w:divBdr>
    </w:div>
    <w:div w:id="135117889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CA23356-6AD5-4B57-AF55-88FDD0975DAA}"/>
</file>

<file path=customXml/itemProps3.xml><?xml version="1.0" encoding="utf-8"?>
<ds:datastoreItem xmlns:ds="http://schemas.openxmlformats.org/officeDocument/2006/customXml" ds:itemID="{7B517DDB-73E4-474C-8682-313F2EDAAF9A}"/>
</file>

<file path=customXml/itemProps4.xml><?xml version="1.0" encoding="utf-8"?>
<ds:datastoreItem xmlns:ds="http://schemas.openxmlformats.org/officeDocument/2006/customXml" ds:itemID="{B7C0A7B0-79FB-438D-950C-87C0852B65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243</cp:revision>
  <cp:lastPrinted>2022-09-12T22:36:00Z</cp:lastPrinted>
  <dcterms:created xsi:type="dcterms:W3CDTF">2020-12-18T20:17:00Z</dcterms:created>
  <dcterms:modified xsi:type="dcterms:W3CDTF">2025-12-01T21:06:07Z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