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4D62" w:rsidR="00B10F71" w:rsidP="00041B86" w:rsidRDefault="00201C0D" w14:paraId="51974F0B" w14:textId="0CD9CA1A">
      <w:pPr>
        <w:spacing w:after="0" w:line="240" w:lineRule="auto"/>
        <w:jc w:val="center"/>
        <w:rPr>
          <w:rFonts w:ascii="Times New Roman" w:hAnsi="Times New Roman" w:cs="Times New Roman"/>
          <w:b/>
          <w:sz w:val="24"/>
          <w:szCs w:val="24"/>
          <w:lang w:val="es-PE" w:eastAsia="ar-SA"/>
        </w:rPr>
      </w:pPr>
      <w:r w:rsidRPr="008B4D62">
        <w:rPr>
          <w:rFonts w:ascii="Times New Roman" w:hAnsi="Times New Roman" w:cs="Times New Roman"/>
          <w:b/>
          <w:sz w:val="24"/>
          <w:szCs w:val="24"/>
          <w:lang w:val="es-PE" w:eastAsia="ar-SA"/>
        </w:rPr>
        <w:t xml:space="preserve">RESOLUCIÓN DE RECURSO IMPUGNATIVO </w:t>
      </w:r>
      <w:r w:rsidRPr="008B4D62" w:rsidR="00707C99">
        <w:rPr>
          <w:rFonts w:ascii="Times New Roman" w:hAnsi="Times New Roman" w:cs="Times New Roman"/>
          <w:b/>
          <w:sz w:val="24"/>
          <w:szCs w:val="24"/>
          <w:lang w:val="es-PE" w:eastAsia="ar-SA"/>
        </w:rPr>
        <w:t xml:space="preserve">N° </w:t>
      </w:r>
      <w:r w:rsidRPr="008B4D62" w:rsidR="00C671F5">
        <w:rPr>
          <w:rFonts w:ascii="Times New Roman" w:hAnsi="Times New Roman" w:cs="Times New Roman"/>
          <w:b/>
          <w:sz w:val="24"/>
          <w:szCs w:val="24"/>
          <w:lang w:val="es-PE" w:eastAsia="ar-SA"/>
        </w:rPr>
        <w:t>0</w:t>
      </w:r>
      <w:r w:rsidRPr="008B4D62" w:rsidR="009D5E36">
        <w:rPr>
          <w:rFonts w:ascii="Times New Roman" w:hAnsi="Times New Roman" w:cs="Times New Roman"/>
          <w:b/>
          <w:sz w:val="24"/>
          <w:szCs w:val="24"/>
          <w:lang w:val="es-PE" w:eastAsia="ar-SA"/>
        </w:rPr>
        <w:t>6</w:t>
      </w:r>
      <w:r w:rsidRPr="008B4D62" w:rsidR="0093363D">
        <w:rPr>
          <w:rFonts w:ascii="Times New Roman" w:hAnsi="Times New Roman" w:cs="Times New Roman"/>
          <w:b/>
          <w:sz w:val="24"/>
          <w:szCs w:val="24"/>
          <w:lang w:val="es-PE" w:eastAsia="ar-SA"/>
        </w:rPr>
        <w:t>8</w:t>
      </w:r>
      <w:r w:rsidRPr="008B4D62" w:rsidR="00C671F5">
        <w:rPr>
          <w:rFonts w:ascii="Times New Roman" w:hAnsi="Times New Roman" w:cs="Times New Roman"/>
          <w:b/>
          <w:sz w:val="24"/>
          <w:szCs w:val="24"/>
          <w:lang w:val="es-PE" w:eastAsia="ar-SA"/>
        </w:rPr>
        <w:t>/2</w:t>
      </w:r>
      <w:r w:rsidRPr="008B4D62" w:rsidR="00B93C7A">
        <w:rPr>
          <w:rFonts w:ascii="Times New Roman" w:hAnsi="Times New Roman" w:cs="Times New Roman"/>
          <w:b/>
          <w:sz w:val="24"/>
          <w:szCs w:val="24"/>
          <w:lang w:val="es-PE" w:eastAsia="ar-SA"/>
        </w:rPr>
        <w:t>2</w:t>
      </w:r>
    </w:p>
    <w:p w:rsidRPr="008B4D62"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8B4D62" w:rsidR="008B4D62" w:rsidP="008B4D62" w:rsidRDefault="008B4D62" w14:paraId="552113DE" w14:textId="77777777">
      <w:pPr>
        <w:jc w:val="both"/>
        <w:outlineLvl w:val="0"/>
        <w:rPr>
          <w:rFonts w:ascii="Times New Roman" w:hAnsi="Times New Roman" w:cs="Times New Roman"/>
          <w:b/>
          <w:bCs/>
          <w:sz w:val="24"/>
          <w:szCs w:val="24"/>
          <w:lang w:val="es-MX"/>
        </w:rPr>
      </w:pPr>
      <w:r w:rsidRPr="008B4D62">
        <w:rPr>
          <w:rFonts w:ascii="Times New Roman" w:hAnsi="Times New Roman" w:cs="Times New Roman"/>
          <w:b/>
          <w:bCs/>
          <w:sz w:val="24"/>
          <w:szCs w:val="24"/>
          <w:lang w:val="es-MX"/>
        </w:rPr>
        <w:t>VISTOS:</w:t>
      </w:r>
    </w:p>
    <w:p w:rsidRPr="008B4D62" w:rsidR="008B4D62" w:rsidP="008B4D62" w:rsidRDefault="008B4D62" w14:paraId="710411EC" w14:textId="22726ED7">
      <w:pPr>
        <w:spacing w:line="276" w:lineRule="auto"/>
        <w:jc w:val="both"/>
        <w:rPr>
          <w:rFonts w:ascii="Times New Roman" w:hAnsi="Times New Roman" w:cs="Times New Roman"/>
          <w:sz w:val="24"/>
          <w:szCs w:val="24"/>
          <w:lang w:val="es-MX"/>
        </w:rPr>
      </w:pPr>
      <w:r w:rsidRPr="48043AC1" w:rsidR="008B4D62">
        <w:rPr>
          <w:rFonts w:ascii="Times New Roman" w:hAnsi="Times New Roman" w:cs="Times New Roman"/>
          <w:sz w:val="24"/>
          <w:szCs w:val="24"/>
          <w:lang w:val="es-PE"/>
        </w:rPr>
        <w:t xml:space="preserve">El recurso de impugnación presentado por </w:t>
      </w:r>
      <w:r w:rsidRPr="48043AC1" w:rsidR="512E273D">
        <w:rPr>
          <w:rFonts w:ascii="Times New Roman" w:hAnsi="Times New Roman" w:cs="Times New Roman"/>
          <w:b w:val="1"/>
          <w:bCs w:val="1"/>
          <w:sz w:val="24"/>
          <w:szCs w:val="24"/>
          <w:lang w:val="es-MX"/>
        </w:rPr>
        <w:t>...................................</w:t>
      </w:r>
      <w:r w:rsidRPr="48043AC1" w:rsidR="008B4D62">
        <w:rPr>
          <w:rFonts w:ascii="Times New Roman" w:hAnsi="Times New Roman" w:cs="Times New Roman"/>
          <w:sz w:val="24"/>
          <w:szCs w:val="24"/>
          <w:lang w:val="es-PE"/>
        </w:rPr>
        <w:t xml:space="preserve"> respecto de la Resolución Nro. 165/22, expedida por el Órgano Resolutivo Unipersonal de esta Defensoría del Asegurado (DEFASEG), conforme a la cual se declaró FUNDADA la reclamación interpuesta por </w:t>
      </w:r>
      <w:r w:rsidRPr="48043AC1" w:rsidR="1AABA896">
        <w:rPr>
          <w:rFonts w:ascii="Times New Roman" w:hAnsi="Times New Roman" w:cs="Times New Roman"/>
          <w:b w:val="1"/>
          <w:bCs w:val="1"/>
          <w:sz w:val="24"/>
          <w:szCs w:val="24"/>
          <w:lang w:val="es-PE"/>
        </w:rPr>
        <w:t>....................................................</w:t>
      </w:r>
      <w:r w:rsidRPr="48043AC1" w:rsidR="008B4D62">
        <w:rPr>
          <w:rFonts w:ascii="Times New Roman" w:hAnsi="Times New Roman" w:cs="Times New Roman"/>
          <w:sz w:val="24"/>
          <w:szCs w:val="24"/>
          <w:lang w:val="es-MX"/>
        </w:rPr>
        <w:t xml:space="preserve"> </w:t>
      </w:r>
      <w:r w:rsidRPr="48043AC1" w:rsidR="008B4D62">
        <w:rPr>
          <w:rFonts w:ascii="Times New Roman" w:hAnsi="Times New Roman" w:cs="Times New Roman"/>
          <w:sz w:val="24"/>
          <w:szCs w:val="24"/>
          <w:lang w:val="es-PE"/>
        </w:rPr>
        <w:t xml:space="preserve">respecto al </w:t>
      </w:r>
      <w:r w:rsidRPr="48043AC1" w:rsidR="008B4D62">
        <w:rPr>
          <w:rFonts w:ascii="Times New Roman" w:hAnsi="Times New Roman" w:cs="Times New Roman"/>
          <w:b w:val="1"/>
          <w:bCs w:val="1"/>
          <w:sz w:val="24"/>
          <w:szCs w:val="24"/>
          <w:lang w:val="es-MX"/>
        </w:rPr>
        <w:t>SEGURO DE PROTECCIÓN DE TARJETA- PÓLIZA</w:t>
      </w:r>
      <w:r w:rsidRPr="48043AC1" w:rsidR="008B4D62">
        <w:rPr>
          <w:rFonts w:ascii="Times New Roman" w:hAnsi="Times New Roman" w:cs="Times New Roman"/>
          <w:b w:val="1"/>
          <w:bCs w:val="1"/>
          <w:sz w:val="24"/>
          <w:szCs w:val="24"/>
          <w:lang w:val="es-PE"/>
        </w:rPr>
        <w:t xml:space="preserve"> 1103 - </w:t>
      </w:r>
      <w:r w:rsidRPr="48043AC1" w:rsidR="0E0A90EB">
        <w:rPr>
          <w:rFonts w:ascii="Times New Roman" w:hAnsi="Times New Roman" w:cs="Times New Roman"/>
          <w:b w:val="1"/>
          <w:bCs w:val="1"/>
          <w:sz w:val="24"/>
          <w:szCs w:val="24"/>
          <w:lang w:val="es-PE"/>
        </w:rPr>
        <w:t>....................</w:t>
      </w:r>
      <w:r w:rsidRPr="48043AC1" w:rsidR="008B4D62">
        <w:rPr>
          <w:rFonts w:ascii="Times New Roman" w:hAnsi="Times New Roman" w:cs="Times New Roman"/>
          <w:sz w:val="24"/>
          <w:szCs w:val="24"/>
          <w:lang w:val="es-MX"/>
        </w:rPr>
        <w:t>.</w:t>
      </w:r>
    </w:p>
    <w:p w:rsidRPr="008B4D62" w:rsidR="008B4D62" w:rsidP="008B4D62" w:rsidRDefault="008B4D62" w14:paraId="4430889D" w14:textId="5D3A10D1">
      <w:pPr>
        <w:pStyle w:val="Textoindependiente"/>
      </w:pPr>
      <w:r w:rsidR="008B4D62">
        <w:rPr/>
        <w:t xml:space="preserve">Que, el indicado recurso se sustenta resumidamente en lo siguiente: a) El pronunciamiento emitido no se basa en una debida valoración de los medios probatorios y argumentos aportados por la Compañía; b) el reclamante siempre mantuvo la tarjeta en su poder, por lo cual se descarta el Uso Indebido de la tarjeta de crédito y/o débito por Robo y/o Hurto, Utilización forzada en cajeros automáticos de la tarjeta de crédito y/o débito, Robo de dinero de los cajeros automático, Uso Indebido por Compra fraudulenta vía internet con la tarjeta de crédito y/o débito administrada por el Banco </w:t>
      </w:r>
      <w:r w:rsidR="7158D117">
        <w:rPr/>
        <w:t>....................</w:t>
      </w:r>
      <w:r w:rsidR="008B4D62">
        <w:rPr/>
        <w:t xml:space="preserve">. </w:t>
      </w:r>
      <w:r w:rsidR="008B4D62">
        <w:rPr/>
        <w:t>El siniestro no cuenta con cobertura, debido a que las operaciones fueron efectuadas con presencia de todas las medidas de seguridad, dicha información ha sido constatada por el banco.</w:t>
      </w:r>
      <w:r w:rsidR="008B4D62">
        <w:rPr/>
        <w:t xml:space="preserve"> En tal sentido, ha quedado descartada un posible Clonación o Adulteración de tarjeta de crédito y/o débito emitidas por el Banco </w:t>
      </w:r>
      <w:r w:rsidR="7158D117">
        <w:rPr/>
        <w:t>....................</w:t>
      </w:r>
      <w:r w:rsidR="008B4D62">
        <w:rPr/>
        <w:t xml:space="preserve">; c) el uso indebido de las tarjetas se da a través del hurto o robo de las tarjetas de crédito y/o débito y/o por causas comerciales que deriven en defraudaciones estafas o malversaciones cometidas por terceros.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w:t>
      </w:r>
    </w:p>
    <w:p w:rsidRPr="008B4D62" w:rsidR="008B4D62" w:rsidP="008B4D62" w:rsidRDefault="008B4D62" w14:paraId="14F5CEDF" w14:textId="77777777">
      <w:pPr>
        <w:pStyle w:val="Textoindependiente"/>
      </w:pPr>
    </w:p>
    <w:p w:rsidRPr="008B4D62" w:rsidR="008B4D62" w:rsidP="008B4D62" w:rsidRDefault="008B4D62" w14:paraId="350E00B4"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8B4D62">
        <w:rPr>
          <w:rFonts w:ascii="Times New Roman" w:hAnsi="Times New Roman" w:eastAsia="Times New Roman" w:cs="Times New Roman"/>
          <w:bCs/>
          <w:sz w:val="24"/>
          <w:szCs w:val="24"/>
          <w:lang w:val="es-MX" w:eastAsia="ar-SA"/>
        </w:rPr>
        <w:t>Que, habiéndosele corrido traslado de la señalada impugnación, el señor Bayona no ha absuelto el trámite correspondiente;</w:t>
      </w:r>
    </w:p>
    <w:p w:rsidRPr="008B4D62" w:rsidR="008B4D62" w:rsidP="008B4D62" w:rsidRDefault="008B4D62" w14:paraId="753DBC00" w14:textId="77777777">
      <w:pPr>
        <w:pStyle w:val="Textoindependiente"/>
        <w:rPr>
          <w:bCs w:val="0"/>
          <w:color w:val="000000"/>
          <w:lang w:val="es-PE" w:eastAsia="es-PE"/>
        </w:rPr>
      </w:pPr>
    </w:p>
    <w:p w:rsidRPr="008B4D62" w:rsidR="008B4D62" w:rsidP="008B4D62" w:rsidRDefault="008B4D62" w14:paraId="5C623832" w14:textId="77777777">
      <w:pPr>
        <w:suppressAutoHyphens/>
        <w:spacing w:after="0" w:line="240" w:lineRule="auto"/>
        <w:jc w:val="both"/>
        <w:rPr>
          <w:rFonts w:ascii="Times New Roman" w:hAnsi="Times New Roman" w:cs="Times New Roman"/>
          <w:bCs/>
          <w:sz w:val="24"/>
          <w:szCs w:val="24"/>
          <w:lang w:val="es-ES"/>
        </w:rPr>
      </w:pPr>
      <w:r w:rsidRPr="008B4D62">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8B4D62" w:rsidR="008B4D62" w:rsidP="008B4D62" w:rsidRDefault="008B4D62" w14:paraId="3F12BB18" w14:textId="77777777">
      <w:pPr>
        <w:suppressAutoHyphens/>
        <w:spacing w:after="0" w:line="240" w:lineRule="auto"/>
        <w:jc w:val="both"/>
        <w:rPr>
          <w:rFonts w:ascii="Times New Roman" w:hAnsi="Times New Roman" w:cs="Times New Roman"/>
          <w:bCs/>
          <w:sz w:val="24"/>
          <w:szCs w:val="24"/>
          <w:lang w:val="es-ES"/>
        </w:rPr>
      </w:pPr>
    </w:p>
    <w:p w:rsidRPr="008B4D62" w:rsidR="008B4D62" w:rsidP="008B4D62" w:rsidRDefault="008B4D62" w14:paraId="4CA054E5" w14:textId="77777777">
      <w:pPr>
        <w:jc w:val="both"/>
        <w:rPr>
          <w:rFonts w:ascii="Times New Roman" w:hAnsi="Times New Roman" w:cs="Times New Roman"/>
          <w:sz w:val="24"/>
          <w:szCs w:val="24"/>
          <w:lang w:val="es-PE"/>
        </w:rPr>
      </w:pPr>
      <w:r w:rsidRPr="008B4D62">
        <w:rPr>
          <w:rFonts w:ascii="Times New Roman" w:hAnsi="Times New Roman" w:cs="Times New Roman"/>
          <w:b/>
          <w:sz w:val="24"/>
          <w:szCs w:val="24"/>
          <w:u w:val="single"/>
          <w:lang w:val="es-PE"/>
        </w:rPr>
        <w:t>PRIMERO</w:t>
      </w:r>
      <w:r w:rsidRPr="008B4D62">
        <w:rPr>
          <w:rFonts w:ascii="Times New Roman" w:hAnsi="Times New Roman" w:cs="Times New Roman"/>
          <w:b/>
          <w:sz w:val="24"/>
          <w:szCs w:val="24"/>
          <w:lang w:val="es-PE"/>
        </w:rPr>
        <w:t>:</w:t>
      </w:r>
      <w:r w:rsidRPr="008B4D62">
        <w:rPr>
          <w:rFonts w:ascii="Times New Roman" w:hAnsi="Times New Roman" w:cs="Times New Roman"/>
          <w:sz w:val="24"/>
          <w:szCs w:val="24"/>
          <w:lang w:val="es-PE"/>
        </w:rPr>
        <w:t xml:space="preserve"> El artículo 10 (Procedimiento) del Reglamento de la DEFASEG </w:t>
      </w:r>
      <w:r w:rsidRPr="008B4D62">
        <w:rPr>
          <w:rFonts w:ascii="Times New Roman" w:hAnsi="Times New Roman" w:eastAsia="Arial Unicode MS" w:cs="Times New Roman"/>
          <w:sz w:val="24"/>
          <w:szCs w:val="24"/>
          <w:lang w:val="es-PE"/>
        </w:rPr>
        <w:t>(http://www.defaseg.com.pe/reglamento)</w:t>
      </w:r>
      <w:r w:rsidRPr="008B4D62">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8B4D62" w:rsidR="008B4D62" w:rsidP="008B4D62" w:rsidRDefault="008B4D62" w14:paraId="3DE5B27A" w14:textId="77777777">
      <w:pPr>
        <w:jc w:val="both"/>
        <w:rPr>
          <w:rFonts w:ascii="Times New Roman" w:hAnsi="Times New Roman" w:cs="Times New Roman"/>
          <w:sz w:val="24"/>
          <w:szCs w:val="24"/>
          <w:lang w:val="es-PE"/>
        </w:rPr>
      </w:pPr>
      <w:r w:rsidRPr="008B4D62">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8B4D62" w:rsidR="008B4D62" w:rsidP="008B4D62" w:rsidRDefault="008B4D62" w14:paraId="2FFCD1A1" w14:textId="6CABE432">
      <w:pPr>
        <w:jc w:val="both"/>
        <w:rPr>
          <w:rFonts w:ascii="Times New Roman" w:hAnsi="Times New Roman" w:cs="Times New Roman"/>
          <w:sz w:val="24"/>
          <w:szCs w:val="24"/>
          <w:highlight w:val="green"/>
          <w:lang w:val="es-PE"/>
        </w:rPr>
      </w:pPr>
      <w:r w:rsidRPr="008B4D62">
        <w:rPr>
          <w:rFonts w:ascii="Times New Roman" w:hAnsi="Times New Roman" w:cs="Times New Roman"/>
          <w:b/>
          <w:bCs/>
          <w:sz w:val="24"/>
          <w:szCs w:val="24"/>
          <w:u w:val="single"/>
          <w:lang w:val="es-PE"/>
        </w:rPr>
        <w:t>SEGUNDO</w:t>
      </w:r>
      <w:r w:rsidRPr="008B4D62">
        <w:rPr>
          <w:rFonts w:ascii="Times New Roman" w:hAnsi="Times New Roman" w:cs="Times New Roman"/>
          <w:b/>
          <w:bCs/>
          <w:sz w:val="24"/>
          <w:szCs w:val="24"/>
          <w:lang w:val="es-PE"/>
        </w:rPr>
        <w:t xml:space="preserve">: </w:t>
      </w:r>
      <w:r w:rsidRPr="008B4D62">
        <w:rPr>
          <w:rFonts w:ascii="Times New Roman" w:hAnsi="Times New Roman" w:cs="Times New Roman"/>
          <w:bCs/>
          <w:sz w:val="24"/>
          <w:szCs w:val="24"/>
          <w:lang w:val="es-PE"/>
        </w:rPr>
        <w:t xml:space="preserve">Que el recurso de impugnación presentado por la aseguradora se sustenta en señalar </w:t>
      </w:r>
      <w:r w:rsidRPr="008B4D62">
        <w:rPr>
          <w:rFonts w:ascii="Times New Roman" w:hAnsi="Times New Roman" w:cs="Times New Roman"/>
          <w:sz w:val="24"/>
          <w:szCs w:val="24"/>
          <w:lang w:val="es-PE"/>
        </w:rPr>
        <w:t xml:space="preserve">que </w:t>
      </w:r>
      <w:r w:rsidR="006B1DCF">
        <w:rPr>
          <w:rFonts w:ascii="Times New Roman" w:hAnsi="Times New Roman" w:cs="Times New Roman"/>
          <w:sz w:val="24"/>
          <w:szCs w:val="24"/>
          <w:lang w:val="es-PE"/>
        </w:rPr>
        <w:t>para que se</w:t>
      </w:r>
      <w:r w:rsidRPr="008B4D62">
        <w:rPr>
          <w:rFonts w:ascii="Times New Roman" w:hAnsi="Times New Roman" w:cs="Times New Roman"/>
          <w:sz w:val="24"/>
          <w:szCs w:val="24"/>
          <w:lang w:val="es-PE"/>
        </w:rPr>
        <w:t xml:space="preserve"> pueda aplicar la cobertura para casos de compras vía por internet es necesario que hayan sido realizadas mediante el uso indebido de las tarjetas de crédito o débito del asegurado. Asimismo, precisa que el uso indebido de las tarjetas se da a través del hurto o robo de las tarjetas.</w:t>
      </w:r>
    </w:p>
    <w:p w:rsidRPr="008B4D62" w:rsidR="008B4D62" w:rsidP="008B4D62" w:rsidRDefault="008B4D62" w14:paraId="1102E921" w14:textId="77777777">
      <w:pPr>
        <w:jc w:val="both"/>
        <w:rPr>
          <w:rFonts w:ascii="Times New Roman" w:hAnsi="Times New Roman" w:cs="Times New Roman"/>
          <w:sz w:val="24"/>
          <w:szCs w:val="24"/>
          <w:lang w:val="es-ES"/>
        </w:rPr>
      </w:pPr>
      <w:r w:rsidRPr="008B4D62">
        <w:rPr>
          <w:rFonts w:ascii="Times New Roman" w:hAnsi="Times New Roman" w:cs="Times New Roman"/>
          <w:sz w:val="24"/>
          <w:szCs w:val="24"/>
          <w:lang w:val="es-PE"/>
        </w:rPr>
        <w:lastRenderedPageBreak/>
        <w:t xml:space="preserve">Sobre el particular, este Colegiado advierte que, la Resolución Nro. 165/22, expedida por el Órgano Resolutivo Unipersonal de esta Defensoría del Asegurado (DEFASEG), se fundamenta en que la definición de la cobertura N°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Pr="008B4D62" w:rsidR="008B4D62" w:rsidP="008B4D62" w:rsidRDefault="008B4D62" w14:paraId="37B65016" w14:textId="77777777">
      <w:pPr>
        <w:pStyle w:val="Default"/>
        <w:jc w:val="both"/>
        <w:rPr>
          <w:rFonts w:ascii="Times New Roman" w:hAnsi="Times New Roman" w:cs="Times New Roman"/>
        </w:rPr>
      </w:pPr>
      <w:r w:rsidRPr="008B4D62">
        <w:rPr>
          <w:rFonts w:ascii="Times New Roman" w:hAnsi="Times New Roman" w:cs="Times New Roman"/>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Pr="008B4D62" w:rsidR="008B4D62" w:rsidP="008B4D62" w:rsidRDefault="008B4D62" w14:paraId="682B1F33" w14:textId="77777777">
      <w:pPr>
        <w:pStyle w:val="Default"/>
        <w:jc w:val="both"/>
        <w:rPr>
          <w:rFonts w:ascii="Times New Roman" w:hAnsi="Times New Roman" w:cs="Times New Roman"/>
          <w:highlight w:val="green"/>
        </w:rPr>
      </w:pPr>
    </w:p>
    <w:p w:rsidRPr="008B4D62" w:rsidR="008B4D62" w:rsidP="008B4D62" w:rsidRDefault="008B4D62" w14:paraId="5958E51B" w14:textId="77777777">
      <w:pPr>
        <w:pStyle w:val="Default"/>
        <w:jc w:val="both"/>
        <w:rPr>
          <w:rFonts w:ascii="Times New Roman" w:hAnsi="Times New Roman" w:cs="Times New Roman"/>
        </w:rPr>
      </w:pPr>
      <w:r w:rsidRPr="008B4D62">
        <w:rPr>
          <w:rFonts w:ascii="Times New Roman" w:hAnsi="Times New Roman" w:cs="Times New Roman"/>
        </w:rPr>
        <w:t xml:space="preserve">En esa medida la información que obra en autos no es </w:t>
      </w:r>
      <w:r w:rsidRPr="008B4D62">
        <w:rPr>
          <w:rFonts w:ascii="Times New Roman" w:hAnsi="Times New Roman" w:cs="Times New Roman"/>
          <w:color w:val="auto"/>
        </w:rPr>
        <w:t xml:space="preserve">suficiente para generar convicción sobre la posición de la aseguradora en el presente caso. </w:t>
      </w:r>
    </w:p>
    <w:p w:rsidRPr="008B4D62" w:rsidR="008B4D62" w:rsidP="008B4D62" w:rsidRDefault="008B4D62" w14:paraId="425A2722" w14:textId="77777777">
      <w:pPr>
        <w:pStyle w:val="Default"/>
        <w:jc w:val="both"/>
        <w:rPr>
          <w:rFonts w:ascii="Times New Roman" w:hAnsi="Times New Roman" w:cs="Times New Roman"/>
        </w:rPr>
      </w:pPr>
    </w:p>
    <w:p w:rsidRPr="008B4D62" w:rsidR="008B4D62" w:rsidP="008B4D62" w:rsidRDefault="008B4D62" w14:paraId="179C1387" w14:textId="77777777">
      <w:pPr>
        <w:jc w:val="both"/>
        <w:rPr>
          <w:rFonts w:ascii="Times New Roman" w:hAnsi="Times New Roman" w:cs="Times New Roman"/>
          <w:sz w:val="24"/>
          <w:szCs w:val="24"/>
          <w:lang w:val="es-PE"/>
        </w:rPr>
      </w:pPr>
      <w:r w:rsidRPr="008B4D62">
        <w:rPr>
          <w:rFonts w:ascii="Times New Roman" w:hAnsi="Times New Roman" w:cs="Times New Roman"/>
          <w:b/>
          <w:sz w:val="24"/>
          <w:szCs w:val="24"/>
          <w:u w:val="single"/>
          <w:lang w:val="es-PE"/>
        </w:rPr>
        <w:t>TERCERO</w:t>
      </w:r>
      <w:r w:rsidRPr="008B4D62">
        <w:rPr>
          <w:rFonts w:ascii="Times New Roman" w:hAnsi="Times New Roman" w:cs="Times New Roman"/>
          <w:b/>
          <w:sz w:val="24"/>
          <w:szCs w:val="24"/>
          <w:lang w:val="es-PE"/>
        </w:rPr>
        <w:t>:</w:t>
      </w:r>
      <w:r w:rsidRPr="008B4D62">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Pr="008B4D62" w:rsidR="008B4D62" w:rsidP="008B4D62" w:rsidRDefault="008B4D62" w14:paraId="59A5E328" w14:textId="77777777">
      <w:pPr>
        <w:jc w:val="both"/>
        <w:rPr>
          <w:rFonts w:ascii="Times New Roman" w:hAnsi="Times New Roman" w:cs="Times New Roman"/>
          <w:b/>
          <w:sz w:val="24"/>
          <w:szCs w:val="24"/>
          <w:lang w:val="es-PE"/>
        </w:rPr>
      </w:pPr>
      <w:r w:rsidRPr="008B4D62">
        <w:rPr>
          <w:rFonts w:ascii="Times New Roman" w:hAnsi="Times New Roman" w:cs="Times New Roman"/>
          <w:b/>
          <w:sz w:val="24"/>
          <w:szCs w:val="24"/>
          <w:lang w:val="es-PE"/>
        </w:rPr>
        <w:t>ATENDIENDO A LO EXPRESADO, CONFORME A SU REGLAMENTO, ESTE COLEGIADO RESUELVE:</w:t>
      </w:r>
    </w:p>
    <w:p w:rsidRPr="008B4D62" w:rsidR="008B4D62" w:rsidP="48043AC1" w:rsidRDefault="008B4D62" w14:paraId="4C084973" w14:textId="41FB5CAC">
      <w:pPr>
        <w:pStyle w:val="Default"/>
        <w:jc w:val="both"/>
        <w:rPr>
          <w:rFonts w:ascii="Times New Roman" w:hAnsi="Times New Roman" w:cs="Times New Roman"/>
          <w:b w:val="1"/>
          <w:bCs w:val="1"/>
        </w:rPr>
      </w:pPr>
      <w:r w:rsidRPr="48043AC1" w:rsidR="008B4D62">
        <w:rPr>
          <w:rFonts w:ascii="Times New Roman" w:hAnsi="Times New Roman" w:cs="Times New Roman"/>
          <w:b w:val="1"/>
          <w:bCs w:val="1"/>
        </w:rPr>
        <w:t xml:space="preserve">DECLARAR INFUNDADO </w:t>
      </w:r>
      <w:r w:rsidRPr="48043AC1" w:rsidR="008B4D62">
        <w:rPr>
          <w:rFonts w:ascii="Times New Roman" w:hAnsi="Times New Roman" w:cs="Times New Roman"/>
        </w:rPr>
        <w:t>el recurso de impugnación interpuesto por</w:t>
      </w:r>
      <w:r w:rsidRPr="48043AC1" w:rsidR="008B4D62">
        <w:rPr>
          <w:rFonts w:ascii="Times New Roman" w:hAnsi="Times New Roman" w:cs="Times New Roman"/>
          <w:b w:val="1"/>
          <w:bCs w:val="1"/>
        </w:rPr>
        <w:t xml:space="preserve"> </w:t>
      </w:r>
      <w:r w:rsidRPr="48043AC1" w:rsidR="512E273D">
        <w:rPr>
          <w:rFonts w:ascii="Times New Roman" w:hAnsi="Times New Roman" w:cs="Times New Roman"/>
          <w:b w:val="1"/>
          <w:bCs w:val="1"/>
        </w:rPr>
        <w:t>...................................</w:t>
      </w:r>
      <w:r w:rsidRPr="48043AC1" w:rsidR="008B4D62">
        <w:rPr>
          <w:rFonts w:ascii="Times New Roman" w:hAnsi="Times New Roman" w:cs="Times New Roman"/>
          <w:b w:val="1"/>
          <w:bCs w:val="1"/>
        </w:rPr>
        <w:t xml:space="preserve"> </w:t>
      </w:r>
      <w:r w:rsidRPr="48043AC1" w:rsidR="008B4D62">
        <w:rPr>
          <w:rFonts w:ascii="Times New Roman" w:hAnsi="Times New Roman" w:cs="Times New Roman"/>
        </w:rPr>
        <w:t>y, por consiguiente,</w:t>
      </w:r>
      <w:r w:rsidRPr="48043AC1" w:rsidR="008B4D62">
        <w:rPr>
          <w:rFonts w:ascii="Times New Roman" w:hAnsi="Times New Roman" w:cs="Times New Roman"/>
          <w:b w:val="1"/>
          <w:bCs w:val="1"/>
        </w:rPr>
        <w:t xml:space="preserve"> CONFIRMAR la Resolución </w:t>
      </w:r>
      <w:r w:rsidRPr="48043AC1" w:rsidR="008B4D62">
        <w:rPr>
          <w:rFonts w:ascii="Times New Roman" w:hAnsi="Times New Roman" w:cs="Times New Roman"/>
          <w:b w:val="1"/>
          <w:bCs w:val="1"/>
        </w:rPr>
        <w:t>N°</w:t>
      </w:r>
      <w:r w:rsidRPr="48043AC1" w:rsidR="008B4D62">
        <w:rPr>
          <w:rFonts w:ascii="Times New Roman" w:hAnsi="Times New Roman" w:cs="Times New Roman"/>
          <w:b w:val="1"/>
          <w:bCs w:val="1"/>
        </w:rPr>
        <w:t xml:space="preserve"> 165/22</w:t>
      </w:r>
      <w:r w:rsidRPr="48043AC1" w:rsidR="008B4D62">
        <w:rPr>
          <w:rFonts w:ascii="Times New Roman" w:hAnsi="Times New Roman" w:cs="Times New Roman"/>
          <w:b w:val="1"/>
          <w:bCs w:val="1"/>
          <w:lang w:val="es-MX"/>
        </w:rPr>
        <w:t>.</w:t>
      </w:r>
    </w:p>
    <w:p w:rsidRPr="008B4D62" w:rsidR="005A7259" w:rsidP="00F36CA9" w:rsidRDefault="005A7259" w14:paraId="2813A898" w14:textId="77777777">
      <w:pPr>
        <w:pStyle w:val="Default"/>
        <w:jc w:val="both"/>
        <w:rPr>
          <w:rFonts w:ascii="Times New Roman" w:hAnsi="Times New Roman" w:cs="Times New Roman"/>
          <w:b/>
        </w:rPr>
      </w:pPr>
    </w:p>
    <w:p w:rsidRPr="008B4D62" w:rsidR="00C173A8" w:rsidP="00092C2E" w:rsidRDefault="00C173A8" w14:paraId="21EFD7D3" w14:textId="5153B18D">
      <w:pPr>
        <w:suppressAutoHyphens/>
        <w:spacing w:after="0" w:line="240" w:lineRule="auto"/>
        <w:jc w:val="right"/>
        <w:outlineLvl w:val="0"/>
        <w:rPr>
          <w:rFonts w:ascii="Times New Roman" w:hAnsi="Times New Roman" w:eastAsia="Arial Unicode MS" w:cs="Times New Roman"/>
          <w:sz w:val="24"/>
          <w:szCs w:val="24"/>
          <w:lang w:val="es-PE" w:eastAsia="ar-SA"/>
        </w:rPr>
      </w:pPr>
      <w:r w:rsidRPr="008B4D62">
        <w:rPr>
          <w:rFonts w:ascii="Times New Roman" w:hAnsi="Times New Roman" w:eastAsia="Arial Unicode MS" w:cs="Times New Roman"/>
          <w:sz w:val="24"/>
          <w:szCs w:val="24"/>
          <w:lang w:val="es-PE" w:eastAsia="ar-SA"/>
        </w:rPr>
        <w:t xml:space="preserve">Lima, </w:t>
      </w:r>
      <w:r w:rsidRPr="008B4D62" w:rsidR="00AA7BD7">
        <w:rPr>
          <w:rFonts w:ascii="Times New Roman" w:hAnsi="Times New Roman" w:eastAsia="Arial Unicode MS" w:cs="Times New Roman"/>
          <w:sz w:val="24"/>
          <w:szCs w:val="24"/>
          <w:lang w:val="es-PE" w:eastAsia="ar-SA"/>
        </w:rPr>
        <w:t>12</w:t>
      </w:r>
      <w:r w:rsidRPr="008B4D62" w:rsidR="005669AF">
        <w:rPr>
          <w:rFonts w:ascii="Times New Roman" w:hAnsi="Times New Roman" w:eastAsia="Arial Unicode MS" w:cs="Times New Roman"/>
          <w:sz w:val="24"/>
          <w:szCs w:val="24"/>
          <w:lang w:val="es-PE" w:eastAsia="ar-SA"/>
        </w:rPr>
        <w:t xml:space="preserve"> </w:t>
      </w:r>
      <w:r w:rsidRPr="008B4D62">
        <w:rPr>
          <w:rFonts w:ascii="Times New Roman" w:hAnsi="Times New Roman" w:eastAsia="Arial Unicode MS" w:cs="Times New Roman"/>
          <w:sz w:val="24"/>
          <w:szCs w:val="24"/>
          <w:lang w:val="es-PE" w:eastAsia="ar-SA"/>
        </w:rPr>
        <w:t xml:space="preserve">de </w:t>
      </w:r>
      <w:r w:rsidRPr="008B4D62" w:rsidR="005669AF">
        <w:rPr>
          <w:rFonts w:ascii="Times New Roman" w:hAnsi="Times New Roman" w:eastAsia="Arial Unicode MS" w:cs="Times New Roman"/>
          <w:sz w:val="24"/>
          <w:szCs w:val="24"/>
          <w:lang w:val="es-PE" w:eastAsia="ar-SA"/>
        </w:rPr>
        <w:t>septiembre</w:t>
      </w:r>
      <w:r w:rsidRPr="008B4D62">
        <w:rPr>
          <w:rFonts w:ascii="Times New Roman" w:hAnsi="Times New Roman" w:eastAsia="Arial Unicode MS" w:cs="Times New Roman"/>
          <w:sz w:val="24"/>
          <w:szCs w:val="24"/>
          <w:lang w:val="es-PE" w:eastAsia="ar-SA"/>
        </w:rPr>
        <w:t xml:space="preserve"> de 2022</w:t>
      </w:r>
      <w:r w:rsidRPr="008B4D62">
        <w:rPr>
          <w:rFonts w:ascii="Times New Roman" w:hAnsi="Times New Roman" w:eastAsia="Times New Roman" w:cs="Times New Roman"/>
          <w:sz w:val="24"/>
          <w:szCs w:val="24"/>
          <w:lang w:val="es-PE" w:eastAsia="ar-SA"/>
        </w:rPr>
        <w:t xml:space="preserve"> </w:t>
      </w:r>
    </w:p>
    <w:p w:rsidRPr="008B4D62"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8B4D62"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8B4D6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8B4D62" w:rsidR="0008494F" w:rsidP="00C5766A" w:rsidRDefault="0008494F" w14:paraId="5A4AC9FA" w14:textId="345ACCC6">
      <w:pPr>
        <w:spacing w:after="0" w:line="240" w:lineRule="auto"/>
        <w:jc w:val="both"/>
        <w:rPr>
          <w:rFonts w:ascii="Times New Roman" w:hAnsi="Times New Roman" w:cs="Times New Roman"/>
          <w:b/>
          <w:bCs/>
          <w:i/>
          <w:iCs/>
          <w:sz w:val="24"/>
          <w:szCs w:val="24"/>
          <w:lang w:val="es-PE"/>
        </w:rPr>
      </w:pPr>
    </w:p>
    <w:p w:rsidRPr="008B4D62" w:rsidR="00222F44" w:rsidP="00222F44" w:rsidRDefault="00222F44" w14:paraId="1A6E8C1E" w14:textId="0A5565B4">
      <w:pPr>
        <w:spacing w:after="0" w:line="360" w:lineRule="auto"/>
        <w:jc w:val="center"/>
        <w:rPr>
          <w:rFonts w:ascii="Times New Roman" w:hAnsi="Times New Roman" w:cs="Times New Roman"/>
          <w:b/>
          <w:bCs/>
          <w:sz w:val="24"/>
          <w:szCs w:val="24"/>
          <w:lang w:val="es-PE"/>
        </w:rPr>
      </w:pPr>
      <w:r w:rsidRPr="008B4D62">
        <w:rPr>
          <w:rFonts w:ascii="Times New Roman" w:hAnsi="Times New Roman" w:cs="Times New Roman"/>
          <w:b/>
          <w:bCs/>
          <w:sz w:val="24"/>
          <w:szCs w:val="24"/>
          <w:lang w:val="es-PE"/>
        </w:rPr>
        <w:t>Rolando Eyzaguirre Maccan – Presidente</w:t>
      </w:r>
    </w:p>
    <w:p w:rsidRPr="008B4D62" w:rsidR="00222F44" w:rsidP="00222F44" w:rsidRDefault="00222F44" w14:paraId="6F457479" w14:textId="4204CEC4">
      <w:pPr>
        <w:spacing w:after="0" w:line="360" w:lineRule="auto"/>
        <w:jc w:val="center"/>
        <w:rPr>
          <w:rFonts w:ascii="Times New Roman" w:hAnsi="Times New Roman" w:cs="Times New Roman"/>
          <w:b/>
          <w:bCs/>
          <w:sz w:val="24"/>
          <w:szCs w:val="24"/>
          <w:lang w:val="es-PE"/>
        </w:rPr>
      </w:pPr>
      <w:r w:rsidRPr="008B4D62">
        <w:rPr>
          <w:rFonts w:ascii="Times New Roman" w:hAnsi="Times New Roman" w:cs="Times New Roman"/>
          <w:b/>
          <w:bCs/>
          <w:sz w:val="24"/>
          <w:szCs w:val="24"/>
          <w:lang w:val="es-PE"/>
        </w:rPr>
        <w:t>María Eugenia Valdez Fernández Baca – Vocal</w:t>
      </w:r>
    </w:p>
    <w:p w:rsidRPr="008B4D62" w:rsidR="001B1998" w:rsidP="001B1998" w:rsidRDefault="001B1998" w14:paraId="4E9466D5" w14:textId="710F47AB">
      <w:pPr>
        <w:spacing w:after="0" w:line="360" w:lineRule="auto"/>
        <w:jc w:val="center"/>
        <w:rPr>
          <w:rFonts w:ascii="Times New Roman" w:hAnsi="Times New Roman" w:cs="Times New Roman"/>
          <w:b/>
          <w:bCs/>
          <w:sz w:val="24"/>
          <w:szCs w:val="24"/>
          <w:lang w:val="es-PE"/>
        </w:rPr>
      </w:pPr>
      <w:r w:rsidRPr="008B4D62">
        <w:rPr>
          <w:rFonts w:ascii="Times New Roman" w:hAnsi="Times New Roman" w:cs="Times New Roman"/>
          <w:b/>
          <w:bCs/>
          <w:sz w:val="24"/>
          <w:szCs w:val="24"/>
          <w:lang w:val="es-PE"/>
        </w:rPr>
        <w:t xml:space="preserve">Marco Antonio Ortega Piana – </w:t>
      </w:r>
      <w:r w:rsidRPr="008B4D62" w:rsidR="00222F44">
        <w:rPr>
          <w:rFonts w:ascii="Times New Roman" w:hAnsi="Times New Roman" w:cs="Times New Roman"/>
          <w:b/>
          <w:bCs/>
          <w:sz w:val="24"/>
          <w:szCs w:val="24"/>
          <w:lang w:val="es-PE"/>
        </w:rPr>
        <w:t>Vocal</w:t>
      </w:r>
    </w:p>
    <w:p w:rsidRPr="008B4D62"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8B4D62">
        <w:rPr>
          <w:rFonts w:ascii="Times New Roman" w:hAnsi="Times New Roman" w:cs="Times New Roman"/>
          <w:b/>
          <w:bCs/>
          <w:sz w:val="24"/>
          <w:szCs w:val="24"/>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6276" w:rsidP="00784355" w:rsidRDefault="00016276" w14:paraId="45A67B0C" w14:textId="77777777">
      <w:pPr>
        <w:spacing w:after="0" w:line="240" w:lineRule="auto"/>
      </w:pPr>
      <w:r>
        <w:separator/>
      </w:r>
    </w:p>
  </w:endnote>
  <w:endnote w:type="continuationSeparator" w:id="0">
    <w:p w:rsidR="00016276" w:rsidP="00784355" w:rsidRDefault="00016276" w14:paraId="77D5AB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6276" w:rsidP="00784355" w:rsidRDefault="00016276" w14:paraId="265D5974" w14:textId="77777777">
      <w:pPr>
        <w:spacing w:after="0" w:line="240" w:lineRule="auto"/>
      </w:pPr>
      <w:r>
        <w:separator/>
      </w:r>
    </w:p>
  </w:footnote>
  <w:footnote w:type="continuationSeparator" w:id="0">
    <w:p w:rsidR="00016276" w:rsidP="00784355" w:rsidRDefault="00016276" w14:paraId="5EA5B0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913"/>
    <w:rsid w:val="00005B96"/>
    <w:rsid w:val="00010987"/>
    <w:rsid w:val="00013057"/>
    <w:rsid w:val="000159CC"/>
    <w:rsid w:val="00015C22"/>
    <w:rsid w:val="00015D27"/>
    <w:rsid w:val="00016276"/>
    <w:rsid w:val="000167E0"/>
    <w:rsid w:val="000235E9"/>
    <w:rsid w:val="0002637D"/>
    <w:rsid w:val="0002733C"/>
    <w:rsid w:val="00027978"/>
    <w:rsid w:val="000349E7"/>
    <w:rsid w:val="00034DBD"/>
    <w:rsid w:val="000365E3"/>
    <w:rsid w:val="00041AE2"/>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039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024"/>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0641"/>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71A"/>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259"/>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39AF"/>
    <w:rsid w:val="00676532"/>
    <w:rsid w:val="00680D8A"/>
    <w:rsid w:val="00686BB2"/>
    <w:rsid w:val="006878E1"/>
    <w:rsid w:val="00687A1B"/>
    <w:rsid w:val="0069304A"/>
    <w:rsid w:val="00697D6C"/>
    <w:rsid w:val="006A6332"/>
    <w:rsid w:val="006B1DCF"/>
    <w:rsid w:val="006B5CAE"/>
    <w:rsid w:val="006C1A65"/>
    <w:rsid w:val="006C29A7"/>
    <w:rsid w:val="006C31AD"/>
    <w:rsid w:val="006C6261"/>
    <w:rsid w:val="006D2BA9"/>
    <w:rsid w:val="006D397E"/>
    <w:rsid w:val="006E2366"/>
    <w:rsid w:val="006E4547"/>
    <w:rsid w:val="006E5783"/>
    <w:rsid w:val="006E698A"/>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B4D62"/>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3363D"/>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A7BD7"/>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375C8"/>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46A6"/>
    <w:rsid w:val="00F06498"/>
    <w:rsid w:val="00F11E0A"/>
    <w:rsid w:val="00F11F10"/>
    <w:rsid w:val="00F13013"/>
    <w:rsid w:val="00F14F22"/>
    <w:rsid w:val="00F15C12"/>
    <w:rsid w:val="00F16540"/>
    <w:rsid w:val="00F16CF9"/>
    <w:rsid w:val="00F20B09"/>
    <w:rsid w:val="00F3335E"/>
    <w:rsid w:val="00F349E0"/>
    <w:rsid w:val="00F36CA9"/>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E0A90EB"/>
    <w:rsid w:val="1AABA896"/>
    <w:rsid w:val="41C8117A"/>
    <w:rsid w:val="48043AC1"/>
    <w:rsid w:val="512E273D"/>
    <w:rsid w:val="7158D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08973059">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5117889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32538055">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ACD6CE9-058B-4BBF-88DA-063BD6D53828}"/>
</file>

<file path=customXml/itemProps3.xml><?xml version="1.0" encoding="utf-8"?>
<ds:datastoreItem xmlns:ds="http://schemas.openxmlformats.org/officeDocument/2006/customXml" ds:itemID="{C2C5DA82-7F48-4FCE-BEAD-5B168C5B1A58}"/>
</file>

<file path=customXml/itemProps4.xml><?xml version="1.0" encoding="utf-8"?>
<ds:datastoreItem xmlns:ds="http://schemas.openxmlformats.org/officeDocument/2006/customXml" ds:itemID="{FF623F85-3763-46DA-AEAD-910913055D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247</cp:revision>
  <cp:lastPrinted>2022-09-12T14:49:00Z</cp:lastPrinted>
  <dcterms:created xsi:type="dcterms:W3CDTF">2020-12-18T20:17:00Z</dcterms:created>
  <dcterms:modified xsi:type="dcterms:W3CDTF">2025-12-01T21:15:52Z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