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03FDF" w:rsidR="00B10F71" w:rsidP="00041B86" w:rsidRDefault="00201C0D" w14:paraId="51974F0B" w14:textId="2804C6B7">
      <w:pPr>
        <w:spacing w:after="0" w:line="240" w:lineRule="auto"/>
        <w:jc w:val="center"/>
        <w:rPr>
          <w:rFonts w:ascii="Times New Roman" w:hAnsi="Times New Roman" w:cs="Times New Roman"/>
          <w:b/>
          <w:sz w:val="23"/>
          <w:szCs w:val="23"/>
          <w:lang w:val="es-PE" w:eastAsia="ar-SA"/>
        </w:rPr>
      </w:pPr>
      <w:r w:rsidRPr="00003FDF">
        <w:rPr>
          <w:rFonts w:ascii="Times New Roman" w:hAnsi="Times New Roman" w:cs="Times New Roman"/>
          <w:b/>
          <w:sz w:val="23"/>
          <w:szCs w:val="23"/>
          <w:lang w:val="es-PE" w:eastAsia="ar-SA"/>
        </w:rPr>
        <w:t xml:space="preserve">RESOLUCIÓN DE RECURSO IMPUGNATIVO </w:t>
      </w:r>
      <w:proofErr w:type="spellStart"/>
      <w:r w:rsidRPr="00003FDF" w:rsidR="00707C99">
        <w:rPr>
          <w:rFonts w:ascii="Times New Roman" w:hAnsi="Times New Roman" w:cs="Times New Roman"/>
          <w:b/>
          <w:sz w:val="23"/>
          <w:szCs w:val="23"/>
          <w:lang w:val="es-PE" w:eastAsia="ar-SA"/>
        </w:rPr>
        <w:t>N°</w:t>
      </w:r>
      <w:proofErr w:type="spellEnd"/>
      <w:r w:rsidRPr="00003FDF" w:rsidR="00707C99">
        <w:rPr>
          <w:rFonts w:ascii="Times New Roman" w:hAnsi="Times New Roman" w:cs="Times New Roman"/>
          <w:b/>
          <w:sz w:val="23"/>
          <w:szCs w:val="23"/>
          <w:lang w:val="es-PE" w:eastAsia="ar-SA"/>
        </w:rPr>
        <w:t xml:space="preserve"> </w:t>
      </w:r>
      <w:r w:rsidRPr="00003FDF" w:rsidR="00C671F5">
        <w:rPr>
          <w:rFonts w:ascii="Times New Roman" w:hAnsi="Times New Roman" w:cs="Times New Roman"/>
          <w:b/>
          <w:sz w:val="23"/>
          <w:szCs w:val="23"/>
          <w:lang w:val="es-PE" w:eastAsia="ar-SA"/>
        </w:rPr>
        <w:t>0</w:t>
      </w:r>
      <w:r w:rsidRPr="00003FDF" w:rsidR="009D5E36">
        <w:rPr>
          <w:rFonts w:ascii="Times New Roman" w:hAnsi="Times New Roman" w:cs="Times New Roman"/>
          <w:b/>
          <w:sz w:val="23"/>
          <w:szCs w:val="23"/>
          <w:lang w:val="es-PE" w:eastAsia="ar-SA"/>
        </w:rPr>
        <w:t>6</w:t>
      </w:r>
      <w:r w:rsidRPr="00003FDF" w:rsidR="00AB3C57">
        <w:rPr>
          <w:rFonts w:ascii="Times New Roman" w:hAnsi="Times New Roman" w:cs="Times New Roman"/>
          <w:b/>
          <w:sz w:val="23"/>
          <w:szCs w:val="23"/>
          <w:lang w:val="es-PE" w:eastAsia="ar-SA"/>
        </w:rPr>
        <w:t>9</w:t>
      </w:r>
      <w:r w:rsidRPr="00003FDF" w:rsidR="00C671F5">
        <w:rPr>
          <w:rFonts w:ascii="Times New Roman" w:hAnsi="Times New Roman" w:cs="Times New Roman"/>
          <w:b/>
          <w:sz w:val="23"/>
          <w:szCs w:val="23"/>
          <w:lang w:val="es-PE" w:eastAsia="ar-SA"/>
        </w:rPr>
        <w:t>/2</w:t>
      </w:r>
      <w:r w:rsidRPr="00003FDF" w:rsidR="00B93C7A">
        <w:rPr>
          <w:rFonts w:ascii="Times New Roman" w:hAnsi="Times New Roman" w:cs="Times New Roman"/>
          <w:b/>
          <w:sz w:val="23"/>
          <w:szCs w:val="23"/>
          <w:lang w:val="es-PE" w:eastAsia="ar-SA"/>
        </w:rPr>
        <w:t>2</w:t>
      </w:r>
    </w:p>
    <w:p w:rsidRPr="00003FDF"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3"/>
          <w:szCs w:val="23"/>
          <w:lang w:val="es-PE" w:eastAsia="ar-SA"/>
        </w:rPr>
      </w:pPr>
    </w:p>
    <w:p w:rsidRPr="00003FDF" w:rsidR="00003FDF" w:rsidP="00003FDF" w:rsidRDefault="00003FDF" w14:paraId="5F79B764" w14:textId="77777777">
      <w:pPr>
        <w:jc w:val="both"/>
        <w:outlineLvl w:val="0"/>
        <w:rPr>
          <w:rFonts w:ascii="Times New Roman" w:hAnsi="Times New Roman" w:cs="Times New Roman"/>
          <w:b/>
          <w:bCs/>
          <w:sz w:val="23"/>
          <w:szCs w:val="23"/>
          <w:lang w:val="es-MX"/>
        </w:rPr>
      </w:pPr>
      <w:r w:rsidRPr="00003FDF">
        <w:rPr>
          <w:rFonts w:ascii="Times New Roman" w:hAnsi="Times New Roman" w:cs="Times New Roman"/>
          <w:b/>
          <w:bCs/>
          <w:sz w:val="23"/>
          <w:szCs w:val="23"/>
          <w:lang w:val="es-MX"/>
        </w:rPr>
        <w:t>VISTOS:</w:t>
      </w:r>
    </w:p>
    <w:p w:rsidRPr="00003FDF" w:rsidR="00003FDF" w:rsidP="00003FDF" w:rsidRDefault="00003FDF" w14:paraId="5B7D6386" w14:textId="23AF2E51">
      <w:pPr>
        <w:spacing w:line="276" w:lineRule="auto"/>
        <w:jc w:val="both"/>
        <w:rPr>
          <w:rFonts w:ascii="Times New Roman" w:hAnsi="Times New Roman" w:cs="Times New Roman"/>
          <w:sz w:val="23"/>
          <w:szCs w:val="23"/>
          <w:lang w:val="es-MX"/>
        </w:rPr>
      </w:pPr>
      <w:r w:rsidRPr="31C2B270" w:rsidR="00003FDF">
        <w:rPr>
          <w:rFonts w:ascii="Times New Roman" w:hAnsi="Times New Roman" w:cs="Times New Roman"/>
          <w:sz w:val="23"/>
          <w:szCs w:val="23"/>
          <w:lang w:val="es-PE"/>
        </w:rPr>
        <w:t xml:space="preserve">El recurso de impugnación presentado por </w:t>
      </w:r>
      <w:r w:rsidRPr="31C2B270" w:rsidR="33A3D899">
        <w:rPr>
          <w:rFonts w:ascii="Times New Roman" w:hAnsi="Times New Roman" w:cs="Times New Roman"/>
          <w:b w:val="1"/>
          <w:bCs w:val="1"/>
          <w:sz w:val="23"/>
          <w:szCs w:val="23"/>
          <w:lang w:val="es-MX"/>
        </w:rPr>
        <w:t>...................................</w:t>
      </w:r>
      <w:r w:rsidRPr="31C2B270" w:rsidR="00003FDF">
        <w:rPr>
          <w:rFonts w:ascii="Times New Roman" w:hAnsi="Times New Roman" w:cs="Times New Roman"/>
          <w:sz w:val="23"/>
          <w:szCs w:val="23"/>
          <w:lang w:val="es-PE"/>
        </w:rPr>
        <w:t xml:space="preserve"> respecto de la Resolución Nro. 172/22, expedida por el Órgano Resolutivo Unipersonal de esta Defensoría del Asegurado (DEFASEG), conforme a la cual se declaró FUNDADA la reclamación interpuesta por </w:t>
      </w:r>
      <w:r w:rsidRPr="31C2B270" w:rsidR="4BACAF42">
        <w:rPr>
          <w:rFonts w:ascii="Times New Roman" w:hAnsi="Times New Roman" w:cs="Times New Roman"/>
          <w:b w:val="1"/>
          <w:bCs w:val="1"/>
          <w:sz w:val="23"/>
          <w:szCs w:val="23"/>
          <w:lang w:val="es-PE"/>
        </w:rPr>
        <w:t>...................................</w:t>
      </w:r>
      <w:r w:rsidRPr="31C2B270" w:rsidR="00003FDF">
        <w:rPr>
          <w:rFonts w:ascii="Times New Roman" w:hAnsi="Times New Roman" w:cs="Times New Roman"/>
          <w:b w:val="1"/>
          <w:bCs w:val="1"/>
          <w:sz w:val="23"/>
          <w:szCs w:val="23"/>
          <w:lang w:val="es-PE"/>
        </w:rPr>
        <w:t xml:space="preserve"> </w:t>
      </w:r>
      <w:r w:rsidRPr="31C2B270" w:rsidR="00003FDF">
        <w:rPr>
          <w:rFonts w:ascii="Times New Roman" w:hAnsi="Times New Roman" w:cs="Times New Roman"/>
          <w:sz w:val="23"/>
          <w:szCs w:val="23"/>
          <w:lang w:val="es-PE"/>
        </w:rPr>
        <w:t xml:space="preserve">respecto al </w:t>
      </w:r>
      <w:r w:rsidRPr="31C2B270" w:rsidR="00003FDF">
        <w:rPr>
          <w:rFonts w:ascii="Times New Roman" w:hAnsi="Times New Roman" w:cs="Times New Roman"/>
          <w:b w:val="1"/>
          <w:bCs w:val="1"/>
          <w:sz w:val="23"/>
          <w:szCs w:val="23"/>
          <w:lang w:val="es-MX"/>
        </w:rPr>
        <w:t>SEGURO DE PROTECCIÓN DE TARJETA- PÓLIZA</w:t>
      </w:r>
      <w:r w:rsidRPr="31C2B270" w:rsidR="00003FDF">
        <w:rPr>
          <w:rFonts w:ascii="Times New Roman" w:hAnsi="Times New Roman" w:cs="Times New Roman"/>
          <w:b w:val="1"/>
          <w:bCs w:val="1"/>
          <w:sz w:val="23"/>
          <w:szCs w:val="23"/>
          <w:lang w:val="es-PE"/>
        </w:rPr>
        <w:t xml:space="preserve"> </w:t>
      </w:r>
      <w:r w:rsidRPr="31C2B270" w:rsidR="66EF815C">
        <w:rPr>
          <w:rFonts w:ascii="Times New Roman" w:hAnsi="Times New Roman" w:cs="Times New Roman"/>
          <w:b w:val="1"/>
          <w:bCs w:val="1"/>
          <w:sz w:val="23"/>
          <w:szCs w:val="23"/>
          <w:lang w:val="es-PE"/>
        </w:rPr>
        <w:t>............................</w:t>
      </w:r>
      <w:r w:rsidRPr="31C2B270" w:rsidR="00003FDF">
        <w:rPr>
          <w:rFonts w:ascii="Times New Roman" w:hAnsi="Times New Roman" w:cs="Times New Roman"/>
          <w:sz w:val="23"/>
          <w:szCs w:val="23"/>
          <w:lang w:val="es-MX"/>
        </w:rPr>
        <w:t>.</w:t>
      </w:r>
    </w:p>
    <w:p w:rsidRPr="00003FDF" w:rsidR="00003FDF" w:rsidP="00003FDF" w:rsidRDefault="00003FDF" w14:paraId="745FF09B" w14:textId="3D2D1F8F">
      <w:pPr>
        <w:pStyle w:val="Textoindependiente"/>
        <w:rPr>
          <w:sz w:val="23"/>
          <w:szCs w:val="23"/>
        </w:rPr>
      </w:pPr>
      <w:r w:rsidRPr="31C2B270" w:rsidR="00003FDF">
        <w:rPr>
          <w:sz w:val="23"/>
          <w:szCs w:val="23"/>
        </w:rPr>
        <w:t xml:space="preserve">Que, el indicado recurso se sustenta resumidamente en lo siguiente: a) El pronunciamiento emitido no se basa en una debida valoración de los medios probatorios y argumentos aportados por nuestra Compañía; b) conforme a lo señalado en nuestros descargos, la reclamante manifiesta haber sido víctima del hurto de un monto ascendente a S/ 1,890 soles de su tarjeta del Banco </w:t>
      </w:r>
      <w:r w:rsidRPr="31C2B270" w:rsidR="42348CF4">
        <w:rPr>
          <w:sz w:val="23"/>
          <w:szCs w:val="23"/>
        </w:rPr>
        <w:t>.................</w:t>
      </w:r>
      <w:r w:rsidRPr="31C2B270" w:rsidR="00003FDF">
        <w:rPr>
          <w:sz w:val="23"/>
          <w:szCs w:val="23"/>
        </w:rPr>
        <w:t xml:space="preserve">.  Es por ello por lo que, mediante Carta del 18 de julio de 2022, </w:t>
      </w:r>
      <w:r w:rsidRPr="31C2B270" w:rsidR="5E13DAB2">
        <w:rPr>
          <w:sz w:val="23"/>
          <w:szCs w:val="23"/>
        </w:rPr>
        <w:t>.........................................</w:t>
      </w:r>
      <w:r w:rsidRPr="31C2B270" w:rsidR="00003FDF">
        <w:rPr>
          <w:sz w:val="23"/>
          <w:szCs w:val="23"/>
        </w:rPr>
        <w:t xml:space="preserve"> rechazó el reclamo de la reclamante, puesto que, para que el Seguro cubra el siniestro, debía acreditarse el uso indebido de su tarjeta. El Banco constató que las operaciones supuestamente no reconocidas fueron efectuadas con presencia de todas las medidas de seguridad, lo cual no hubiese sido posible si es que la reclamante hubiese sido víctima del robo o hurto de su tarjeta; c) el Seguro de Protección de Tarjetas brinda la seguridad de proteger las tarjetas del consumidor ante el uso indebido de ellas, falsificación de identidad, uso forzado, hurto de retiros en cajeros  automáticos y compras fraudulentas por internet, siempre y cuando se  cumpla con las obligaciones estipuladas para activar su cobertura, las mismas que se encuentran detalladas en la Póliza de Seguros contratada por cada Cliente; d)  el supuesto de cobertura </w:t>
      </w:r>
      <w:r w:rsidRPr="31C2B270" w:rsidR="00003FDF">
        <w:rPr>
          <w:sz w:val="23"/>
          <w:szCs w:val="23"/>
        </w:rPr>
        <w:t>N°</w:t>
      </w:r>
      <w:r w:rsidRPr="31C2B270" w:rsidR="00003FDF">
        <w:rPr>
          <w:sz w:val="23"/>
          <w:szCs w:val="23"/>
        </w:rPr>
        <w:t xml:space="preserve"> 4 (Uso indebido por Compra fraudulenta vía internet); es importante señalar que, en el supuesto de cobertura </w:t>
      </w:r>
      <w:r w:rsidRPr="31C2B270" w:rsidR="00003FDF">
        <w:rPr>
          <w:sz w:val="23"/>
          <w:szCs w:val="23"/>
        </w:rPr>
        <w:t>N°</w:t>
      </w:r>
      <w:r w:rsidRPr="31C2B270" w:rsidR="00003FDF">
        <w:rPr>
          <w:sz w:val="23"/>
          <w:szCs w:val="23"/>
        </w:rPr>
        <w:t xml:space="preserve"> 4, sobre la cual la reclamante ha solicitado cobertura, debe demostrarse que el siniestro haya sido causado utilizando la tarjeta de crédito y/o débito </w:t>
      </w:r>
      <w:r w:rsidRPr="31C2B270" w:rsidR="42348CF4">
        <w:rPr>
          <w:sz w:val="23"/>
          <w:szCs w:val="23"/>
        </w:rPr>
        <w:t>.................</w:t>
      </w:r>
      <w:r w:rsidRPr="31C2B270" w:rsidR="00003FDF">
        <w:rPr>
          <w:sz w:val="23"/>
          <w:szCs w:val="23"/>
        </w:rPr>
        <w:t>. Para que se pueda aplicar la cobertura para casos de compras fraudulentas, no basta que solamente haya una ausencia de autorización o consentimiento del titular a la hora de realizar</w:t>
      </w:r>
    </w:p>
    <w:p w:rsidRPr="00003FDF" w:rsidR="00003FDF" w:rsidP="00003FDF" w:rsidRDefault="00003FDF" w14:paraId="1F9E5DDA" w14:textId="4ABF5233">
      <w:pPr>
        <w:pStyle w:val="Textoindependiente"/>
        <w:rPr>
          <w:sz w:val="23"/>
          <w:szCs w:val="23"/>
        </w:rPr>
      </w:pPr>
      <w:r w:rsidRPr="31C2B270" w:rsidR="00003FDF">
        <w:rPr>
          <w:sz w:val="23"/>
          <w:szCs w:val="23"/>
        </w:rPr>
        <w:t>transacciones, sino también debe haber la necesidad de que dicha compra fraudulenta haya sido realizada mediante el uso indebido de las tarjetas de crédito o débito del asegurado. La reclamante siempre mantuvo la tarjeta en su poder, no puede hablarse de un uso indebido de tarjetas; e) no es viable que procedamos a extender cobertura cuando (i) los hechos descritos no calzan dentro de las condiciones esgrimidas en la póliza de seguros; (</w:t>
      </w:r>
      <w:r w:rsidRPr="31C2B270" w:rsidR="00003FDF">
        <w:rPr>
          <w:sz w:val="23"/>
          <w:szCs w:val="23"/>
        </w:rPr>
        <w:t>ii</w:t>
      </w:r>
      <w:r w:rsidRPr="31C2B270" w:rsidR="00003FDF">
        <w:rPr>
          <w:sz w:val="23"/>
          <w:szCs w:val="23"/>
        </w:rPr>
        <w:t xml:space="preserve">) la reclamante no ha podido acreditar fehacientemente que efectivamente fue víctima de un robo o hurto de las tarjetas.  Los casos de fraude son bastante delicados y no pueden ser tomados a la ligera pues ello implicaría que se pueda generar un enriquecimiento sin causa a favor de cualquiera que alegara un supuesto robo pese a tener en posesión de las tarjetas. Para evitar tales casos, es que el Banco </w:t>
      </w:r>
      <w:r w:rsidRPr="31C2B270" w:rsidR="42348CF4">
        <w:rPr>
          <w:sz w:val="23"/>
          <w:szCs w:val="23"/>
        </w:rPr>
        <w:t>.................</w:t>
      </w:r>
      <w:r w:rsidRPr="31C2B270" w:rsidR="00003FDF">
        <w:rPr>
          <w:sz w:val="23"/>
          <w:szCs w:val="23"/>
        </w:rPr>
        <w:t xml:space="preserve"> emplea parámetros estrictos a fin de evaluar si efectivamente se está ante el caso descrito, tales como la verificación del uso de información confidencial por cada uno de los usuarios; f) los contratos son obligatorios para las partes en cuanto se haya expresado en ellos, según lo preceptúa el artículo 1361 del Código Civil, por tanto, no existe justificación alguna para que se aparten de lo convenido, salvo que se pruebe que no existe coincidencia entre lo expresado en el contrato y la voluntad común de los contratantes.</w:t>
      </w:r>
    </w:p>
    <w:p w:rsidRPr="00003FDF" w:rsidR="00003FDF" w:rsidP="00003FDF" w:rsidRDefault="00003FDF" w14:paraId="19832B45" w14:textId="77777777">
      <w:pPr>
        <w:pStyle w:val="Textoindependiente"/>
        <w:rPr>
          <w:sz w:val="23"/>
          <w:szCs w:val="23"/>
        </w:rPr>
      </w:pPr>
    </w:p>
    <w:p w:rsidRPr="00003FDF" w:rsidR="00003FDF" w:rsidP="00003FDF" w:rsidRDefault="00003FDF" w14:paraId="581FBCF3" w14:textId="77777777">
      <w:pPr>
        <w:suppressAutoHyphens/>
        <w:spacing w:after="0" w:line="240" w:lineRule="auto"/>
        <w:jc w:val="both"/>
        <w:rPr>
          <w:rFonts w:ascii="Times New Roman" w:hAnsi="Times New Roman" w:eastAsia="Times New Roman" w:cs="Times New Roman"/>
          <w:bCs/>
          <w:sz w:val="23"/>
          <w:szCs w:val="23"/>
          <w:lang w:val="es-MX" w:eastAsia="ar-SA"/>
        </w:rPr>
      </w:pPr>
      <w:r w:rsidRPr="00003FDF">
        <w:rPr>
          <w:rFonts w:ascii="Times New Roman" w:hAnsi="Times New Roman" w:eastAsia="Times New Roman" w:cs="Times New Roman"/>
          <w:bCs/>
          <w:sz w:val="23"/>
          <w:szCs w:val="23"/>
          <w:lang w:val="es-MX" w:eastAsia="ar-SA"/>
        </w:rPr>
        <w:t>Que, habiéndosele corrido traslado de la señalada impugnación, la señora La Rosa no ha absuelto el trámite correspondiente;</w:t>
      </w:r>
    </w:p>
    <w:p w:rsidRPr="00003FDF" w:rsidR="00003FDF" w:rsidP="00003FDF" w:rsidRDefault="00003FDF" w14:paraId="54A089AC" w14:textId="77777777">
      <w:pPr>
        <w:pStyle w:val="Textoindependiente"/>
        <w:rPr>
          <w:bCs w:val="0"/>
          <w:color w:val="000000"/>
          <w:sz w:val="23"/>
          <w:szCs w:val="23"/>
          <w:lang w:val="es-PE" w:eastAsia="es-PE"/>
        </w:rPr>
      </w:pPr>
    </w:p>
    <w:p w:rsidRPr="00003FDF" w:rsidR="00003FDF" w:rsidP="00003FDF" w:rsidRDefault="00003FDF" w14:paraId="2DCE6BB2" w14:textId="77777777">
      <w:pPr>
        <w:suppressAutoHyphens/>
        <w:spacing w:after="0" w:line="240" w:lineRule="auto"/>
        <w:jc w:val="both"/>
        <w:rPr>
          <w:rFonts w:ascii="Times New Roman" w:hAnsi="Times New Roman" w:cs="Times New Roman"/>
          <w:bCs/>
          <w:sz w:val="23"/>
          <w:szCs w:val="23"/>
          <w:lang w:val="es-ES"/>
        </w:rPr>
      </w:pPr>
      <w:r w:rsidRPr="00003FDF">
        <w:rPr>
          <w:rFonts w:ascii="Times New Roman" w:hAnsi="Times New Roman" w:cs="Times New Roman"/>
          <w:bCs/>
          <w:sz w:val="23"/>
          <w:szCs w:val="23"/>
          <w:lang w:val="es-ES"/>
        </w:rPr>
        <w:t>Que, ambas partes han tenido la oportunidad para ejercer su derecho de defensa con relación a la resolución recurrida, siendo que este colegiado estima que se encuentra suficientemente informado para resolver de manera definitiva;</w:t>
      </w:r>
    </w:p>
    <w:p w:rsidRPr="00003FDF" w:rsidR="00003FDF" w:rsidP="00003FDF" w:rsidRDefault="00003FDF" w14:paraId="630647D4" w14:textId="77777777">
      <w:pPr>
        <w:suppressAutoHyphens/>
        <w:spacing w:after="0" w:line="240" w:lineRule="auto"/>
        <w:jc w:val="both"/>
        <w:rPr>
          <w:rFonts w:ascii="Times New Roman" w:hAnsi="Times New Roman" w:cs="Times New Roman"/>
          <w:bCs/>
          <w:sz w:val="23"/>
          <w:szCs w:val="23"/>
          <w:lang w:val="es-ES"/>
        </w:rPr>
      </w:pPr>
    </w:p>
    <w:p w:rsidRPr="00003FDF" w:rsidR="00003FDF" w:rsidP="00003FDF" w:rsidRDefault="00003FDF" w14:paraId="02FE8AC1" w14:textId="77777777">
      <w:pPr>
        <w:jc w:val="both"/>
        <w:rPr>
          <w:rFonts w:ascii="Times New Roman" w:hAnsi="Times New Roman" w:cs="Times New Roman"/>
          <w:sz w:val="23"/>
          <w:szCs w:val="23"/>
          <w:lang w:val="es-PE"/>
        </w:rPr>
      </w:pPr>
      <w:r w:rsidRPr="00003FDF">
        <w:rPr>
          <w:rFonts w:ascii="Times New Roman" w:hAnsi="Times New Roman" w:cs="Times New Roman"/>
          <w:b/>
          <w:sz w:val="23"/>
          <w:szCs w:val="23"/>
          <w:u w:val="single"/>
          <w:lang w:val="es-PE"/>
        </w:rPr>
        <w:t>PRIMERO</w:t>
      </w:r>
      <w:r w:rsidRPr="00003FDF">
        <w:rPr>
          <w:rFonts w:ascii="Times New Roman" w:hAnsi="Times New Roman" w:cs="Times New Roman"/>
          <w:b/>
          <w:sz w:val="23"/>
          <w:szCs w:val="23"/>
          <w:lang w:val="es-PE"/>
        </w:rPr>
        <w:t>:</w:t>
      </w:r>
      <w:r w:rsidRPr="00003FDF">
        <w:rPr>
          <w:rFonts w:ascii="Times New Roman" w:hAnsi="Times New Roman" w:cs="Times New Roman"/>
          <w:sz w:val="23"/>
          <w:szCs w:val="23"/>
          <w:lang w:val="es-PE"/>
        </w:rPr>
        <w:t xml:space="preserve"> El artículo 10 (Procedimiento) del Reglamento de la DEFASEG </w:t>
      </w:r>
      <w:r w:rsidRPr="00003FDF">
        <w:rPr>
          <w:rFonts w:ascii="Times New Roman" w:hAnsi="Times New Roman" w:eastAsia="Arial Unicode MS" w:cs="Times New Roman"/>
          <w:sz w:val="23"/>
          <w:szCs w:val="23"/>
          <w:lang w:val="es-PE"/>
        </w:rPr>
        <w:t>(http://www.defaseg.com.pe/reglamento)</w:t>
      </w:r>
      <w:r w:rsidRPr="00003FDF">
        <w:rPr>
          <w:rFonts w:ascii="Times New Roman" w:hAnsi="Times New Roman" w:cs="Times New Roman"/>
          <w:sz w:val="23"/>
          <w:szCs w:val="23"/>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003FDF" w:rsidR="00003FDF" w:rsidP="00003FDF" w:rsidRDefault="00003FDF" w14:paraId="7A1DAF74" w14:textId="77777777">
      <w:pPr>
        <w:jc w:val="both"/>
        <w:rPr>
          <w:rFonts w:ascii="Times New Roman" w:hAnsi="Times New Roman" w:cs="Times New Roman"/>
          <w:sz w:val="23"/>
          <w:szCs w:val="23"/>
          <w:lang w:val="es-PE"/>
        </w:rPr>
      </w:pPr>
      <w:r w:rsidRPr="00003FDF">
        <w:rPr>
          <w:rFonts w:ascii="Times New Roman" w:hAnsi="Times New Roman" w:cs="Times New Roman"/>
          <w:sz w:val="23"/>
          <w:szCs w:val="23"/>
          <w:lang w:val="es-PE"/>
        </w:rPr>
        <w:t>Conforme a ello, en el caso concreto, al interponer el recurso de impugnación la aseguradora ha ejercido formalmente su derecho a contradecir lo resuelto por la Defensoría.</w:t>
      </w:r>
    </w:p>
    <w:p w:rsidRPr="00003FDF" w:rsidR="00003FDF" w:rsidP="00003FDF" w:rsidRDefault="00003FDF" w14:paraId="5FE0EED3" w14:textId="2208F6FB">
      <w:pPr>
        <w:jc w:val="both"/>
        <w:rPr>
          <w:rFonts w:ascii="Times New Roman" w:hAnsi="Times New Roman" w:cs="Times New Roman"/>
          <w:sz w:val="23"/>
          <w:szCs w:val="23"/>
          <w:lang w:val="es-PE"/>
        </w:rPr>
      </w:pPr>
      <w:r w:rsidRPr="31C2B270" w:rsidR="00003FDF">
        <w:rPr>
          <w:rFonts w:ascii="Times New Roman" w:hAnsi="Times New Roman" w:cs="Times New Roman"/>
          <w:b w:val="1"/>
          <w:bCs w:val="1"/>
          <w:sz w:val="23"/>
          <w:szCs w:val="23"/>
          <w:u w:val="single"/>
          <w:lang w:val="es-PE"/>
        </w:rPr>
        <w:t>SEGUNDO</w:t>
      </w:r>
      <w:r w:rsidRPr="31C2B270" w:rsidR="00003FDF">
        <w:rPr>
          <w:rFonts w:ascii="Times New Roman" w:hAnsi="Times New Roman" w:cs="Times New Roman"/>
          <w:b w:val="1"/>
          <w:bCs w:val="1"/>
          <w:sz w:val="23"/>
          <w:szCs w:val="23"/>
          <w:lang w:val="es-PE"/>
        </w:rPr>
        <w:t xml:space="preserve">: </w:t>
      </w:r>
      <w:r w:rsidRPr="31C2B270" w:rsidR="00003FDF">
        <w:rPr>
          <w:rFonts w:ascii="Times New Roman" w:hAnsi="Times New Roman" w:cs="Times New Roman"/>
          <w:sz w:val="23"/>
          <w:szCs w:val="23"/>
          <w:lang w:val="es-PE"/>
        </w:rPr>
        <w:t xml:space="preserve">Que el recurso de impugnación presentado </w:t>
      </w:r>
      <w:r w:rsidRPr="31C2B270" w:rsidR="00003FDF">
        <w:rPr>
          <w:rFonts w:ascii="Times New Roman" w:hAnsi="Times New Roman" w:cs="Times New Roman"/>
          <w:sz w:val="23"/>
          <w:szCs w:val="23"/>
          <w:lang w:val="es-PE"/>
        </w:rPr>
        <w:t xml:space="preserve">por </w:t>
      </w:r>
      <w:r w:rsidRPr="31C2B270" w:rsidR="33A3D899">
        <w:rPr>
          <w:rFonts w:ascii="Times New Roman" w:hAnsi="Times New Roman" w:cs="Times New Roman"/>
          <w:sz w:val="23"/>
          <w:szCs w:val="23"/>
          <w:lang w:val="es-PE"/>
        </w:rPr>
        <w:t>...................................</w:t>
      </w:r>
      <w:r w:rsidRPr="31C2B270" w:rsidR="00003FDF">
        <w:rPr>
          <w:rFonts w:ascii="Times New Roman" w:hAnsi="Times New Roman" w:cs="Times New Roman"/>
          <w:sz w:val="23"/>
          <w:szCs w:val="23"/>
          <w:lang w:val="es-PE"/>
        </w:rPr>
        <w:t xml:space="preserve"> no se sustenta en nueva prueba, sino que expresa los mismos argumentos que invocó en sus descargos</w:t>
      </w:r>
      <w:r w:rsidRPr="31C2B270" w:rsidR="00003FDF">
        <w:rPr>
          <w:rFonts w:ascii="Times New Roman" w:hAnsi="Times New Roman" w:cs="Times New Roman"/>
          <w:sz w:val="23"/>
          <w:szCs w:val="23"/>
          <w:lang w:val="es-PE"/>
        </w:rPr>
        <w:t>.</w:t>
      </w:r>
    </w:p>
    <w:p w:rsidRPr="00003FDF" w:rsidR="00003FDF" w:rsidP="00003FDF" w:rsidRDefault="00003FDF" w14:paraId="533704F8" w14:textId="77777777">
      <w:pPr>
        <w:jc w:val="both"/>
        <w:rPr>
          <w:rFonts w:ascii="Times New Roman" w:hAnsi="Times New Roman" w:cs="Times New Roman"/>
          <w:sz w:val="23"/>
          <w:szCs w:val="23"/>
          <w:lang w:val="es-ES"/>
        </w:rPr>
      </w:pPr>
      <w:r w:rsidRPr="00003FDF">
        <w:rPr>
          <w:rFonts w:ascii="Times New Roman" w:hAnsi="Times New Roman" w:cs="Times New Roman"/>
          <w:sz w:val="23"/>
          <w:szCs w:val="23"/>
          <w:lang w:val="es-PE"/>
        </w:rPr>
        <w:t xml:space="preserve">Sobre el particular, este Colegiado advierte que, la Resolución Nro. 172/22, expedida por el Órgano Resolutivo Unipersonal de esta Defensoría del Asegurado (DEFASEG), se fundamenta en que la definición de la cobertura </w:t>
      </w:r>
      <w:proofErr w:type="spellStart"/>
      <w:r w:rsidRPr="00003FDF">
        <w:rPr>
          <w:rFonts w:ascii="Times New Roman" w:hAnsi="Times New Roman" w:cs="Times New Roman"/>
          <w:sz w:val="23"/>
          <w:szCs w:val="23"/>
          <w:lang w:val="es-PE"/>
        </w:rPr>
        <w:t>N°</w:t>
      </w:r>
      <w:proofErr w:type="spellEnd"/>
      <w:r w:rsidRPr="00003FDF">
        <w:rPr>
          <w:rFonts w:ascii="Times New Roman" w:hAnsi="Times New Roman" w:cs="Times New Roman"/>
          <w:sz w:val="23"/>
          <w:szCs w:val="23"/>
          <w:lang w:val="es-PE"/>
        </w:rPr>
        <w:t xml:space="preserve"> 4 de compra fraudulenta vía internet mediante el uso indebido de la tarjeta, no limita el riesgo a determinadas modalidades delictivas que facilitan el uso indebido de la tarjeta, sólo condiciona que la compra haya sido sin autorización y conocimiento del asegurado. </w:t>
      </w:r>
    </w:p>
    <w:p w:rsidRPr="00003FDF" w:rsidR="00003FDF" w:rsidP="00003FDF" w:rsidRDefault="00003FDF" w14:paraId="00C682A7" w14:textId="77777777">
      <w:pPr>
        <w:pStyle w:val="Default"/>
        <w:jc w:val="both"/>
        <w:rPr>
          <w:rFonts w:ascii="Times New Roman" w:hAnsi="Times New Roman" w:cs="Times New Roman"/>
          <w:sz w:val="23"/>
          <w:szCs w:val="23"/>
        </w:rPr>
      </w:pPr>
      <w:r w:rsidRPr="00003FDF">
        <w:rPr>
          <w:rFonts w:ascii="Times New Roman" w:hAnsi="Times New Roman" w:cs="Times New Roman"/>
          <w:sz w:val="23"/>
          <w:szCs w:val="23"/>
        </w:rPr>
        <w:t xml:space="preserve">A este efecto, el Órgano Resolutorio Unipersonal verificó de las pruebas que obraban en autos, que en el certificado de seguro la descripción de la cobertura de compra fraudulenta no limitaba el supuesto de uso indebido a los casos de previo robo o hurto de la tarjeta como sostiene la aseguradora. </w:t>
      </w:r>
    </w:p>
    <w:p w:rsidRPr="00003FDF" w:rsidR="00003FDF" w:rsidP="00003FDF" w:rsidRDefault="00003FDF" w14:paraId="5A8EEB00" w14:textId="77777777">
      <w:pPr>
        <w:pStyle w:val="Default"/>
        <w:jc w:val="both"/>
        <w:rPr>
          <w:rFonts w:ascii="Times New Roman" w:hAnsi="Times New Roman" w:cs="Times New Roman"/>
          <w:sz w:val="23"/>
          <w:szCs w:val="23"/>
        </w:rPr>
      </w:pPr>
    </w:p>
    <w:p w:rsidRPr="00003FDF" w:rsidR="00003FDF" w:rsidP="00003FDF" w:rsidRDefault="00003FDF" w14:paraId="37DA50E5" w14:textId="20D7CAEB">
      <w:pPr>
        <w:jc w:val="both"/>
        <w:rPr>
          <w:rFonts w:ascii="Times New Roman" w:hAnsi="Times New Roman" w:cs="Times New Roman"/>
          <w:sz w:val="23"/>
          <w:szCs w:val="23"/>
          <w:lang w:val="es-PE"/>
        </w:rPr>
      </w:pPr>
      <w:r w:rsidRPr="31C2B270" w:rsidR="00003FDF">
        <w:rPr>
          <w:rFonts w:ascii="Times New Roman" w:hAnsi="Times New Roman" w:cs="Times New Roman"/>
          <w:b w:val="1"/>
          <w:bCs w:val="1"/>
          <w:sz w:val="23"/>
          <w:szCs w:val="23"/>
          <w:u w:val="single"/>
          <w:lang w:val="es-PE"/>
        </w:rPr>
        <w:t>TERCERO</w:t>
      </w:r>
      <w:r w:rsidRPr="31C2B270" w:rsidR="00003FDF">
        <w:rPr>
          <w:rFonts w:ascii="Times New Roman" w:hAnsi="Times New Roman" w:cs="Times New Roman"/>
          <w:b w:val="1"/>
          <w:bCs w:val="1"/>
          <w:sz w:val="23"/>
          <w:szCs w:val="23"/>
          <w:lang w:val="es-PE"/>
        </w:rPr>
        <w:t>:</w:t>
      </w:r>
      <w:r w:rsidRPr="31C2B270" w:rsidR="00003FDF">
        <w:rPr>
          <w:rFonts w:ascii="Times New Roman" w:hAnsi="Times New Roman" w:cs="Times New Roman"/>
          <w:sz w:val="23"/>
          <w:szCs w:val="23"/>
          <w:lang w:val="es-PE"/>
        </w:rPr>
        <w:t xml:space="preserve"> En atención a las consideraciones precedentes, este Colegiado aprecia finalmente que no se ha evidenciado error ni falta de fundamentos en la resolución recurrida, </w:t>
      </w:r>
      <w:r w:rsidRPr="31C2B270" w:rsidR="00003FDF">
        <w:rPr>
          <w:rFonts w:ascii="Times New Roman" w:hAnsi="Times New Roman" w:cs="Times New Roman"/>
          <w:sz w:val="23"/>
          <w:szCs w:val="23"/>
          <w:lang w:val="es-PE"/>
        </w:rPr>
        <w:t xml:space="preserve">ni </w:t>
      </w:r>
      <w:r w:rsidRPr="31C2B270" w:rsidR="33A3D899">
        <w:rPr>
          <w:rFonts w:ascii="Times New Roman" w:hAnsi="Times New Roman" w:cs="Times New Roman"/>
          <w:sz w:val="23"/>
          <w:szCs w:val="23"/>
          <w:lang w:val="es-PE"/>
        </w:rPr>
        <w:t>...................................</w:t>
      </w:r>
      <w:r w:rsidRPr="31C2B270" w:rsidR="00003FDF">
        <w:rPr>
          <w:rFonts w:ascii="Times New Roman" w:hAnsi="Times New Roman" w:cs="Times New Roman"/>
          <w:sz w:val="23"/>
          <w:szCs w:val="23"/>
          <w:lang w:val="es-PE"/>
        </w:rPr>
        <w:t xml:space="preserve"> ha aportado nueva prueba que conlleve a conclusiones distintas a las establecidas en la resolución materia de impugnación, por lo que no existe mérito ni razón objetiva para revocarla.</w:t>
      </w:r>
    </w:p>
    <w:p w:rsidRPr="00003FDF" w:rsidR="00003FDF" w:rsidP="00003FDF" w:rsidRDefault="00003FDF" w14:paraId="4D5E23BA" w14:textId="77777777">
      <w:pPr>
        <w:jc w:val="both"/>
        <w:rPr>
          <w:rFonts w:ascii="Times New Roman" w:hAnsi="Times New Roman" w:cs="Times New Roman"/>
          <w:b/>
          <w:sz w:val="23"/>
          <w:szCs w:val="23"/>
          <w:lang w:val="es-PE"/>
        </w:rPr>
      </w:pPr>
      <w:r w:rsidRPr="00003FDF">
        <w:rPr>
          <w:rFonts w:ascii="Times New Roman" w:hAnsi="Times New Roman" w:cs="Times New Roman"/>
          <w:b/>
          <w:sz w:val="23"/>
          <w:szCs w:val="23"/>
          <w:lang w:val="es-PE"/>
        </w:rPr>
        <w:t>ATENDIENDO A LO EXPRESADO, CONFORME A SU REGLAMENTO, ESTE COLEGIADO RESUELVE:</w:t>
      </w:r>
    </w:p>
    <w:p w:rsidRPr="00003FDF" w:rsidR="00003FDF" w:rsidP="31C2B270" w:rsidRDefault="00003FDF" w14:paraId="2F8D7BCD" w14:textId="6AFFD2D0">
      <w:pPr>
        <w:pStyle w:val="Default"/>
        <w:jc w:val="both"/>
        <w:rPr>
          <w:rFonts w:ascii="Times New Roman" w:hAnsi="Times New Roman" w:cs="Times New Roman"/>
          <w:b w:val="1"/>
          <w:bCs w:val="1"/>
          <w:sz w:val="23"/>
          <w:szCs w:val="23"/>
        </w:rPr>
      </w:pPr>
      <w:r w:rsidRPr="31C2B270" w:rsidR="00003FDF">
        <w:rPr>
          <w:rFonts w:ascii="Times New Roman" w:hAnsi="Times New Roman" w:cs="Times New Roman"/>
          <w:b w:val="1"/>
          <w:bCs w:val="1"/>
          <w:sz w:val="23"/>
          <w:szCs w:val="23"/>
        </w:rPr>
        <w:t xml:space="preserve">DECLARAR INFUNDADO </w:t>
      </w:r>
      <w:r w:rsidRPr="31C2B270" w:rsidR="00003FDF">
        <w:rPr>
          <w:rFonts w:ascii="Times New Roman" w:hAnsi="Times New Roman" w:cs="Times New Roman"/>
          <w:sz w:val="23"/>
          <w:szCs w:val="23"/>
        </w:rPr>
        <w:t xml:space="preserve">el recurso de impugnación interpuesto </w:t>
      </w:r>
      <w:r w:rsidRPr="31C2B270" w:rsidR="00003FDF">
        <w:rPr>
          <w:rFonts w:ascii="Times New Roman" w:hAnsi="Times New Roman" w:cs="Times New Roman"/>
          <w:sz w:val="23"/>
          <w:szCs w:val="23"/>
        </w:rPr>
        <w:t>por</w:t>
      </w:r>
      <w:r w:rsidRPr="31C2B270" w:rsidR="00003FDF">
        <w:rPr>
          <w:rFonts w:ascii="Times New Roman" w:hAnsi="Times New Roman" w:cs="Times New Roman"/>
          <w:b w:val="1"/>
          <w:bCs w:val="1"/>
          <w:sz w:val="23"/>
          <w:szCs w:val="23"/>
        </w:rPr>
        <w:t xml:space="preserve"> </w:t>
      </w:r>
      <w:r w:rsidRPr="31C2B270" w:rsidR="33A3D899">
        <w:rPr>
          <w:rFonts w:ascii="Times New Roman" w:hAnsi="Times New Roman" w:cs="Times New Roman"/>
          <w:b w:val="1"/>
          <w:bCs w:val="1"/>
          <w:sz w:val="23"/>
          <w:szCs w:val="23"/>
        </w:rPr>
        <w:t>...................................</w:t>
      </w:r>
      <w:r w:rsidRPr="31C2B270" w:rsidR="00003FDF">
        <w:rPr>
          <w:rFonts w:ascii="Times New Roman" w:hAnsi="Times New Roman" w:cs="Times New Roman"/>
          <w:b w:val="1"/>
          <w:bCs w:val="1"/>
          <w:sz w:val="23"/>
          <w:szCs w:val="23"/>
        </w:rPr>
        <w:t xml:space="preserve"> </w:t>
      </w:r>
      <w:r w:rsidRPr="31C2B270" w:rsidR="00003FDF">
        <w:rPr>
          <w:rFonts w:ascii="Times New Roman" w:hAnsi="Times New Roman" w:cs="Times New Roman"/>
          <w:sz w:val="23"/>
          <w:szCs w:val="23"/>
        </w:rPr>
        <w:t>y, por consiguiente,</w:t>
      </w:r>
      <w:r w:rsidRPr="31C2B270" w:rsidR="00003FDF">
        <w:rPr>
          <w:rFonts w:ascii="Times New Roman" w:hAnsi="Times New Roman" w:cs="Times New Roman"/>
          <w:b w:val="1"/>
          <w:bCs w:val="1"/>
          <w:sz w:val="23"/>
          <w:szCs w:val="23"/>
        </w:rPr>
        <w:t xml:space="preserve"> CONFIRMAR l</w:t>
      </w:r>
      <w:r w:rsidRPr="31C2B270" w:rsidR="00003FDF">
        <w:rPr>
          <w:rFonts w:ascii="Times New Roman" w:hAnsi="Times New Roman" w:cs="Times New Roman"/>
          <w:b w:val="1"/>
          <w:bCs w:val="1"/>
          <w:sz w:val="23"/>
          <w:szCs w:val="23"/>
        </w:rPr>
        <w:t xml:space="preserve">a </w:t>
      </w:r>
      <w:r w:rsidRPr="31C2B270" w:rsidR="00003FDF">
        <w:rPr>
          <w:rFonts w:ascii="Times New Roman" w:hAnsi="Times New Roman" w:cs="Times New Roman"/>
          <w:b w:val="1"/>
          <w:bCs w:val="1"/>
          <w:sz w:val="23"/>
          <w:szCs w:val="23"/>
        </w:rPr>
        <w:t xml:space="preserve">Resolución </w:t>
      </w:r>
      <w:r w:rsidRPr="31C2B270" w:rsidR="00003FDF">
        <w:rPr>
          <w:rFonts w:ascii="Times New Roman" w:hAnsi="Times New Roman" w:cs="Times New Roman"/>
          <w:b w:val="1"/>
          <w:bCs w:val="1"/>
          <w:sz w:val="23"/>
          <w:szCs w:val="23"/>
        </w:rPr>
        <w:t>N°</w:t>
      </w:r>
      <w:r w:rsidRPr="31C2B270" w:rsidR="00003FDF">
        <w:rPr>
          <w:rFonts w:ascii="Times New Roman" w:hAnsi="Times New Roman" w:cs="Times New Roman"/>
          <w:b w:val="1"/>
          <w:bCs w:val="1"/>
          <w:sz w:val="23"/>
          <w:szCs w:val="23"/>
        </w:rPr>
        <w:t xml:space="preserve"> 172/22</w:t>
      </w:r>
      <w:r w:rsidRPr="31C2B270" w:rsidR="00003FDF">
        <w:rPr>
          <w:rFonts w:ascii="Times New Roman" w:hAnsi="Times New Roman" w:cs="Times New Roman"/>
          <w:b w:val="1"/>
          <w:bCs w:val="1"/>
          <w:sz w:val="23"/>
          <w:szCs w:val="23"/>
          <w:lang w:val="es-MX"/>
        </w:rPr>
        <w:t>.</w:t>
      </w:r>
    </w:p>
    <w:p w:rsidRPr="00003FDF" w:rsidR="005A7259" w:rsidP="00F36CA9" w:rsidRDefault="005A7259" w14:paraId="2813A898" w14:textId="77777777">
      <w:pPr>
        <w:pStyle w:val="Default"/>
        <w:jc w:val="both"/>
        <w:rPr>
          <w:rFonts w:ascii="Times New Roman" w:hAnsi="Times New Roman" w:cs="Times New Roman"/>
          <w:b/>
          <w:sz w:val="23"/>
          <w:szCs w:val="23"/>
        </w:rPr>
      </w:pPr>
    </w:p>
    <w:p w:rsidRPr="00003FDF" w:rsidR="00C173A8" w:rsidP="00092C2E" w:rsidRDefault="00C173A8" w14:paraId="21EFD7D3" w14:textId="5153B18D">
      <w:pPr>
        <w:suppressAutoHyphens/>
        <w:spacing w:after="0" w:line="240" w:lineRule="auto"/>
        <w:jc w:val="right"/>
        <w:outlineLvl w:val="0"/>
        <w:rPr>
          <w:rFonts w:ascii="Times New Roman" w:hAnsi="Times New Roman" w:eastAsia="Arial Unicode MS" w:cs="Times New Roman"/>
          <w:sz w:val="23"/>
          <w:szCs w:val="23"/>
          <w:lang w:val="es-PE" w:eastAsia="ar-SA"/>
        </w:rPr>
      </w:pPr>
      <w:r w:rsidRPr="00003FDF">
        <w:rPr>
          <w:rFonts w:ascii="Times New Roman" w:hAnsi="Times New Roman" w:eastAsia="Arial Unicode MS" w:cs="Times New Roman"/>
          <w:sz w:val="23"/>
          <w:szCs w:val="23"/>
          <w:lang w:val="es-PE" w:eastAsia="ar-SA"/>
        </w:rPr>
        <w:t xml:space="preserve">Lima, </w:t>
      </w:r>
      <w:r w:rsidRPr="00003FDF" w:rsidR="00AA7BD7">
        <w:rPr>
          <w:rFonts w:ascii="Times New Roman" w:hAnsi="Times New Roman" w:eastAsia="Arial Unicode MS" w:cs="Times New Roman"/>
          <w:sz w:val="23"/>
          <w:szCs w:val="23"/>
          <w:lang w:val="es-PE" w:eastAsia="ar-SA"/>
        </w:rPr>
        <w:t>12</w:t>
      </w:r>
      <w:r w:rsidRPr="00003FDF" w:rsidR="005669AF">
        <w:rPr>
          <w:rFonts w:ascii="Times New Roman" w:hAnsi="Times New Roman" w:eastAsia="Arial Unicode MS" w:cs="Times New Roman"/>
          <w:sz w:val="23"/>
          <w:szCs w:val="23"/>
          <w:lang w:val="es-PE" w:eastAsia="ar-SA"/>
        </w:rPr>
        <w:t xml:space="preserve"> </w:t>
      </w:r>
      <w:r w:rsidRPr="00003FDF">
        <w:rPr>
          <w:rFonts w:ascii="Times New Roman" w:hAnsi="Times New Roman" w:eastAsia="Arial Unicode MS" w:cs="Times New Roman"/>
          <w:sz w:val="23"/>
          <w:szCs w:val="23"/>
          <w:lang w:val="es-PE" w:eastAsia="ar-SA"/>
        </w:rPr>
        <w:t xml:space="preserve">de </w:t>
      </w:r>
      <w:r w:rsidRPr="00003FDF" w:rsidR="005669AF">
        <w:rPr>
          <w:rFonts w:ascii="Times New Roman" w:hAnsi="Times New Roman" w:eastAsia="Arial Unicode MS" w:cs="Times New Roman"/>
          <w:sz w:val="23"/>
          <w:szCs w:val="23"/>
          <w:lang w:val="es-PE" w:eastAsia="ar-SA"/>
        </w:rPr>
        <w:t>septiembre</w:t>
      </w:r>
      <w:r w:rsidRPr="00003FDF">
        <w:rPr>
          <w:rFonts w:ascii="Times New Roman" w:hAnsi="Times New Roman" w:eastAsia="Arial Unicode MS" w:cs="Times New Roman"/>
          <w:sz w:val="23"/>
          <w:szCs w:val="23"/>
          <w:lang w:val="es-PE" w:eastAsia="ar-SA"/>
        </w:rPr>
        <w:t xml:space="preserve"> de 2022</w:t>
      </w:r>
      <w:r w:rsidRPr="00003FDF">
        <w:rPr>
          <w:rFonts w:ascii="Times New Roman" w:hAnsi="Times New Roman" w:eastAsia="Times New Roman" w:cs="Times New Roman"/>
          <w:sz w:val="23"/>
          <w:szCs w:val="23"/>
          <w:lang w:val="es-PE" w:eastAsia="ar-SA"/>
        </w:rPr>
        <w:t xml:space="preserve"> </w:t>
      </w:r>
    </w:p>
    <w:p w:rsidRPr="00003FDF"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003FDF" w:rsidR="00C173A8" w:rsidP="00C5766A" w:rsidRDefault="00C173A8" w14:paraId="1F888041" w14:textId="5D928D7D">
      <w:pPr>
        <w:spacing w:after="0" w:line="240" w:lineRule="auto"/>
        <w:jc w:val="both"/>
        <w:rPr>
          <w:rFonts w:ascii="Times New Roman" w:hAnsi="Times New Roman" w:cs="Times New Roman"/>
          <w:b/>
          <w:bCs/>
          <w:i/>
          <w:iCs/>
          <w:sz w:val="23"/>
          <w:szCs w:val="23"/>
          <w:lang w:val="es-PE"/>
        </w:rPr>
      </w:pPr>
      <w:r w:rsidRPr="00003FDF">
        <w:rPr>
          <w:rFonts w:ascii="Times New Roman" w:hAnsi="Times New Roman" w:cs="Times New Roman"/>
          <w:b/>
          <w:bCs/>
          <w:i/>
          <w:iCs/>
          <w:sz w:val="23"/>
          <w:szCs w:val="23"/>
          <w:lang w:val="es-PE"/>
        </w:rPr>
        <w:t>La Secretaría Técnica certifica que la presente resolución cuenta con el voto de los vocales cuyos nombres figuran en el presente documento.</w:t>
      </w:r>
    </w:p>
    <w:p w:rsidRPr="00003FDF" w:rsidR="0008494F" w:rsidP="00C5766A" w:rsidRDefault="0008494F" w14:paraId="5A4AC9FA" w14:textId="345ACCC6">
      <w:pPr>
        <w:spacing w:after="0" w:line="240" w:lineRule="auto"/>
        <w:jc w:val="both"/>
        <w:rPr>
          <w:rFonts w:ascii="Times New Roman" w:hAnsi="Times New Roman" w:cs="Times New Roman"/>
          <w:b/>
          <w:bCs/>
          <w:i/>
          <w:iCs/>
          <w:sz w:val="23"/>
          <w:szCs w:val="23"/>
          <w:lang w:val="es-PE"/>
        </w:rPr>
      </w:pPr>
    </w:p>
    <w:p w:rsidRPr="00003FDF" w:rsidR="00222F44" w:rsidP="00222F44" w:rsidRDefault="00222F44" w14:paraId="1A6E8C1E" w14:textId="0A5565B4">
      <w:pPr>
        <w:spacing w:after="0" w:line="360" w:lineRule="auto"/>
        <w:jc w:val="center"/>
        <w:rPr>
          <w:rFonts w:ascii="Times New Roman" w:hAnsi="Times New Roman" w:cs="Times New Roman"/>
          <w:b/>
          <w:bCs/>
          <w:sz w:val="23"/>
          <w:szCs w:val="23"/>
          <w:lang w:val="es-PE"/>
        </w:rPr>
      </w:pPr>
      <w:r w:rsidRPr="00003FDF">
        <w:rPr>
          <w:rFonts w:ascii="Times New Roman" w:hAnsi="Times New Roman" w:cs="Times New Roman"/>
          <w:b/>
          <w:bCs/>
          <w:sz w:val="23"/>
          <w:szCs w:val="23"/>
          <w:lang w:val="es-PE"/>
        </w:rPr>
        <w:t xml:space="preserve">Rolando Eyzaguirre </w:t>
      </w:r>
      <w:proofErr w:type="spellStart"/>
      <w:r w:rsidRPr="00003FDF">
        <w:rPr>
          <w:rFonts w:ascii="Times New Roman" w:hAnsi="Times New Roman" w:cs="Times New Roman"/>
          <w:b/>
          <w:bCs/>
          <w:sz w:val="23"/>
          <w:szCs w:val="23"/>
          <w:lang w:val="es-PE"/>
        </w:rPr>
        <w:t>Maccan</w:t>
      </w:r>
      <w:proofErr w:type="spellEnd"/>
      <w:r w:rsidRPr="00003FDF">
        <w:rPr>
          <w:rFonts w:ascii="Times New Roman" w:hAnsi="Times New Roman" w:cs="Times New Roman"/>
          <w:b/>
          <w:bCs/>
          <w:sz w:val="23"/>
          <w:szCs w:val="23"/>
          <w:lang w:val="es-PE"/>
        </w:rPr>
        <w:t xml:space="preserve"> – </w:t>
      </w:r>
      <w:proofErr w:type="gramStart"/>
      <w:r w:rsidRPr="00003FDF">
        <w:rPr>
          <w:rFonts w:ascii="Times New Roman" w:hAnsi="Times New Roman" w:cs="Times New Roman"/>
          <w:b/>
          <w:bCs/>
          <w:sz w:val="23"/>
          <w:szCs w:val="23"/>
          <w:lang w:val="es-PE"/>
        </w:rPr>
        <w:t>Presidente</w:t>
      </w:r>
      <w:proofErr w:type="gramEnd"/>
    </w:p>
    <w:p w:rsidRPr="00003FDF" w:rsidR="00222F44" w:rsidP="00222F44" w:rsidRDefault="00222F44" w14:paraId="6F457479" w14:textId="4204CEC4">
      <w:pPr>
        <w:spacing w:after="0" w:line="360" w:lineRule="auto"/>
        <w:jc w:val="center"/>
        <w:rPr>
          <w:rFonts w:ascii="Times New Roman" w:hAnsi="Times New Roman" w:cs="Times New Roman"/>
          <w:b/>
          <w:bCs/>
          <w:sz w:val="23"/>
          <w:szCs w:val="23"/>
          <w:lang w:val="es-PE"/>
        </w:rPr>
      </w:pPr>
      <w:r w:rsidRPr="00003FDF">
        <w:rPr>
          <w:rFonts w:ascii="Times New Roman" w:hAnsi="Times New Roman" w:cs="Times New Roman"/>
          <w:b/>
          <w:bCs/>
          <w:sz w:val="23"/>
          <w:szCs w:val="23"/>
          <w:lang w:val="es-PE"/>
        </w:rPr>
        <w:t>María Eugenia Valdez Fernández Baca – Vocal</w:t>
      </w:r>
    </w:p>
    <w:p w:rsidRPr="00003FDF" w:rsidR="001B1998" w:rsidP="001B1998" w:rsidRDefault="001B1998" w14:paraId="4E9466D5" w14:textId="710F47AB">
      <w:pPr>
        <w:spacing w:after="0" w:line="360" w:lineRule="auto"/>
        <w:jc w:val="center"/>
        <w:rPr>
          <w:rFonts w:ascii="Times New Roman" w:hAnsi="Times New Roman" w:cs="Times New Roman"/>
          <w:b/>
          <w:bCs/>
          <w:sz w:val="23"/>
          <w:szCs w:val="23"/>
          <w:lang w:val="es-PE"/>
        </w:rPr>
      </w:pPr>
      <w:r w:rsidRPr="00003FDF">
        <w:rPr>
          <w:rFonts w:ascii="Times New Roman" w:hAnsi="Times New Roman" w:cs="Times New Roman"/>
          <w:b/>
          <w:bCs/>
          <w:sz w:val="23"/>
          <w:szCs w:val="23"/>
          <w:lang w:val="es-PE"/>
        </w:rPr>
        <w:t xml:space="preserve">Marco Antonio Ortega Piana – </w:t>
      </w:r>
      <w:r w:rsidRPr="00003FDF" w:rsidR="00222F44">
        <w:rPr>
          <w:rFonts w:ascii="Times New Roman" w:hAnsi="Times New Roman" w:cs="Times New Roman"/>
          <w:b/>
          <w:bCs/>
          <w:sz w:val="23"/>
          <w:szCs w:val="23"/>
          <w:lang w:val="es-PE"/>
        </w:rPr>
        <w:t>Vocal</w:t>
      </w:r>
    </w:p>
    <w:p w:rsidRPr="00003FDF" w:rsidR="00C173A8" w:rsidP="00C173A8" w:rsidRDefault="00C173A8" w14:paraId="1F947C8E" w14:textId="77777777">
      <w:pPr>
        <w:spacing w:after="0" w:line="360" w:lineRule="auto"/>
        <w:jc w:val="center"/>
        <w:rPr>
          <w:rFonts w:ascii="Times New Roman" w:hAnsi="Times New Roman" w:cs="Times New Roman"/>
          <w:sz w:val="23"/>
          <w:szCs w:val="23"/>
          <w:lang w:val="es-PE"/>
        </w:rPr>
      </w:pPr>
      <w:r w:rsidRPr="00003FDF">
        <w:rPr>
          <w:rFonts w:ascii="Times New Roman" w:hAnsi="Times New Roman" w:cs="Times New Roman"/>
          <w:b/>
          <w:bCs/>
          <w:sz w:val="23"/>
          <w:szCs w:val="23"/>
          <w:lang w:val="es-PE"/>
        </w:rPr>
        <w:t>Gonzalo Abad del Busto – Vocal</w:t>
      </w:r>
    </w:p>
    <w:p w:rsidRPr="00005913"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05913"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05913"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16BD" w:rsidP="00784355" w:rsidRDefault="00C516BD" w14:paraId="05C3A887" w14:textId="77777777">
      <w:pPr>
        <w:spacing w:after="0" w:line="240" w:lineRule="auto"/>
      </w:pPr>
      <w:r>
        <w:separator/>
      </w:r>
    </w:p>
  </w:endnote>
  <w:endnote w:type="continuationSeparator" w:id="0">
    <w:p w:rsidR="00C516BD" w:rsidP="00784355" w:rsidRDefault="00C516BD" w14:paraId="2B31BC9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16BD" w:rsidP="00784355" w:rsidRDefault="00C516BD" w14:paraId="756E4888" w14:textId="77777777">
      <w:pPr>
        <w:spacing w:after="0" w:line="240" w:lineRule="auto"/>
      </w:pPr>
      <w:r>
        <w:separator/>
      </w:r>
    </w:p>
  </w:footnote>
  <w:footnote w:type="continuationSeparator" w:id="0">
    <w:p w:rsidR="00C516BD" w:rsidP="00784355" w:rsidRDefault="00C516BD" w14:paraId="3EEAD42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C70DDB"/>
    <w:multiLevelType w:val="hybridMultilevel"/>
    <w:tmpl w:val="7AA204B6"/>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7"/>
  </w:num>
  <w:num w:numId="3" w16cid:durableId="760956054">
    <w:abstractNumId w:val="12"/>
  </w:num>
  <w:num w:numId="4" w16cid:durableId="1079518208">
    <w:abstractNumId w:val="11"/>
  </w:num>
  <w:num w:numId="5" w16cid:durableId="1198003566">
    <w:abstractNumId w:val="15"/>
  </w:num>
  <w:num w:numId="6" w16cid:durableId="1607540339">
    <w:abstractNumId w:val="0"/>
  </w:num>
  <w:num w:numId="7" w16cid:durableId="1490902120">
    <w:abstractNumId w:val="19"/>
  </w:num>
  <w:num w:numId="8" w16cid:durableId="615214413">
    <w:abstractNumId w:val="21"/>
  </w:num>
  <w:num w:numId="9" w16cid:durableId="1018119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0940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3FDF"/>
    <w:rsid w:val="00005627"/>
    <w:rsid w:val="00005913"/>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AE2"/>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297"/>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039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024"/>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2F44"/>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12FF"/>
    <w:rsid w:val="002B726E"/>
    <w:rsid w:val="002C1B87"/>
    <w:rsid w:val="002C2A0F"/>
    <w:rsid w:val="002D0DB0"/>
    <w:rsid w:val="002D2DFA"/>
    <w:rsid w:val="002D3824"/>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E6E8B"/>
    <w:rsid w:val="003F0C97"/>
    <w:rsid w:val="003F1149"/>
    <w:rsid w:val="003F1B5F"/>
    <w:rsid w:val="003F3726"/>
    <w:rsid w:val="003F6B30"/>
    <w:rsid w:val="00403814"/>
    <w:rsid w:val="004049B9"/>
    <w:rsid w:val="00407045"/>
    <w:rsid w:val="00413C3F"/>
    <w:rsid w:val="004143BC"/>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5003"/>
    <w:rsid w:val="00496A1A"/>
    <w:rsid w:val="004A3E25"/>
    <w:rsid w:val="004B51ED"/>
    <w:rsid w:val="004B5ED8"/>
    <w:rsid w:val="004C43FC"/>
    <w:rsid w:val="004C51EC"/>
    <w:rsid w:val="004C5A91"/>
    <w:rsid w:val="004C62B3"/>
    <w:rsid w:val="004E1BF9"/>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5E5A"/>
    <w:rsid w:val="00566021"/>
    <w:rsid w:val="005669AF"/>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259"/>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39AF"/>
    <w:rsid w:val="00676532"/>
    <w:rsid w:val="00680D8A"/>
    <w:rsid w:val="00686BB2"/>
    <w:rsid w:val="006878E1"/>
    <w:rsid w:val="00687A1B"/>
    <w:rsid w:val="0069304A"/>
    <w:rsid w:val="00697D6C"/>
    <w:rsid w:val="006A6332"/>
    <w:rsid w:val="006B5CAE"/>
    <w:rsid w:val="006C1A65"/>
    <w:rsid w:val="006C29A7"/>
    <w:rsid w:val="006C31AD"/>
    <w:rsid w:val="006C6261"/>
    <w:rsid w:val="006D2BA9"/>
    <w:rsid w:val="006D397E"/>
    <w:rsid w:val="006E2366"/>
    <w:rsid w:val="006E4547"/>
    <w:rsid w:val="006E5783"/>
    <w:rsid w:val="006E698A"/>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0AB"/>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0617"/>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2DA6"/>
    <w:rsid w:val="00805091"/>
    <w:rsid w:val="00811120"/>
    <w:rsid w:val="00816B3F"/>
    <w:rsid w:val="0081754D"/>
    <w:rsid w:val="008177B9"/>
    <w:rsid w:val="00820F75"/>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B4D62"/>
    <w:rsid w:val="008D270F"/>
    <w:rsid w:val="008D51E3"/>
    <w:rsid w:val="008D67A4"/>
    <w:rsid w:val="008D6AFE"/>
    <w:rsid w:val="008D6DDF"/>
    <w:rsid w:val="008F1161"/>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3363D"/>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29D"/>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A7BD7"/>
    <w:rsid w:val="00AB1C66"/>
    <w:rsid w:val="00AB2184"/>
    <w:rsid w:val="00AB3C57"/>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6478"/>
    <w:rsid w:val="00B87B08"/>
    <w:rsid w:val="00B928FB"/>
    <w:rsid w:val="00B93683"/>
    <w:rsid w:val="00B93C7A"/>
    <w:rsid w:val="00B956C4"/>
    <w:rsid w:val="00B95F76"/>
    <w:rsid w:val="00BA0192"/>
    <w:rsid w:val="00BA24B0"/>
    <w:rsid w:val="00BA291C"/>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2ADF"/>
    <w:rsid w:val="00C25B78"/>
    <w:rsid w:val="00C32068"/>
    <w:rsid w:val="00C33FEF"/>
    <w:rsid w:val="00C34D95"/>
    <w:rsid w:val="00C4163B"/>
    <w:rsid w:val="00C41F24"/>
    <w:rsid w:val="00C47619"/>
    <w:rsid w:val="00C516BD"/>
    <w:rsid w:val="00C52672"/>
    <w:rsid w:val="00C52848"/>
    <w:rsid w:val="00C52CFE"/>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375C8"/>
    <w:rsid w:val="00D41E07"/>
    <w:rsid w:val="00D4253A"/>
    <w:rsid w:val="00D43DF1"/>
    <w:rsid w:val="00D50B42"/>
    <w:rsid w:val="00D57228"/>
    <w:rsid w:val="00D61C6D"/>
    <w:rsid w:val="00D64034"/>
    <w:rsid w:val="00D65AF1"/>
    <w:rsid w:val="00D73109"/>
    <w:rsid w:val="00D76C43"/>
    <w:rsid w:val="00D810EC"/>
    <w:rsid w:val="00D835B6"/>
    <w:rsid w:val="00D84464"/>
    <w:rsid w:val="00D848B0"/>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46A6"/>
    <w:rsid w:val="00F06498"/>
    <w:rsid w:val="00F11E0A"/>
    <w:rsid w:val="00F11F10"/>
    <w:rsid w:val="00F13013"/>
    <w:rsid w:val="00F14F22"/>
    <w:rsid w:val="00F15C12"/>
    <w:rsid w:val="00F16540"/>
    <w:rsid w:val="00F16CF9"/>
    <w:rsid w:val="00F20B09"/>
    <w:rsid w:val="00F3335E"/>
    <w:rsid w:val="00F349E0"/>
    <w:rsid w:val="00F36CA9"/>
    <w:rsid w:val="00F439B5"/>
    <w:rsid w:val="00F52613"/>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31C2B270"/>
    <w:rsid w:val="33A3D899"/>
    <w:rsid w:val="3C61AE70"/>
    <w:rsid w:val="42348CF4"/>
    <w:rsid w:val="49BC2049"/>
    <w:rsid w:val="4BACAF42"/>
    <w:rsid w:val="5E13DAB2"/>
    <w:rsid w:val="66EF8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qFormat/>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 w:type="character" w:styleId="PrrafodelistaCar" w:customStyle="1">
    <w:name w:val="Párrafo de lista Car"/>
    <w:aliases w:val="Number List 1 Car"/>
    <w:link w:val="Prrafodelista"/>
    <w:uiPriority w:val="34"/>
    <w:locked/>
    <w:rsid w:val="0049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22436980">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43933980">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12495231">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08973059">
      <w:bodyDiv w:val="1"/>
      <w:marLeft w:val="0"/>
      <w:marRight w:val="0"/>
      <w:marTop w:val="0"/>
      <w:marBottom w:val="0"/>
      <w:divBdr>
        <w:top w:val="none" w:sz="0" w:space="0" w:color="auto"/>
        <w:left w:val="none" w:sz="0" w:space="0" w:color="auto"/>
        <w:bottom w:val="none" w:sz="0" w:space="0" w:color="auto"/>
        <w:right w:val="none" w:sz="0" w:space="0" w:color="auto"/>
      </w:divBdr>
    </w:div>
    <w:div w:id="1317999586">
      <w:bodyDiv w:val="1"/>
      <w:marLeft w:val="0"/>
      <w:marRight w:val="0"/>
      <w:marTop w:val="0"/>
      <w:marBottom w:val="0"/>
      <w:divBdr>
        <w:top w:val="none" w:sz="0" w:space="0" w:color="auto"/>
        <w:left w:val="none" w:sz="0" w:space="0" w:color="auto"/>
        <w:bottom w:val="none" w:sz="0" w:space="0" w:color="auto"/>
        <w:right w:val="none" w:sz="0" w:space="0" w:color="auto"/>
      </w:divBdr>
    </w:div>
    <w:div w:id="135117889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32538055">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17600AB-B66A-43A5-86CE-D6840ED824DF}"/>
</file>

<file path=customXml/itemProps3.xml><?xml version="1.0" encoding="utf-8"?>
<ds:datastoreItem xmlns:ds="http://schemas.openxmlformats.org/officeDocument/2006/customXml" ds:itemID="{6B740244-9EF0-472B-866D-0077EA0D47FC}"/>
</file>

<file path=customXml/itemProps4.xml><?xml version="1.0" encoding="utf-8"?>
<ds:datastoreItem xmlns:ds="http://schemas.openxmlformats.org/officeDocument/2006/customXml" ds:itemID="{EB1795F5-02FA-467E-B127-BEA1CA2BE9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247</cp:revision>
  <cp:lastPrinted>2022-09-12T14:47:00Z</cp:lastPrinted>
  <dcterms:created xsi:type="dcterms:W3CDTF">2020-12-18T20:17:00Z</dcterms:created>
  <dcterms:modified xsi:type="dcterms:W3CDTF">2025-12-01T21:18:53Z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