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31D11" w:rsidP="008040FC" w:rsidRDefault="00A31D11" w14:paraId="06DD34E2" w14:textId="77777777">
      <w:pPr>
        <w:spacing w:after="0" w:line="240" w:lineRule="auto"/>
        <w:jc w:val="center"/>
        <w:rPr>
          <w:rFonts w:ascii="Arial" w:hAnsi="Arial" w:cs="Arial"/>
          <w:b/>
          <w:lang w:val="es-MX" w:eastAsia="ar-SA"/>
        </w:rPr>
      </w:pPr>
    </w:p>
    <w:p w:rsidR="00A31D11" w:rsidP="008040FC" w:rsidRDefault="00A31D11" w14:paraId="61835902" w14:textId="77777777">
      <w:pPr>
        <w:spacing w:after="0" w:line="240" w:lineRule="auto"/>
        <w:jc w:val="center"/>
        <w:rPr>
          <w:rFonts w:ascii="Arial" w:hAnsi="Arial" w:cs="Arial"/>
          <w:b/>
          <w:lang w:val="es-MX" w:eastAsia="ar-SA"/>
        </w:rPr>
      </w:pPr>
    </w:p>
    <w:p w:rsidRPr="00A31D11" w:rsidR="008040FC" w:rsidP="008040FC" w:rsidRDefault="008040FC" w14:paraId="52FB542B" w14:textId="318FE8C9">
      <w:pPr>
        <w:spacing w:after="0" w:line="240" w:lineRule="auto"/>
        <w:jc w:val="center"/>
        <w:rPr>
          <w:rFonts w:ascii="Times New Roman" w:hAnsi="Times New Roman" w:cs="Times New Roman"/>
          <w:b/>
          <w:sz w:val="24"/>
          <w:szCs w:val="24"/>
          <w:lang w:val="es-MX" w:eastAsia="ar-SA"/>
        </w:rPr>
      </w:pPr>
      <w:r w:rsidRPr="00A31D11">
        <w:rPr>
          <w:rFonts w:ascii="Times New Roman" w:hAnsi="Times New Roman" w:cs="Times New Roman"/>
          <w:b/>
          <w:sz w:val="24"/>
          <w:szCs w:val="24"/>
          <w:lang w:val="es-MX" w:eastAsia="ar-SA"/>
        </w:rPr>
        <w:t xml:space="preserve">RESOLUCIÓN DE RECURSO IMPUGNATIVO Nro. </w:t>
      </w:r>
      <w:r w:rsidRPr="00A31D11" w:rsidR="00A31D11">
        <w:rPr>
          <w:rFonts w:ascii="Times New Roman" w:hAnsi="Times New Roman" w:cs="Times New Roman"/>
          <w:b/>
          <w:sz w:val="24"/>
          <w:szCs w:val="24"/>
          <w:lang w:val="es-MX" w:eastAsia="ar-SA"/>
        </w:rPr>
        <w:t>084/22</w:t>
      </w:r>
    </w:p>
    <w:p w:rsidRPr="00A31D11" w:rsidR="008040FC" w:rsidP="008040FC" w:rsidRDefault="008040FC" w14:paraId="0ED8D36F" w14:textId="77777777">
      <w:pPr>
        <w:suppressAutoHyphens/>
        <w:spacing w:after="0" w:line="240" w:lineRule="auto"/>
        <w:jc w:val="center"/>
        <w:rPr>
          <w:rFonts w:ascii="Times New Roman" w:hAnsi="Times New Roman" w:eastAsia="Times New Roman" w:cs="Times New Roman"/>
          <w:b/>
          <w:bCs/>
          <w:sz w:val="24"/>
          <w:szCs w:val="24"/>
          <w:lang w:val="es-MX" w:eastAsia="ar-SA"/>
        </w:rPr>
      </w:pPr>
    </w:p>
    <w:p w:rsidRPr="00A31D11" w:rsidR="008040FC" w:rsidP="008040FC" w:rsidRDefault="008040FC" w14:paraId="2F340CB0" w14:textId="77777777">
      <w:pPr>
        <w:suppressAutoHyphens/>
        <w:spacing w:after="0" w:line="240" w:lineRule="auto"/>
        <w:jc w:val="center"/>
        <w:rPr>
          <w:rFonts w:ascii="Times New Roman" w:hAnsi="Times New Roman" w:eastAsia="Times New Roman" w:cs="Times New Roman"/>
          <w:b/>
          <w:bCs/>
          <w:sz w:val="24"/>
          <w:szCs w:val="24"/>
          <w:lang w:val="es-MX" w:eastAsia="ar-SA"/>
        </w:rPr>
      </w:pPr>
    </w:p>
    <w:p w:rsidRPr="00A31D11" w:rsidR="008040FC" w:rsidP="008040FC" w:rsidRDefault="008040FC" w14:paraId="7AD77AB9" w14:textId="77777777">
      <w:pPr>
        <w:suppressAutoHyphens/>
        <w:spacing w:after="0" w:line="240" w:lineRule="auto"/>
        <w:jc w:val="both"/>
        <w:outlineLvl w:val="0"/>
        <w:rPr>
          <w:rFonts w:ascii="Times New Roman" w:hAnsi="Times New Roman" w:eastAsia="Times New Roman" w:cs="Times New Roman"/>
          <w:b/>
          <w:bCs/>
          <w:sz w:val="24"/>
          <w:szCs w:val="24"/>
          <w:lang w:val="es-MX" w:eastAsia="ar-SA"/>
        </w:rPr>
      </w:pPr>
      <w:r w:rsidRPr="00A31D11">
        <w:rPr>
          <w:rFonts w:ascii="Times New Roman" w:hAnsi="Times New Roman" w:eastAsia="Times New Roman" w:cs="Times New Roman"/>
          <w:b/>
          <w:bCs/>
          <w:sz w:val="24"/>
          <w:szCs w:val="24"/>
          <w:lang w:val="es-MX" w:eastAsia="ar-SA"/>
        </w:rPr>
        <w:t>Vistos:</w:t>
      </w:r>
    </w:p>
    <w:p w:rsidRPr="00A31D11" w:rsidR="008040FC" w:rsidP="008040FC" w:rsidRDefault="008040FC" w14:paraId="378C13A7" w14:textId="77777777">
      <w:pPr>
        <w:suppressAutoHyphens/>
        <w:spacing w:after="0" w:line="240" w:lineRule="auto"/>
        <w:jc w:val="both"/>
        <w:rPr>
          <w:rFonts w:ascii="Times New Roman" w:hAnsi="Times New Roman" w:eastAsia="Times New Roman" w:cs="Times New Roman"/>
          <w:b/>
          <w:bCs/>
          <w:sz w:val="24"/>
          <w:szCs w:val="24"/>
          <w:lang w:val="es-MX" w:eastAsia="ar-SA"/>
        </w:rPr>
      </w:pPr>
      <w:r w:rsidRPr="00A31D11">
        <w:rPr>
          <w:rFonts w:ascii="Times New Roman" w:hAnsi="Times New Roman" w:eastAsia="Times New Roman" w:cs="Times New Roman"/>
          <w:b/>
          <w:bCs/>
          <w:sz w:val="24"/>
          <w:szCs w:val="24"/>
          <w:lang w:val="es-MX" w:eastAsia="ar-SA"/>
        </w:rPr>
        <w:t xml:space="preserve">   </w:t>
      </w:r>
    </w:p>
    <w:p w:rsidRPr="00A31D11" w:rsidR="008040FC" w:rsidP="008040FC" w:rsidRDefault="008040FC" w14:paraId="13DABEAB" w14:textId="69E71BF9">
      <w:pPr>
        <w:pStyle w:val="Default"/>
        <w:jc w:val="both"/>
        <w:rPr>
          <w:rFonts w:eastAsia="Times New Roman"/>
          <w:lang w:eastAsia="es-ES"/>
        </w:rPr>
      </w:pPr>
      <w:r w:rsidRPr="35C6E644" w:rsidR="008040FC">
        <w:rPr>
          <w:rFonts w:eastAsia="Times New Roman"/>
          <w:lang w:val="es-ES" w:eastAsia="ar-SA"/>
        </w:rPr>
        <w:t xml:space="preserve">El recurso de impugnación presentado con fecha 28 de octubre de 2022 por </w:t>
      </w:r>
      <w:r w:rsidRPr="35C6E644" w:rsidR="0AFDE29C">
        <w:rPr>
          <w:rFonts w:eastAsia="Times New Roman"/>
          <w:b w:val="1"/>
          <w:bCs w:val="1"/>
          <w:lang w:val="es-ES" w:eastAsia="ar-SA"/>
        </w:rPr>
        <w:t>....................................</w:t>
      </w:r>
      <w:r w:rsidRPr="35C6E644" w:rsidR="008040FC">
        <w:rPr>
          <w:rFonts w:eastAsia="Times New Roman"/>
          <w:lang w:val="es-ES" w:eastAsia="ar-SA"/>
        </w:rPr>
        <w:t xml:space="preserve"> respecto de la Resolución Nro. 213/22, de fecha 21 de octubre de 2022, emitida por esta Defensoría del Asegurado (DEFASEG), que declaró </w:t>
      </w:r>
      <w:r w:rsidRPr="35C6E644" w:rsidR="008040FC">
        <w:rPr>
          <w:rFonts w:eastAsia="Times New Roman"/>
          <w:b w:val="1"/>
          <w:bCs w:val="1"/>
          <w:lang w:val="es-ES" w:eastAsia="ar-SA"/>
        </w:rPr>
        <w:t>FUNDADA</w:t>
      </w:r>
      <w:r w:rsidRPr="35C6E644" w:rsidR="008040FC">
        <w:rPr>
          <w:rFonts w:eastAsia="Times New Roman"/>
          <w:lang w:val="es-ES" w:eastAsia="ar-SA"/>
        </w:rPr>
        <w:t xml:space="preserve"> </w:t>
      </w:r>
      <w:r w:rsidRPr="35C6E644" w:rsidR="008040FC">
        <w:rPr>
          <w:rFonts w:eastAsia="Arial Unicode MS"/>
          <w:lang w:val="es-ES"/>
        </w:rPr>
        <w:t>la</w:t>
      </w:r>
      <w:r w:rsidRPr="35C6E644" w:rsidR="008040FC">
        <w:rPr>
          <w:rFonts w:eastAsia="Arial Unicode MS"/>
        </w:rPr>
        <w:t xml:space="preserve"> reclamación interpuesta </w:t>
      </w:r>
      <w:bookmarkStart w:name="OLE_LINK2" w:id="0"/>
      <w:r w:rsidRPr="35C6E644" w:rsidR="008040FC">
        <w:rPr>
          <w:rFonts w:eastAsia="Arial Unicode MS"/>
        </w:rPr>
        <w:t xml:space="preserve">por </w:t>
      </w:r>
      <w:r w:rsidRPr="35C6E644" w:rsidR="008040FC">
        <w:rPr>
          <w:rFonts w:eastAsia="Times New Roman"/>
          <w:lang w:eastAsia="es-ES"/>
        </w:rPr>
        <w:t xml:space="preserve">don </w:t>
      </w:r>
      <w:r w:rsidRPr="35C6E644" w:rsidR="1631AD12">
        <w:rPr>
          <w:rFonts w:eastAsia="Times New Roman"/>
          <w:b w:val="1"/>
          <w:bCs w:val="1"/>
          <w:lang w:eastAsia="es-ES"/>
        </w:rPr>
        <w:t>........................................................................</w:t>
      </w:r>
      <w:r w:rsidRPr="35C6E644" w:rsidR="00A31D11">
        <w:rPr>
          <w:rFonts w:eastAsia="Times New Roman"/>
          <w:lang w:eastAsia="es-ES"/>
        </w:rPr>
        <w:t xml:space="preserve"> sobre</w:t>
      </w:r>
      <w:r w:rsidRPr="35C6E644" w:rsidR="008040FC">
        <w:rPr>
          <w:rFonts w:eastAsia="Times New Roman"/>
          <w:lang w:eastAsia="es-ES"/>
        </w:rPr>
        <w:t xml:space="preserve"> otorgamiento de cobertura de invalidez parcial permanente conforme a la póliza de seguro de accidentes personales contratada a través de </w:t>
      </w:r>
      <w:r w:rsidRPr="35C6E644" w:rsidR="008040FC">
        <w:rPr>
          <w:rFonts w:eastAsia="Times New Roman"/>
          <w:lang w:eastAsia="es-ES"/>
        </w:rPr>
        <w:t>Essalud</w:t>
      </w:r>
      <w:r w:rsidRPr="35C6E644" w:rsidR="008040FC">
        <w:rPr>
          <w:rFonts w:eastAsia="Times New Roman"/>
          <w:lang w:eastAsia="es-ES"/>
        </w:rPr>
        <w:t>;</w:t>
      </w:r>
    </w:p>
    <w:p w:rsidRPr="00A31D11" w:rsidR="008040FC" w:rsidP="008040FC" w:rsidRDefault="008040FC" w14:paraId="49D16729" w14:textId="77777777">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hAnsi="Times New Roman" w:eastAsia="Times New Roman" w:cs="Times New Roman"/>
          <w:sz w:val="24"/>
          <w:szCs w:val="24"/>
          <w:lang w:val="es-PE" w:eastAsia="es-ES"/>
        </w:rPr>
      </w:pPr>
    </w:p>
    <w:bookmarkEnd w:id="0"/>
    <w:p w:rsidRPr="00A31D11" w:rsidR="008040FC" w:rsidP="008040FC" w:rsidRDefault="008040FC" w14:paraId="016F5CDA" w14:textId="60E84404">
      <w:pPr>
        <w:suppressAutoHyphens/>
        <w:spacing w:after="0" w:line="240" w:lineRule="auto"/>
        <w:jc w:val="both"/>
        <w:rPr>
          <w:rFonts w:ascii="Times New Roman" w:hAnsi="Times New Roman" w:eastAsia="Times New Roman" w:cs="Times New Roman"/>
          <w:bCs/>
          <w:sz w:val="24"/>
          <w:szCs w:val="24"/>
          <w:lang w:val="es-MX" w:eastAsia="ar-SA"/>
        </w:rPr>
      </w:pPr>
      <w:r w:rsidRPr="00A31D11">
        <w:rPr>
          <w:rFonts w:ascii="Times New Roman" w:hAnsi="Times New Roman" w:eastAsia="Times New Roman" w:cs="Times New Roman"/>
          <w:bCs/>
          <w:sz w:val="24"/>
          <w:szCs w:val="24"/>
          <w:lang w:val="es-MX" w:eastAsia="ar-SA"/>
        </w:rPr>
        <w:t xml:space="preserve">Que, a través del señalado recurso, </w:t>
      </w:r>
      <w:r w:rsidRPr="00A31D11">
        <w:rPr>
          <w:rFonts w:ascii="Times New Roman" w:hAnsi="Times New Roman" w:cs="Times New Roman"/>
          <w:sz w:val="24"/>
          <w:szCs w:val="24"/>
          <w:lang w:val="es-MX"/>
        </w:rPr>
        <w:t xml:space="preserve">la aseguradora </w:t>
      </w:r>
      <w:r w:rsidRPr="00A31D11">
        <w:rPr>
          <w:rFonts w:ascii="Times New Roman" w:hAnsi="Times New Roman" w:eastAsia="Times New Roman" w:cs="Times New Roman"/>
          <w:bCs/>
          <w:sz w:val="24"/>
          <w:szCs w:val="24"/>
          <w:lang w:val="es-MX" w:eastAsia="ar-SA"/>
        </w:rPr>
        <w:t xml:space="preserve">cuestiona lo resuelto por este colegiado, por no haber realizado un análisis completo de los documentos que obran en el expediente, ni haber valorado debidamente los argumentos invocados en su oportunidad, destacando resumidamente lo siguiente: a) que la póliza solo cubre si se trata de la pérdida de un antebrazo, siendo </w:t>
      </w:r>
      <w:r w:rsidRPr="00A31D11" w:rsidR="00A31D11">
        <w:rPr>
          <w:rFonts w:ascii="Times New Roman" w:hAnsi="Times New Roman" w:eastAsia="Times New Roman" w:cs="Times New Roman"/>
          <w:bCs/>
          <w:sz w:val="24"/>
          <w:szCs w:val="24"/>
          <w:lang w:val="es-MX" w:eastAsia="ar-SA"/>
        </w:rPr>
        <w:t>que,</w:t>
      </w:r>
      <w:r w:rsidRPr="00A31D11">
        <w:rPr>
          <w:rFonts w:ascii="Times New Roman" w:hAnsi="Times New Roman" w:eastAsia="Times New Roman" w:cs="Times New Roman"/>
          <w:bCs/>
          <w:sz w:val="24"/>
          <w:szCs w:val="24"/>
          <w:lang w:val="es-MX" w:eastAsia="ar-SA"/>
        </w:rPr>
        <w:t xml:space="preserve"> en este caso al tratarse del izquierdo, el menoscabo debía ascender mínimo al 50%</w:t>
      </w:r>
    </w:p>
    <w:p w:rsidRPr="00A31D11" w:rsidR="008040FC" w:rsidP="008040FC" w:rsidRDefault="008040FC" w14:paraId="2849B937"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A31D11" w:rsidR="008040FC" w:rsidP="008040FC" w:rsidRDefault="008040FC" w14:paraId="742AD588" w14:textId="7C514F37">
      <w:pPr>
        <w:suppressAutoHyphens/>
        <w:spacing w:after="0" w:line="240" w:lineRule="auto"/>
        <w:jc w:val="both"/>
        <w:rPr>
          <w:rFonts w:ascii="Times New Roman" w:hAnsi="Times New Roman" w:eastAsia="Times New Roman" w:cs="Times New Roman"/>
          <w:bCs/>
          <w:sz w:val="24"/>
          <w:szCs w:val="24"/>
          <w:lang w:val="es-MX" w:eastAsia="ar-SA"/>
        </w:rPr>
      </w:pPr>
      <w:r w:rsidRPr="00A31D11">
        <w:rPr>
          <w:rFonts w:ascii="Times New Roman" w:hAnsi="Times New Roman" w:eastAsia="Times New Roman" w:cs="Times New Roman"/>
          <w:bCs/>
          <w:sz w:val="24"/>
          <w:szCs w:val="24"/>
          <w:lang w:val="es-MX" w:eastAsia="ar-SA"/>
        </w:rPr>
        <w:t>Que, habiéndose corrido traslado de la señalada impugnación, el reclamante solicita se declare infundado el recurso interpuesto, por cuanto la aseguradora insiste en los argumentos ya expresados, sin adjuntar documento alguno, y menos el informe médico que le fuera requerido en la audiencia de vista.</w:t>
      </w:r>
    </w:p>
    <w:p w:rsidRPr="00A31D11" w:rsidR="008040FC" w:rsidP="008040FC" w:rsidRDefault="008040FC" w14:paraId="26A354E6"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A31D11" w:rsidR="008040FC" w:rsidP="008040FC" w:rsidRDefault="008040FC" w14:paraId="62FCCDDD" w14:textId="77777777">
      <w:pPr>
        <w:suppressAutoHyphens/>
        <w:spacing w:after="0" w:line="240" w:lineRule="auto"/>
        <w:jc w:val="both"/>
        <w:rPr>
          <w:rFonts w:ascii="Times New Roman" w:hAnsi="Times New Roman" w:cs="Times New Roman"/>
          <w:sz w:val="24"/>
          <w:szCs w:val="24"/>
          <w:lang w:val="es-ES"/>
        </w:rPr>
      </w:pPr>
      <w:r w:rsidRPr="00A31D11">
        <w:rPr>
          <w:rFonts w:ascii="Times New Roman" w:hAnsi="Times New Roman" w:cs="Times New Roman"/>
          <w:sz w:val="24"/>
          <w:szCs w:val="24"/>
          <w:lang w:val="es-ES"/>
        </w:rPr>
        <w:t>Que, ambas partes han tenido la oportunidad para ejercer su derecho de defensa con relación a la resolución recurrida, siendo que el expediente se encuentra en condiciones para que este colegiado expida su pronunciamiento;</w:t>
      </w:r>
    </w:p>
    <w:p w:rsidRPr="00A31D11" w:rsidR="008040FC" w:rsidP="008040FC" w:rsidRDefault="008040FC" w14:paraId="1772725D" w14:textId="77777777">
      <w:pPr>
        <w:suppressAutoHyphens/>
        <w:spacing w:after="0" w:line="240" w:lineRule="auto"/>
        <w:jc w:val="both"/>
        <w:rPr>
          <w:rFonts w:ascii="Times New Roman" w:hAnsi="Times New Roman" w:eastAsia="Times New Roman" w:cs="Times New Roman"/>
          <w:sz w:val="24"/>
          <w:szCs w:val="24"/>
          <w:lang w:val="es-MX" w:eastAsia="ar-SA"/>
        </w:rPr>
      </w:pPr>
    </w:p>
    <w:p w:rsidRPr="00A31D11" w:rsidR="008040FC" w:rsidP="008040FC" w:rsidRDefault="008040FC" w14:paraId="1C9A1821" w14:textId="77777777">
      <w:pPr>
        <w:suppressAutoHyphens/>
        <w:spacing w:after="0" w:line="240" w:lineRule="auto"/>
        <w:jc w:val="both"/>
        <w:rPr>
          <w:rFonts w:ascii="Times New Roman" w:hAnsi="Times New Roman" w:eastAsia="Times New Roman" w:cs="Times New Roman"/>
          <w:bCs/>
          <w:sz w:val="24"/>
          <w:szCs w:val="24"/>
          <w:lang w:val="es-MX" w:eastAsia="ar-SA"/>
        </w:rPr>
      </w:pPr>
      <w:r w:rsidRPr="00A31D11">
        <w:rPr>
          <w:rFonts w:ascii="Times New Roman" w:hAnsi="Times New Roman" w:eastAsia="Times New Roman" w:cs="Times New Roman"/>
          <w:b/>
          <w:bCs/>
          <w:sz w:val="24"/>
          <w:szCs w:val="24"/>
          <w:lang w:val="es-MX" w:eastAsia="ar-SA"/>
        </w:rPr>
        <w:t>Considerando:</w:t>
      </w:r>
    </w:p>
    <w:p w:rsidRPr="00A31D11" w:rsidR="008040FC" w:rsidP="008040FC" w:rsidRDefault="008040FC" w14:paraId="5E9C6242" w14:textId="77777777">
      <w:pPr>
        <w:suppressAutoHyphens/>
        <w:spacing w:after="0" w:line="240" w:lineRule="auto"/>
        <w:jc w:val="both"/>
        <w:rPr>
          <w:rFonts w:ascii="Times New Roman" w:hAnsi="Times New Roman" w:eastAsia="Times New Roman" w:cs="Times New Roman"/>
          <w:sz w:val="24"/>
          <w:szCs w:val="24"/>
          <w:lang w:val="es-ES" w:eastAsia="ar-SA"/>
        </w:rPr>
      </w:pPr>
    </w:p>
    <w:p w:rsidRPr="00A31D11" w:rsidR="008040FC" w:rsidP="008040FC" w:rsidRDefault="008040FC" w14:paraId="307267A0" w14:textId="77777777">
      <w:pPr>
        <w:spacing w:after="0" w:line="240" w:lineRule="auto"/>
        <w:jc w:val="both"/>
        <w:rPr>
          <w:rFonts w:ascii="Times New Roman" w:hAnsi="Times New Roman" w:cs="Times New Roman"/>
          <w:sz w:val="24"/>
          <w:szCs w:val="24"/>
          <w:lang w:val="es-PE"/>
        </w:rPr>
      </w:pPr>
      <w:r w:rsidRPr="00A31D11">
        <w:rPr>
          <w:rFonts w:ascii="Times New Roman" w:hAnsi="Times New Roman" w:cs="Times New Roman"/>
          <w:b/>
          <w:sz w:val="24"/>
          <w:szCs w:val="24"/>
          <w:u w:val="single"/>
          <w:lang w:val="es-PE"/>
        </w:rPr>
        <w:t>Primero</w:t>
      </w:r>
      <w:r w:rsidRPr="00A31D11">
        <w:rPr>
          <w:rFonts w:ascii="Times New Roman" w:hAnsi="Times New Roman" w:cs="Times New Roman"/>
          <w:b/>
          <w:sz w:val="24"/>
          <w:szCs w:val="24"/>
          <w:lang w:val="es-PE"/>
        </w:rPr>
        <w:t>:</w:t>
      </w:r>
      <w:r w:rsidRPr="00A31D11">
        <w:rPr>
          <w:rFonts w:ascii="Times New Roman" w:hAnsi="Times New Roman" w:cs="Times New Roman"/>
          <w:sz w:val="24"/>
          <w:szCs w:val="24"/>
          <w:lang w:val="es-PE"/>
        </w:rPr>
        <w:t xml:space="preserve"> El Reglamento de la DEFASEG </w:t>
      </w:r>
      <w:r w:rsidRPr="00A31D11">
        <w:rPr>
          <w:rFonts w:ascii="Times New Roman" w:hAnsi="Times New Roman" w:eastAsia="Arial Unicode MS" w:cs="Times New Roman"/>
          <w:sz w:val="24"/>
          <w:szCs w:val="24"/>
          <w:lang w:val="es-PE"/>
        </w:rPr>
        <w:t xml:space="preserve">(http://www.defaseg.com.pe/reglamento), en su artículo 10, </w:t>
      </w:r>
      <w:r w:rsidRPr="00A31D11">
        <w:rPr>
          <w:rFonts w:ascii="Times New Roman" w:hAnsi="Times New Roman" w:cs="Times New Roman"/>
          <w:sz w:val="24"/>
          <w:szCs w:val="24"/>
          <w:lang w:val="es-PE"/>
        </w:rPr>
        <w:t xml:space="preserve">establece que la parte que no se encuentre de acuerdo con lo resuelto en su oportunidad podrá impugnarlo, interponiendo el correspondiente recurso. De manera complementaria, el artículo 11 del indicado reglamento dispone que, el </w:t>
      </w:r>
      <w:r w:rsidRPr="00A31D11">
        <w:rPr>
          <w:rFonts w:ascii="Times New Roman" w:hAnsi="Times New Roman" w:cs="Times New Roman"/>
          <w:sz w:val="24"/>
          <w:szCs w:val="24"/>
          <w:lang w:val="es-ES"/>
        </w:rPr>
        <w:t>usuario de seguro recurre en forma voluntaria a la Defensoría, siendo que la presentación de una reclamación n</w:t>
      </w:r>
      <w:r w:rsidRPr="00A31D11">
        <w:rPr>
          <w:rFonts w:ascii="Times New Roman" w:hAnsi="Times New Roman" w:cs="Times New Roman"/>
          <w:sz w:val="24"/>
          <w:szCs w:val="24"/>
          <w:lang w:val="es-PE"/>
        </w:rPr>
        <w:t xml:space="preserve">o limita su derecho a recurrir posteriormente ante el órgano administrativo o jurisdiccional que considere pertinente.  </w:t>
      </w:r>
      <w:proofErr w:type="gramStart"/>
      <w:r w:rsidRPr="00A31D11">
        <w:rPr>
          <w:rFonts w:ascii="Times New Roman" w:hAnsi="Times New Roman" w:cs="Times New Roman"/>
          <w:sz w:val="24"/>
          <w:szCs w:val="24"/>
          <w:lang w:val="es-PE"/>
        </w:rPr>
        <w:t>De acuerdo a</w:t>
      </w:r>
      <w:proofErr w:type="gramEnd"/>
      <w:r w:rsidRPr="00A31D11">
        <w:rPr>
          <w:rFonts w:ascii="Times New Roman" w:hAnsi="Times New Roman" w:cs="Times New Roman"/>
          <w:sz w:val="24"/>
          <w:szCs w:val="24"/>
          <w:lang w:val="es-PE"/>
        </w:rPr>
        <w:t xml:space="preserve"> lo anterior, debe destacarse que, en el caso que el asegurado no se encuentra conforme con lo resuelto finalmente, esto último no limita la posibilidad de poder recurrir a las instancias correspondientes, administrativas o jurisdiccionales, a diferencia de la aseguradora que sí queda comprometida con lo resuelto por la DEFASEG.</w:t>
      </w:r>
    </w:p>
    <w:p w:rsidRPr="00A31D11" w:rsidR="008040FC" w:rsidP="008040FC" w:rsidRDefault="008040FC" w14:paraId="2FFE4350" w14:textId="77777777">
      <w:pPr>
        <w:spacing w:after="0" w:line="240" w:lineRule="auto"/>
        <w:jc w:val="both"/>
        <w:rPr>
          <w:rFonts w:ascii="Times New Roman" w:hAnsi="Times New Roman" w:cs="Times New Roman"/>
          <w:sz w:val="24"/>
          <w:szCs w:val="24"/>
          <w:lang w:val="es-PE"/>
        </w:rPr>
      </w:pPr>
    </w:p>
    <w:p w:rsidRPr="00A31D11" w:rsidR="008040FC" w:rsidP="008040FC" w:rsidRDefault="008040FC" w14:paraId="486913E7" w14:textId="31405185">
      <w:pPr>
        <w:tabs>
          <w:tab w:val="left" w:pos="0"/>
          <w:tab w:val="left" w:pos="2160"/>
        </w:tabs>
        <w:spacing w:after="0" w:line="240" w:lineRule="auto"/>
        <w:jc w:val="both"/>
        <w:rPr>
          <w:rFonts w:ascii="Times New Roman" w:hAnsi="Times New Roman" w:cs="Times New Roman"/>
          <w:sz w:val="24"/>
          <w:szCs w:val="24"/>
          <w:lang w:val="es-PE"/>
        </w:rPr>
      </w:pPr>
      <w:r w:rsidRPr="35C6E644" w:rsidR="008040FC">
        <w:rPr>
          <w:rFonts w:ascii="Times New Roman" w:hAnsi="Times New Roman" w:cs="Times New Roman"/>
          <w:b w:val="1"/>
          <w:bCs w:val="1"/>
          <w:sz w:val="24"/>
          <w:szCs w:val="24"/>
          <w:u w:val="single"/>
          <w:lang w:val="es-PE"/>
        </w:rPr>
        <w:t>Segundo</w:t>
      </w:r>
      <w:r w:rsidRPr="35C6E644" w:rsidR="008040FC">
        <w:rPr>
          <w:rFonts w:ascii="Times New Roman" w:hAnsi="Times New Roman" w:cs="Times New Roman"/>
          <w:b w:val="1"/>
          <w:bCs w:val="1"/>
          <w:sz w:val="24"/>
          <w:szCs w:val="24"/>
          <w:lang w:val="es-PE"/>
        </w:rPr>
        <w:t>:</w:t>
      </w:r>
      <w:r w:rsidRPr="35C6E644" w:rsidR="008040FC">
        <w:rPr>
          <w:rFonts w:ascii="Times New Roman" w:hAnsi="Times New Roman" w:cs="Times New Roman"/>
          <w:sz w:val="24"/>
          <w:szCs w:val="24"/>
          <w:lang w:val="es-PE"/>
        </w:rPr>
        <w:t xml:space="preserve"> Atendiendo a los fundamentos de la impugnación interpuesta, se aprecia que </w:t>
      </w:r>
      <w:r w:rsidRPr="35C6E644" w:rsidR="0AFDE29C">
        <w:rPr>
          <w:rFonts w:ascii="Times New Roman" w:hAnsi="Times New Roman" w:cs="Times New Roman"/>
          <w:sz w:val="24"/>
          <w:szCs w:val="24"/>
          <w:lang w:val="es-PE"/>
        </w:rPr>
        <w:t>....................................</w:t>
      </w:r>
      <w:r w:rsidRPr="35C6E644" w:rsidR="008040FC">
        <w:rPr>
          <w:rFonts w:ascii="Times New Roman" w:hAnsi="Times New Roman" w:cs="Times New Roman"/>
          <w:sz w:val="24"/>
          <w:szCs w:val="24"/>
          <w:lang w:val="es-PE"/>
        </w:rPr>
        <w:t xml:space="preserve"> reitera su posición; no obstante, poco o nada se advierte que la aseguradora haya cuidado de: (i) adjuntar el informe médico que le fuera requerido en la audiencia de vista; (</w:t>
      </w:r>
      <w:r w:rsidRPr="35C6E644" w:rsidR="008040FC">
        <w:rPr>
          <w:rFonts w:ascii="Times New Roman" w:hAnsi="Times New Roman" w:cs="Times New Roman"/>
          <w:sz w:val="24"/>
          <w:szCs w:val="24"/>
          <w:lang w:val="es-PE"/>
        </w:rPr>
        <w:t>ii</w:t>
      </w:r>
      <w:r w:rsidRPr="35C6E644" w:rsidR="008040FC">
        <w:rPr>
          <w:rFonts w:ascii="Times New Roman" w:hAnsi="Times New Roman" w:cs="Times New Roman"/>
          <w:sz w:val="24"/>
          <w:szCs w:val="24"/>
          <w:lang w:val="es-PE"/>
        </w:rPr>
        <w:t>) contradecir los fundamentos de la resolución impugnada, limitándose a reiterar sus argumentos ya analizados.</w:t>
      </w:r>
    </w:p>
    <w:p w:rsidRPr="00A31D11" w:rsidR="008040FC" w:rsidP="008040FC" w:rsidRDefault="008040FC" w14:paraId="022D5578" w14:textId="77777777">
      <w:pPr>
        <w:tabs>
          <w:tab w:val="left" w:pos="0"/>
          <w:tab w:val="left" w:pos="2160"/>
        </w:tabs>
        <w:spacing w:after="0" w:line="240" w:lineRule="auto"/>
        <w:jc w:val="both"/>
        <w:rPr>
          <w:rFonts w:ascii="Times New Roman" w:hAnsi="Times New Roman" w:cs="Times New Roman"/>
          <w:sz w:val="24"/>
          <w:szCs w:val="24"/>
          <w:lang w:val="es-PE"/>
        </w:rPr>
      </w:pPr>
    </w:p>
    <w:p w:rsidR="00A31D11" w:rsidP="008040FC" w:rsidRDefault="00A31D11" w14:paraId="3D9AD785" w14:textId="77777777">
      <w:pPr>
        <w:tabs>
          <w:tab w:val="left" w:pos="0"/>
          <w:tab w:val="left" w:pos="2160"/>
        </w:tabs>
        <w:spacing w:after="0" w:line="240" w:lineRule="auto"/>
        <w:jc w:val="both"/>
        <w:rPr>
          <w:rFonts w:ascii="Times New Roman" w:hAnsi="Times New Roman" w:cs="Times New Roman"/>
          <w:sz w:val="24"/>
          <w:szCs w:val="24"/>
          <w:lang w:val="es-PE"/>
        </w:rPr>
      </w:pPr>
    </w:p>
    <w:p w:rsidR="00A31D11" w:rsidP="008040FC" w:rsidRDefault="00A31D11" w14:paraId="689AEE00" w14:textId="77777777">
      <w:pPr>
        <w:tabs>
          <w:tab w:val="left" w:pos="0"/>
          <w:tab w:val="left" w:pos="2160"/>
        </w:tabs>
        <w:spacing w:after="0" w:line="240" w:lineRule="auto"/>
        <w:jc w:val="both"/>
        <w:rPr>
          <w:rFonts w:ascii="Times New Roman" w:hAnsi="Times New Roman" w:cs="Times New Roman"/>
          <w:sz w:val="24"/>
          <w:szCs w:val="24"/>
          <w:lang w:val="es-PE"/>
        </w:rPr>
      </w:pPr>
    </w:p>
    <w:p w:rsidRPr="00A31D11" w:rsidR="008040FC" w:rsidP="008040FC" w:rsidRDefault="008040FC" w14:paraId="20349A30" w14:textId="784ACCAD">
      <w:pPr>
        <w:tabs>
          <w:tab w:val="left" w:pos="0"/>
          <w:tab w:val="left" w:pos="2160"/>
        </w:tabs>
        <w:spacing w:after="0" w:line="240" w:lineRule="auto"/>
        <w:jc w:val="both"/>
        <w:rPr>
          <w:rFonts w:ascii="Times New Roman" w:hAnsi="Times New Roman" w:cs="Times New Roman"/>
          <w:sz w:val="24"/>
          <w:szCs w:val="24"/>
          <w:lang w:val="es-PE"/>
        </w:rPr>
      </w:pPr>
      <w:r w:rsidRPr="00A31D11">
        <w:rPr>
          <w:rFonts w:ascii="Times New Roman" w:hAnsi="Times New Roman" w:cs="Times New Roman"/>
          <w:sz w:val="24"/>
          <w:szCs w:val="24"/>
          <w:lang w:val="es-PE"/>
        </w:rPr>
        <w:t>En consecuencia, el recurso impugnativo interpuesto puede ser categorizado, por su contenido mismo, como una solicitud de revisión general, sustentado en un criterio que este colegiado no comparte definitivamente, pero sin aportar argumento o medio probatorio suficiente que permita objetivamente a este colegiado apreciar que se habría incurrido efectivamente en un error o vicio al momento de resolver, por lo que corresponde que la DEFASEG reitere lo analizado y concluido en su oportunidad.</w:t>
      </w:r>
    </w:p>
    <w:p w:rsidRPr="00A31D11" w:rsidR="008040FC" w:rsidP="008040FC" w:rsidRDefault="008040FC" w14:paraId="1D0BE2C2" w14:textId="77777777">
      <w:pPr>
        <w:tabs>
          <w:tab w:val="left" w:pos="0"/>
          <w:tab w:val="left" w:pos="2160"/>
        </w:tabs>
        <w:spacing w:after="0" w:line="240" w:lineRule="auto"/>
        <w:jc w:val="both"/>
        <w:rPr>
          <w:rFonts w:ascii="Times New Roman" w:hAnsi="Times New Roman" w:cs="Times New Roman"/>
          <w:sz w:val="24"/>
          <w:szCs w:val="24"/>
          <w:lang w:val="es-PE"/>
        </w:rPr>
      </w:pPr>
    </w:p>
    <w:p w:rsidRPr="00A31D11" w:rsidR="008040FC" w:rsidP="008040FC" w:rsidRDefault="008040FC" w14:paraId="6C06E33F" w14:textId="77777777">
      <w:pPr>
        <w:spacing w:after="0" w:line="240" w:lineRule="auto"/>
        <w:jc w:val="both"/>
        <w:rPr>
          <w:rFonts w:ascii="Times New Roman" w:hAnsi="Times New Roman" w:cs="Times New Roman"/>
          <w:b/>
          <w:sz w:val="24"/>
          <w:szCs w:val="24"/>
          <w:lang w:val="es-PE"/>
        </w:rPr>
      </w:pPr>
      <w:r w:rsidRPr="00A31D11">
        <w:rPr>
          <w:rFonts w:ascii="Times New Roman" w:hAnsi="Times New Roman" w:cs="Times New Roman"/>
          <w:b/>
          <w:sz w:val="24"/>
          <w:szCs w:val="24"/>
          <w:lang w:val="es-PE"/>
        </w:rPr>
        <w:t>Atendiendo a lo expresado, conforme a su reglamento, esta Defensoría resuelve:</w:t>
      </w:r>
    </w:p>
    <w:p w:rsidRPr="00A31D11" w:rsidR="008040FC" w:rsidP="008040FC" w:rsidRDefault="008040FC" w14:paraId="5F48DF9F" w14:textId="77777777">
      <w:pPr>
        <w:spacing w:after="0" w:line="240" w:lineRule="auto"/>
        <w:jc w:val="both"/>
        <w:rPr>
          <w:rFonts w:ascii="Times New Roman" w:hAnsi="Times New Roman" w:eastAsia="Arial Unicode MS" w:cs="Times New Roman"/>
          <w:b/>
          <w:sz w:val="24"/>
          <w:szCs w:val="24"/>
          <w:lang w:val="es-PE"/>
        </w:rPr>
      </w:pPr>
    </w:p>
    <w:p w:rsidRPr="00A31D11" w:rsidR="008040FC" w:rsidP="008040FC" w:rsidRDefault="008040FC" w14:paraId="09B7BACB" w14:textId="1DC76E9A">
      <w:pPr>
        <w:spacing w:after="0" w:line="240" w:lineRule="auto"/>
        <w:jc w:val="both"/>
        <w:rPr>
          <w:rFonts w:ascii="Times New Roman" w:hAnsi="Times New Roman" w:eastAsia="Times New Roman" w:cs="Times New Roman"/>
          <w:sz w:val="24"/>
          <w:szCs w:val="24"/>
          <w:lang w:val="es-ES" w:eastAsia="ar-SA"/>
        </w:rPr>
      </w:pPr>
      <w:r w:rsidRPr="35C6E644" w:rsidR="008040FC">
        <w:rPr>
          <w:rFonts w:ascii="Times New Roman" w:hAnsi="Times New Roman" w:eastAsia="Arial Unicode MS" w:cs="Times New Roman"/>
          <w:b w:val="1"/>
          <w:bCs w:val="1"/>
          <w:sz w:val="24"/>
          <w:szCs w:val="24"/>
          <w:lang w:val="es-PE"/>
        </w:rPr>
        <w:t xml:space="preserve">Declarar INFUNDADO el recurso impugnativo </w:t>
      </w:r>
      <w:r w:rsidRPr="35C6E644" w:rsidR="008040FC">
        <w:rPr>
          <w:rFonts w:ascii="Times New Roman" w:hAnsi="Times New Roman" w:eastAsia="Arial Unicode MS" w:cs="Times New Roman"/>
          <w:sz w:val="24"/>
          <w:szCs w:val="24"/>
          <w:lang w:val="es-PE"/>
        </w:rPr>
        <w:t xml:space="preserve">interpuesto por </w:t>
      </w:r>
      <w:r w:rsidRPr="35C6E644" w:rsidR="0AFDE29C">
        <w:rPr>
          <w:rFonts w:ascii="Times New Roman" w:hAnsi="Times New Roman" w:eastAsia="Arial Unicode MS" w:cs="Times New Roman"/>
          <w:sz w:val="24"/>
          <w:szCs w:val="24"/>
          <w:lang w:val="es-PE"/>
        </w:rPr>
        <w:t>....................................</w:t>
      </w:r>
      <w:r w:rsidRPr="35C6E644" w:rsidR="008040FC">
        <w:rPr>
          <w:rFonts w:ascii="Times New Roman" w:hAnsi="Times New Roman" w:eastAsia="Arial Unicode MS" w:cs="Times New Roman"/>
          <w:sz w:val="24"/>
          <w:szCs w:val="24"/>
          <w:lang w:val="es-PE"/>
        </w:rPr>
        <w:t xml:space="preserve"> </w:t>
      </w:r>
      <w:r w:rsidRPr="35C6E644" w:rsidR="008040FC">
        <w:rPr>
          <w:rFonts w:ascii="Times New Roman" w:hAnsi="Times New Roman" w:eastAsia="Times New Roman" w:cs="Times New Roman"/>
          <w:sz w:val="24"/>
          <w:szCs w:val="24"/>
          <w:lang w:val="es-ES" w:eastAsia="ar-SA"/>
        </w:rPr>
        <w:t>y, por consiguiente, ratificar la Resolución Nro. 213/22, de fecha 21 de octubre de 2022, que declaró FUNDADA la reclamación.</w:t>
      </w:r>
    </w:p>
    <w:p w:rsidRPr="00A31D11" w:rsidR="008040FC" w:rsidP="008040FC" w:rsidRDefault="008040FC" w14:paraId="6885C407" w14:textId="77777777">
      <w:pPr>
        <w:spacing w:after="0" w:line="240" w:lineRule="auto"/>
        <w:jc w:val="both"/>
        <w:rPr>
          <w:rFonts w:ascii="Times New Roman" w:hAnsi="Times New Roman" w:eastAsia="Times New Roman" w:cs="Times New Roman"/>
          <w:sz w:val="24"/>
          <w:szCs w:val="24"/>
          <w:lang w:val="es-ES" w:eastAsia="ar-SA"/>
        </w:rPr>
      </w:pPr>
    </w:p>
    <w:p w:rsidRPr="00A31D11" w:rsidR="008040FC" w:rsidP="008040FC" w:rsidRDefault="008040FC" w14:paraId="6EBE28EA" w14:textId="0D972AB0">
      <w:pPr>
        <w:suppressAutoHyphens/>
        <w:spacing w:after="0" w:line="240" w:lineRule="auto"/>
        <w:jc w:val="right"/>
        <w:outlineLvl w:val="0"/>
        <w:rPr>
          <w:rFonts w:ascii="Times New Roman" w:hAnsi="Times New Roman" w:eastAsia="Arial Unicode MS" w:cs="Times New Roman"/>
          <w:sz w:val="24"/>
          <w:szCs w:val="24"/>
          <w:lang w:val="es-ES" w:eastAsia="ar-SA"/>
        </w:rPr>
      </w:pPr>
      <w:r w:rsidRPr="00A31D11">
        <w:rPr>
          <w:rFonts w:ascii="Times New Roman" w:hAnsi="Times New Roman" w:eastAsia="Arial Unicode MS" w:cs="Times New Roman"/>
          <w:sz w:val="24"/>
          <w:szCs w:val="24"/>
          <w:lang w:val="es-ES" w:eastAsia="ar-SA"/>
        </w:rPr>
        <w:t xml:space="preserve">Lima, </w:t>
      </w:r>
      <w:r w:rsidRPr="00A31D11" w:rsidR="00A31D11">
        <w:rPr>
          <w:rFonts w:ascii="Times New Roman" w:hAnsi="Times New Roman" w:eastAsia="Arial Unicode MS" w:cs="Times New Roman"/>
          <w:sz w:val="24"/>
          <w:szCs w:val="24"/>
          <w:lang w:val="es-ES" w:eastAsia="ar-SA"/>
        </w:rPr>
        <w:t>25</w:t>
      </w:r>
      <w:r w:rsidRPr="00A31D11">
        <w:rPr>
          <w:rFonts w:ascii="Times New Roman" w:hAnsi="Times New Roman" w:eastAsia="Arial Unicode MS" w:cs="Times New Roman"/>
          <w:sz w:val="24"/>
          <w:szCs w:val="24"/>
          <w:lang w:val="es-ES" w:eastAsia="ar-SA"/>
        </w:rPr>
        <w:t xml:space="preserve"> de noviembre de 2022</w:t>
      </w:r>
    </w:p>
    <w:p w:rsidR="00A31D11" w:rsidP="008040FC" w:rsidRDefault="00A31D11" w14:paraId="7B4D6811" w14:textId="77777777">
      <w:pPr>
        <w:suppressAutoHyphens/>
        <w:spacing w:after="0" w:line="240" w:lineRule="auto"/>
        <w:jc w:val="right"/>
        <w:outlineLvl w:val="0"/>
        <w:rPr>
          <w:rFonts w:ascii="Arial" w:hAnsi="Arial" w:eastAsia="Arial Unicode MS" w:cs="Arial"/>
          <w:lang w:val="es-ES" w:eastAsia="ar-SA"/>
        </w:rPr>
      </w:pPr>
    </w:p>
    <w:p w:rsidR="00A31D11" w:rsidP="008040FC" w:rsidRDefault="00A31D11" w14:paraId="69EA17B5" w14:textId="549C6407">
      <w:pPr>
        <w:suppressAutoHyphens/>
        <w:spacing w:after="0" w:line="240" w:lineRule="auto"/>
        <w:jc w:val="right"/>
        <w:outlineLvl w:val="0"/>
        <w:rPr>
          <w:rFonts w:ascii="Arial" w:hAnsi="Arial" w:eastAsia="Arial Unicode MS" w:cs="Arial"/>
          <w:lang w:val="es-ES" w:eastAsia="ar-SA"/>
        </w:rPr>
      </w:pPr>
    </w:p>
    <w:p w:rsidRPr="00A31D11" w:rsidR="00A31D11" w:rsidP="00A31D11" w:rsidRDefault="00A31D11" w14:paraId="011865B3" w14:textId="77777777">
      <w:pPr>
        <w:jc w:val="both"/>
        <w:rPr>
          <w:rFonts w:ascii="Times New Roman" w:hAnsi="Times New Roman" w:cs="Times New Roman"/>
          <w:b/>
          <w:bCs/>
          <w:i/>
          <w:iCs/>
          <w:sz w:val="24"/>
          <w:szCs w:val="24"/>
          <w:lang w:val="es-PE"/>
        </w:rPr>
      </w:pPr>
      <w:r w:rsidRPr="00502DAA">
        <w:rPr>
          <w:rFonts w:ascii="Times New Roman" w:hAnsi="Times New Roman" w:cs="Times New Roman"/>
          <w:b/>
          <w:bCs/>
          <w:i/>
          <w:iCs/>
          <w:sz w:val="24"/>
          <w:szCs w:val="24"/>
        </w:rPr>
        <w:t xml:space="preserve">La </w:t>
      </w:r>
      <w:r w:rsidRPr="00A31D11">
        <w:rPr>
          <w:rFonts w:ascii="Times New Roman" w:hAnsi="Times New Roman" w:cs="Times New Roman"/>
          <w:b/>
          <w:bCs/>
          <w:i/>
          <w:iCs/>
          <w:sz w:val="24"/>
          <w:szCs w:val="24"/>
          <w:lang w:val="es-PE"/>
        </w:rPr>
        <w:t>Secretaría</w:t>
      </w:r>
      <w:r w:rsidRPr="00502DAA">
        <w:rPr>
          <w:rFonts w:ascii="Times New Roman" w:hAnsi="Times New Roman" w:cs="Times New Roman"/>
          <w:b/>
          <w:bCs/>
          <w:i/>
          <w:iCs/>
          <w:sz w:val="24"/>
          <w:szCs w:val="24"/>
        </w:rPr>
        <w:t xml:space="preserve"> Técnica </w:t>
      </w:r>
      <w:r w:rsidRPr="00A31D11">
        <w:rPr>
          <w:rFonts w:ascii="Times New Roman" w:hAnsi="Times New Roman" w:cs="Times New Roman"/>
          <w:b/>
          <w:bCs/>
          <w:i/>
          <w:iCs/>
          <w:sz w:val="24"/>
          <w:szCs w:val="24"/>
          <w:lang w:val="es-PE"/>
        </w:rPr>
        <w:t>certifica</w:t>
      </w:r>
      <w:r w:rsidRPr="00502DAA">
        <w:rPr>
          <w:rFonts w:ascii="Times New Roman" w:hAnsi="Times New Roman" w:cs="Times New Roman"/>
          <w:b/>
          <w:bCs/>
          <w:i/>
          <w:iCs/>
          <w:sz w:val="24"/>
          <w:szCs w:val="24"/>
        </w:rPr>
        <w:t xml:space="preserve"> que la </w:t>
      </w:r>
      <w:r w:rsidRPr="00A31D11">
        <w:rPr>
          <w:rFonts w:ascii="Times New Roman" w:hAnsi="Times New Roman" w:cs="Times New Roman"/>
          <w:b/>
          <w:bCs/>
          <w:i/>
          <w:iCs/>
          <w:sz w:val="24"/>
          <w:szCs w:val="24"/>
          <w:lang w:val="es-PE"/>
        </w:rPr>
        <w:t>presente resolución cuenta con el voto de los vocales cuyos nombres figuran en el presente documento.</w:t>
      </w:r>
    </w:p>
    <w:p w:rsidRPr="00A31D11" w:rsidR="00A31D11" w:rsidP="00A31D11" w:rsidRDefault="00A31D11" w14:paraId="20022C57" w14:textId="77777777">
      <w:pPr>
        <w:jc w:val="both"/>
        <w:rPr>
          <w:rFonts w:ascii="Times New Roman" w:hAnsi="Times New Roman" w:cs="Times New Roman"/>
          <w:b/>
          <w:bCs/>
          <w:i/>
          <w:iCs/>
          <w:sz w:val="24"/>
          <w:szCs w:val="24"/>
          <w:lang w:val="es-PE"/>
        </w:rPr>
      </w:pPr>
    </w:p>
    <w:p w:rsidRPr="00502DAA" w:rsidR="00A31D11" w:rsidP="00A31D11" w:rsidRDefault="00A31D11" w14:paraId="0E6BD4CF" w14:textId="77777777">
      <w:pPr>
        <w:spacing w:after="0" w:line="240" w:lineRule="auto"/>
        <w:jc w:val="center"/>
        <w:rPr>
          <w:rFonts w:ascii="Times New Roman" w:hAnsi="Times New Roman" w:cs="Times New Roman"/>
          <w:b/>
          <w:bCs/>
          <w:sz w:val="24"/>
          <w:szCs w:val="24"/>
        </w:rPr>
      </w:pPr>
      <w:r w:rsidRPr="00502DAA">
        <w:rPr>
          <w:rFonts w:ascii="Times New Roman" w:hAnsi="Times New Roman" w:cs="Times New Roman"/>
          <w:b/>
          <w:bCs/>
          <w:sz w:val="24"/>
          <w:szCs w:val="24"/>
        </w:rPr>
        <w:t xml:space="preserve">Rolando Eyzaguirre </w:t>
      </w:r>
      <w:proofErr w:type="spellStart"/>
      <w:r w:rsidRPr="00A31D11">
        <w:rPr>
          <w:rFonts w:ascii="Times New Roman" w:hAnsi="Times New Roman" w:cs="Times New Roman"/>
          <w:b/>
          <w:bCs/>
          <w:sz w:val="24"/>
          <w:szCs w:val="24"/>
          <w:lang w:val="es-PE"/>
        </w:rPr>
        <w:t>Maccan</w:t>
      </w:r>
      <w:proofErr w:type="spellEnd"/>
      <w:r w:rsidRPr="00502DAA">
        <w:rPr>
          <w:rFonts w:ascii="Times New Roman" w:hAnsi="Times New Roman" w:cs="Times New Roman"/>
          <w:b/>
          <w:bCs/>
          <w:sz w:val="24"/>
          <w:szCs w:val="24"/>
        </w:rPr>
        <w:t xml:space="preserve"> – </w:t>
      </w:r>
      <w:proofErr w:type="spellStart"/>
      <w:r w:rsidRPr="00502DAA">
        <w:rPr>
          <w:rFonts w:ascii="Times New Roman" w:hAnsi="Times New Roman" w:cs="Times New Roman"/>
          <w:b/>
          <w:bCs/>
          <w:sz w:val="24"/>
          <w:szCs w:val="24"/>
        </w:rPr>
        <w:t>Presidente</w:t>
      </w:r>
      <w:proofErr w:type="spellEnd"/>
    </w:p>
    <w:p w:rsidRPr="00502DAA" w:rsidR="00A31D11" w:rsidP="00A31D11" w:rsidRDefault="00A31D11" w14:paraId="59CFC7F3" w14:textId="77777777">
      <w:pPr>
        <w:spacing w:after="0" w:line="240" w:lineRule="auto"/>
        <w:jc w:val="center"/>
        <w:rPr>
          <w:rFonts w:ascii="Times New Roman" w:hAnsi="Times New Roman" w:cs="Times New Roman"/>
          <w:b/>
          <w:bCs/>
          <w:sz w:val="24"/>
          <w:szCs w:val="24"/>
        </w:rPr>
      </w:pPr>
      <w:r w:rsidRPr="00502DAA">
        <w:rPr>
          <w:rFonts w:ascii="Times New Roman" w:hAnsi="Times New Roman" w:cs="Times New Roman"/>
          <w:b/>
          <w:bCs/>
          <w:sz w:val="24"/>
          <w:szCs w:val="24"/>
        </w:rPr>
        <w:t>María Eugenia Valdez Fernández Baca – Vocal</w:t>
      </w:r>
    </w:p>
    <w:p w:rsidRPr="00502DAA" w:rsidR="00A31D11" w:rsidP="00A31D11" w:rsidRDefault="00A31D11" w14:paraId="1336A70F" w14:textId="6E039BDF">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Omar Alfaro Villanueva</w:t>
      </w:r>
      <w:r w:rsidRPr="00502DAA">
        <w:rPr>
          <w:rFonts w:ascii="Times New Roman" w:hAnsi="Times New Roman" w:cs="Times New Roman"/>
          <w:b/>
          <w:bCs/>
          <w:sz w:val="24"/>
          <w:szCs w:val="24"/>
        </w:rPr>
        <w:t xml:space="preserve"> – Vocal</w:t>
      </w:r>
    </w:p>
    <w:p w:rsidRPr="00502DAA" w:rsidR="00A31D11" w:rsidP="00A31D11" w:rsidRDefault="00A31D11" w14:paraId="32B3AA4A" w14:textId="77777777">
      <w:pPr>
        <w:spacing w:after="0" w:line="240" w:lineRule="auto"/>
        <w:jc w:val="center"/>
        <w:rPr>
          <w:rFonts w:ascii="Times New Roman" w:hAnsi="Times New Roman" w:cs="Times New Roman"/>
          <w:sz w:val="24"/>
          <w:szCs w:val="24"/>
        </w:rPr>
      </w:pPr>
      <w:r w:rsidRPr="00502DAA">
        <w:rPr>
          <w:rFonts w:ascii="Times New Roman" w:hAnsi="Times New Roman" w:cs="Times New Roman"/>
          <w:b/>
          <w:bCs/>
          <w:sz w:val="24"/>
          <w:szCs w:val="24"/>
        </w:rPr>
        <w:t>Gonzalo Abad del Busto – Vocal</w:t>
      </w:r>
    </w:p>
    <w:p w:rsidRPr="00A837A0" w:rsidR="00A31D11" w:rsidP="008040FC" w:rsidRDefault="00A31D11" w14:paraId="0EB64241" w14:textId="77777777">
      <w:pPr>
        <w:suppressAutoHyphens/>
        <w:spacing w:after="0" w:line="240" w:lineRule="auto"/>
        <w:jc w:val="right"/>
        <w:outlineLvl w:val="0"/>
        <w:rPr>
          <w:rFonts w:ascii="Arial" w:hAnsi="Arial" w:eastAsia="Arial Unicode MS" w:cs="Arial"/>
          <w:lang w:val="es-ES" w:eastAsia="ar-SA"/>
        </w:rPr>
      </w:pPr>
    </w:p>
    <w:p w:rsidRPr="00542444" w:rsidR="008040FC" w:rsidP="008040FC" w:rsidRDefault="008040FC" w14:paraId="10349A30" w14:textId="77777777">
      <w:pPr>
        <w:rPr>
          <w:lang w:val="es-ES"/>
        </w:rPr>
      </w:pPr>
    </w:p>
    <w:p w:rsidRPr="008040FC" w:rsidR="00517989" w:rsidRDefault="00000000" w14:paraId="4C50470A" w14:textId="77777777">
      <w:pPr>
        <w:rPr>
          <w:lang w:val="es-ES"/>
        </w:rPr>
      </w:pPr>
    </w:p>
    <w:sectPr w:rsidRPr="008040FC" w:rsidR="00517989" w:rsidSect="00077B6F">
      <w:headerReference w:type="default" r:id="rId6"/>
      <w:footerReference w:type="default" r:id="rId7"/>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63D9F" w:rsidRDefault="00163D9F" w14:paraId="541801EB" w14:textId="77777777">
      <w:pPr>
        <w:spacing w:after="0" w:line="240" w:lineRule="auto"/>
      </w:pPr>
      <w:r>
        <w:separator/>
      </w:r>
    </w:p>
  </w:endnote>
  <w:endnote w:type="continuationSeparator" w:id="0">
    <w:p w:rsidR="00163D9F" w:rsidRDefault="00163D9F" w14:paraId="1BBB29E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16"/>
        <w:szCs w:val="16"/>
      </w:rPr>
      <w:id w:val="1970626707"/>
      <w:docPartObj>
        <w:docPartGallery w:val="Page Numbers (Bottom of Page)"/>
        <w:docPartUnique/>
      </w:docPartObj>
    </w:sdtPr>
    <w:sdtContent>
      <w:sdt>
        <w:sdtPr>
          <w:rPr>
            <w:rFonts w:ascii="Arial" w:hAnsi="Arial" w:cs="Arial"/>
            <w:sz w:val="16"/>
            <w:szCs w:val="16"/>
          </w:rPr>
          <w:id w:val="-1769616900"/>
          <w:docPartObj>
            <w:docPartGallery w:val="Page Numbers (Top of Page)"/>
            <w:docPartUnique/>
          </w:docPartObj>
        </w:sdtPr>
        <w:sdtContent>
          <w:p w:rsidRPr="00784355" w:rsidR="00784355" w:rsidRDefault="008040FC" w14:paraId="4D0BDC9B" w14:textId="77777777">
            <w:pPr>
              <w:pStyle w:val="Piedepgina"/>
              <w:jc w:val="right"/>
              <w:rPr>
                <w:rFonts w:ascii="Arial" w:hAnsi="Arial" w:cs="Arial"/>
                <w:sz w:val="16"/>
                <w:szCs w:val="16"/>
              </w:rPr>
            </w:pPr>
            <w:r w:rsidRPr="00784355">
              <w:rPr>
                <w:rFonts w:ascii="Arial" w:hAnsi="Arial" w:cs="Arial"/>
                <w:sz w:val="16"/>
                <w:szCs w:val="16"/>
                <w:lang w:val="es-ES"/>
              </w:rPr>
              <w:t xml:space="preserve">Página </w:t>
            </w:r>
            <w:r w:rsidRPr="00784355">
              <w:rPr>
                <w:rFonts w:ascii="Arial" w:hAnsi="Arial" w:cs="Arial"/>
                <w:b/>
                <w:bCs/>
                <w:sz w:val="16"/>
                <w:szCs w:val="16"/>
              </w:rPr>
              <w:fldChar w:fldCharType="begin"/>
            </w:r>
            <w:r w:rsidRPr="00784355">
              <w:rPr>
                <w:rFonts w:ascii="Arial" w:hAnsi="Arial" w:cs="Arial"/>
                <w:b/>
                <w:bCs/>
                <w:sz w:val="16"/>
                <w:szCs w:val="16"/>
              </w:rPr>
              <w:instrText>PAGE</w:instrText>
            </w:r>
            <w:r w:rsidRPr="00784355">
              <w:rPr>
                <w:rFonts w:ascii="Arial" w:hAnsi="Arial" w:cs="Arial"/>
                <w:b/>
                <w:bCs/>
                <w:sz w:val="16"/>
                <w:szCs w:val="16"/>
              </w:rPr>
              <w:fldChar w:fldCharType="separate"/>
            </w:r>
            <w:r w:rsidRPr="00784355">
              <w:rPr>
                <w:rFonts w:ascii="Arial" w:hAnsi="Arial" w:cs="Arial"/>
                <w:b/>
                <w:bCs/>
                <w:sz w:val="16"/>
                <w:szCs w:val="16"/>
                <w:lang w:val="es-ES"/>
              </w:rPr>
              <w:t>2</w:t>
            </w:r>
            <w:r w:rsidRPr="00784355">
              <w:rPr>
                <w:rFonts w:ascii="Arial" w:hAnsi="Arial" w:cs="Arial"/>
                <w:b/>
                <w:bCs/>
                <w:sz w:val="16"/>
                <w:szCs w:val="16"/>
              </w:rPr>
              <w:fldChar w:fldCharType="end"/>
            </w:r>
            <w:r w:rsidRPr="00784355">
              <w:rPr>
                <w:rFonts w:ascii="Arial" w:hAnsi="Arial" w:cs="Arial"/>
                <w:sz w:val="16"/>
                <w:szCs w:val="16"/>
                <w:lang w:val="es-ES"/>
              </w:rPr>
              <w:t xml:space="preserve"> de </w:t>
            </w:r>
            <w:r w:rsidRPr="00784355">
              <w:rPr>
                <w:rFonts w:ascii="Arial" w:hAnsi="Arial" w:cs="Arial"/>
                <w:b/>
                <w:bCs/>
                <w:sz w:val="16"/>
                <w:szCs w:val="16"/>
              </w:rPr>
              <w:fldChar w:fldCharType="begin"/>
            </w:r>
            <w:r w:rsidRPr="00784355">
              <w:rPr>
                <w:rFonts w:ascii="Arial" w:hAnsi="Arial" w:cs="Arial"/>
                <w:b/>
                <w:bCs/>
                <w:sz w:val="16"/>
                <w:szCs w:val="16"/>
              </w:rPr>
              <w:instrText>NUMPAGES</w:instrText>
            </w:r>
            <w:r w:rsidRPr="00784355">
              <w:rPr>
                <w:rFonts w:ascii="Arial" w:hAnsi="Arial" w:cs="Arial"/>
                <w:b/>
                <w:bCs/>
                <w:sz w:val="16"/>
                <w:szCs w:val="16"/>
              </w:rPr>
              <w:fldChar w:fldCharType="separate"/>
            </w:r>
            <w:r w:rsidRPr="00784355">
              <w:rPr>
                <w:rFonts w:ascii="Arial" w:hAnsi="Arial" w:cs="Arial"/>
                <w:b/>
                <w:bCs/>
                <w:sz w:val="16"/>
                <w:szCs w:val="16"/>
                <w:lang w:val="es-ES"/>
              </w:rPr>
              <w:t>2</w:t>
            </w:r>
            <w:r w:rsidRPr="00784355">
              <w:rPr>
                <w:rFonts w:ascii="Arial" w:hAnsi="Arial" w:cs="Arial"/>
                <w:b/>
                <w:bCs/>
                <w:sz w:val="16"/>
                <w:szCs w:val="16"/>
              </w:rPr>
              <w:fldChar w:fldCharType="end"/>
            </w:r>
          </w:p>
        </w:sdtContent>
        <w:sdtEndPr>
          <w:rPr>
            <w:rFonts w:ascii="Arial" w:hAnsi="Arial" w:cs="Arial"/>
            <w:sz w:val="16"/>
            <w:szCs w:val="16"/>
          </w:rPr>
        </w:sdtEndPr>
      </w:sdt>
    </w:sdtContent>
    <w:sdtEndPr>
      <w:rPr>
        <w:rFonts w:ascii="Arial" w:hAnsi="Arial" w:cs="Arial"/>
        <w:sz w:val="16"/>
        <w:szCs w:val="16"/>
      </w:rPr>
    </w:sdtEndPr>
  </w:sdt>
  <w:p w:rsidR="00784355" w:rsidRDefault="00000000" w14:paraId="5B1B16D9"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63D9F" w:rsidRDefault="00163D9F" w14:paraId="4D86308D" w14:textId="77777777">
      <w:pPr>
        <w:spacing w:after="0" w:line="240" w:lineRule="auto"/>
      </w:pPr>
      <w:r>
        <w:separator/>
      </w:r>
    </w:p>
  </w:footnote>
  <w:footnote w:type="continuationSeparator" w:id="0">
    <w:p w:rsidR="00163D9F" w:rsidRDefault="00163D9F" w14:paraId="4249CCEA"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A31D11" w:rsidRDefault="00A31D11" w14:paraId="525860AA" w14:textId="4C939DDD">
    <w:pPr>
      <w:pStyle w:val="Encabezado"/>
    </w:pPr>
    <w:r>
      <w:rPr>
        <w:noProof/>
      </w:rPr>
      <w:drawing>
        <wp:inline distT="0" distB="0" distL="0" distR="0" wp14:anchorId="561C0638" wp14:editId="0C277182">
          <wp:extent cx="2095500" cy="709671"/>
          <wp:effectExtent l="0" t="0" r="0" b="0"/>
          <wp:docPr id="1"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Aplicación&#10;&#10;Descripción generada automáticament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40FC"/>
    <w:rsid w:val="00032526"/>
    <w:rsid w:val="000368B1"/>
    <w:rsid w:val="00084E51"/>
    <w:rsid w:val="00103188"/>
    <w:rsid w:val="00163D9F"/>
    <w:rsid w:val="0032570B"/>
    <w:rsid w:val="00417E23"/>
    <w:rsid w:val="0058358B"/>
    <w:rsid w:val="007C2FC5"/>
    <w:rsid w:val="008040FC"/>
    <w:rsid w:val="008930FB"/>
    <w:rsid w:val="00A223FC"/>
    <w:rsid w:val="00A23496"/>
    <w:rsid w:val="00A31D11"/>
    <w:rsid w:val="00D15C1E"/>
    <w:rsid w:val="00D86E87"/>
    <w:rsid w:val="00F029DD"/>
    <w:rsid w:val="0AFDE29C"/>
    <w:rsid w:val="1631AD12"/>
    <w:rsid w:val="35C6E644"/>
    <w:rsid w:val="413F97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148411"/>
  <w15:chartTrackingRefBased/>
  <w15:docId w15:val="{AC7D132F-0E03-4F73-8183-D97C87F86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040FC"/>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8040FC"/>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8040FC"/>
  </w:style>
  <w:style w:type="paragraph" w:styleId="Default" w:customStyle="1">
    <w:name w:val="Default"/>
    <w:rsid w:val="008040FC"/>
    <w:pPr>
      <w:autoSpaceDE w:val="0"/>
      <w:autoSpaceDN w:val="0"/>
      <w:adjustRightInd w:val="0"/>
      <w:spacing w:after="0" w:line="240" w:lineRule="auto"/>
    </w:pPr>
    <w:rPr>
      <w:rFonts w:ascii="Times New Roman" w:hAnsi="Times New Roman" w:cs="Times New Roman"/>
      <w:color w:val="000000"/>
      <w:sz w:val="24"/>
      <w:szCs w:val="24"/>
      <w:lang w:val="es-PE"/>
    </w:rPr>
  </w:style>
  <w:style w:type="paragraph" w:styleId="Encabezado">
    <w:name w:val="header"/>
    <w:basedOn w:val="Normal"/>
    <w:link w:val="EncabezadoCar"/>
    <w:uiPriority w:val="99"/>
    <w:unhideWhenUsed/>
    <w:rsid w:val="00A31D11"/>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A31D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2.xml"/><Relationship Id="rId5" Type="http://schemas.openxmlformats.org/officeDocument/2006/relationships/endnotes" Target="endnotes.xml"/><Relationship Id="rId10"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D98F8B8-E587-494B-86B9-1A784F1081C4}"/>
</file>

<file path=customXml/itemProps2.xml><?xml version="1.0" encoding="utf-8"?>
<ds:datastoreItem xmlns:ds="http://schemas.openxmlformats.org/officeDocument/2006/customXml" ds:itemID="{C5868314-0A21-455C-9B06-76BF6953B9C1}"/>
</file>

<file path=customXml/itemProps3.xml><?xml version="1.0" encoding="utf-8"?>
<ds:datastoreItem xmlns:ds="http://schemas.openxmlformats.org/officeDocument/2006/customXml" ds:itemID="{CA27153D-387A-49C5-B817-B89EE6F46CD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4</cp:revision>
  <cp:lastPrinted>2022-11-25T23:44:00Z</cp:lastPrinted>
  <dcterms:created xsi:type="dcterms:W3CDTF">2022-11-25T23:44:00Z</dcterms:created>
  <dcterms:modified xsi:type="dcterms:W3CDTF">2025-12-02T13:37:19Z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