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110E5" w:rsidR="00E64F28" w:rsidP="00400C84" w:rsidRDefault="00E64F28" w14:paraId="74D0D8D6" w14:textId="6D10CBE5">
      <w:pPr>
        <w:pStyle w:val="Puesto"/>
        <w:outlineLvl w:val="0"/>
      </w:pPr>
      <w:r w:rsidRPr="005110E5">
        <w:t xml:space="preserve">RESOLUCIÓN DE RECURSO DE </w:t>
      </w:r>
      <w:r w:rsidRPr="005110E5" w:rsidR="00F05CB6">
        <w:t>IMPUGNACIÓN</w:t>
      </w:r>
      <w:r w:rsidRPr="005110E5">
        <w:t xml:space="preserve"> Nro. </w:t>
      </w:r>
      <w:r w:rsidR="005110E5">
        <w:t>086/22</w:t>
      </w:r>
    </w:p>
    <w:p w:rsidRPr="005110E5" w:rsidR="00E64F28" w:rsidRDefault="00E64F28" w14:paraId="0B1B8F31" w14:textId="77777777">
      <w:pPr>
        <w:rPr>
          <w:b/>
          <w:bCs/>
          <w:lang w:val="es-MX"/>
        </w:rPr>
      </w:pPr>
    </w:p>
    <w:p w:rsidRPr="005110E5" w:rsidR="00E64F28" w:rsidRDefault="00E64F28" w14:paraId="3B51119C" w14:textId="77777777">
      <w:pPr>
        <w:rPr>
          <w:b/>
          <w:bCs/>
          <w:lang w:val="es-MX"/>
        </w:rPr>
      </w:pPr>
    </w:p>
    <w:p w:rsidRPr="005110E5" w:rsidR="00E64F28" w:rsidP="00400C84" w:rsidRDefault="00F05CB6" w14:paraId="301D5A1A" w14:textId="77777777">
      <w:pPr>
        <w:jc w:val="both"/>
        <w:outlineLvl w:val="0"/>
        <w:rPr>
          <w:b/>
          <w:bCs/>
          <w:lang w:val="es-MX"/>
        </w:rPr>
      </w:pPr>
      <w:r w:rsidRPr="005110E5">
        <w:rPr>
          <w:b/>
          <w:bCs/>
          <w:lang w:val="es-MX"/>
        </w:rPr>
        <w:t>VISTOS:</w:t>
      </w:r>
    </w:p>
    <w:p w:rsidRPr="005110E5" w:rsidR="00E64F28" w:rsidRDefault="00E64F28" w14:paraId="71165569" w14:textId="77777777">
      <w:pPr>
        <w:jc w:val="both"/>
        <w:rPr>
          <w:b/>
          <w:bCs/>
          <w:lang w:val="es-MX"/>
        </w:rPr>
      </w:pPr>
    </w:p>
    <w:p w:rsidRPr="005110E5" w:rsidR="00F60108" w:rsidP="00ED0431" w:rsidRDefault="00E64F28" w14:paraId="00D77F4E" w14:textId="2F2E60A1">
      <w:pPr>
        <w:pStyle w:val="Default"/>
        <w:jc w:val="both"/>
        <w:rPr>
          <w:b w:val="1"/>
          <w:bCs w:val="1"/>
        </w:rPr>
      </w:pPr>
      <w:r w:rsidR="00E64F28">
        <w:rPr/>
        <w:t>El recurso de</w:t>
      </w:r>
      <w:r w:rsidR="00191416">
        <w:rPr/>
        <w:t xml:space="preserve"> </w:t>
      </w:r>
      <w:r w:rsidR="00F05CB6">
        <w:rPr/>
        <w:t>impugnación</w:t>
      </w:r>
      <w:r w:rsidR="00191416">
        <w:rPr/>
        <w:t xml:space="preserve"> presentado</w:t>
      </w:r>
      <w:r w:rsidR="00A921BD">
        <w:rPr/>
        <w:t xml:space="preserve"> </w:t>
      </w:r>
      <w:r w:rsidR="00E64F28">
        <w:rPr/>
        <w:t xml:space="preserve">por </w:t>
      </w:r>
      <w:r w:rsidRPr="5103C0EB" w:rsidR="27E13A22">
        <w:rPr>
          <w:b w:val="1"/>
          <w:bCs w:val="1"/>
        </w:rPr>
        <w:t>........................................</w:t>
      </w:r>
      <w:r w:rsidR="00F05CB6">
        <w:rPr/>
        <w:t xml:space="preserve"> </w:t>
      </w:r>
      <w:r w:rsidR="00E64F28">
        <w:rPr/>
        <w:t>re</w:t>
      </w:r>
      <w:r w:rsidR="000149BA">
        <w:rPr/>
        <w:t>specto de la Resolución Nro.</w:t>
      </w:r>
      <w:r w:rsidR="00C56C62">
        <w:rPr/>
        <w:t xml:space="preserve"> </w:t>
      </w:r>
      <w:r w:rsidR="00ED0431">
        <w:rPr/>
        <w:t>214</w:t>
      </w:r>
      <w:r w:rsidR="00A01D42">
        <w:rPr/>
        <w:t>/</w:t>
      </w:r>
      <w:r w:rsidR="00E42814">
        <w:rPr/>
        <w:t>22</w:t>
      </w:r>
      <w:r w:rsidR="00EC5F7C">
        <w:rPr/>
        <w:t>,</w:t>
      </w:r>
      <w:r w:rsidR="000F1FEA">
        <w:rPr/>
        <w:t xml:space="preserve"> </w:t>
      </w:r>
      <w:r w:rsidR="00A01D42">
        <w:rPr/>
        <w:t>ex</w:t>
      </w:r>
      <w:r w:rsidR="00E64F28">
        <w:rPr/>
        <w:t>pedida</w:t>
      </w:r>
      <w:r w:rsidR="005A4ED4">
        <w:rPr/>
        <w:t xml:space="preserve"> </w:t>
      </w:r>
      <w:r w:rsidR="00E64F28">
        <w:rPr/>
        <w:t>por esta Defensoría del Asegurado (DEFASEG)</w:t>
      </w:r>
      <w:r w:rsidR="00BF5EDD">
        <w:rPr/>
        <w:t>,</w:t>
      </w:r>
      <w:r w:rsidR="00E64F28">
        <w:rPr/>
        <w:t xml:space="preserve"> conforme a l</w:t>
      </w:r>
      <w:r w:rsidR="00A667CA">
        <w:rPr/>
        <w:t>a cual se declaró</w:t>
      </w:r>
      <w:r w:rsidR="00D92993">
        <w:rPr/>
        <w:t xml:space="preserve"> </w:t>
      </w:r>
      <w:r w:rsidR="00FB03D0">
        <w:rPr/>
        <w:t>FUNDADA</w:t>
      </w:r>
      <w:r w:rsidR="008011E0">
        <w:rPr/>
        <w:t xml:space="preserve"> la reclamación interpuesta </w:t>
      </w:r>
      <w:r w:rsidR="00E42814">
        <w:rPr/>
        <w:t>por</w:t>
      </w:r>
      <w:r w:rsidR="00ED0431">
        <w:rPr/>
        <w:t xml:space="preserve"> </w:t>
      </w:r>
      <w:r w:rsidRPr="5103C0EB" w:rsidR="20E4B13A">
        <w:rPr>
          <w:b w:val="1"/>
          <w:bCs w:val="1"/>
        </w:rPr>
        <w:t>......................................................................................</w:t>
      </w:r>
      <w:r w:rsidR="00ED0431">
        <w:rPr/>
        <w:t xml:space="preserve"> </w:t>
      </w:r>
      <w:r w:rsidR="008011E0">
        <w:rPr/>
        <w:t>respecto al</w:t>
      </w:r>
      <w:r w:rsidR="00E42814">
        <w:rPr/>
        <w:t xml:space="preserve"> </w:t>
      </w:r>
      <w:r w:rsidRPr="5103C0EB" w:rsidR="00ED0431">
        <w:rPr>
          <w:b w:val="1"/>
          <w:bCs w:val="1"/>
        </w:rPr>
        <w:t xml:space="preserve">SEGURO VEHICULAR – PÓLIZA No </w:t>
      </w:r>
      <w:r w:rsidRPr="5103C0EB" w:rsidR="33B98FB9">
        <w:rPr>
          <w:b w:val="1"/>
          <w:bCs w:val="1"/>
        </w:rPr>
        <w:t>........................</w:t>
      </w:r>
      <w:r w:rsidRPr="5103C0EB" w:rsidR="00E42814">
        <w:rPr>
          <w:b w:val="1"/>
          <w:bCs w:val="1"/>
        </w:rPr>
        <w:t xml:space="preserve">. </w:t>
      </w:r>
    </w:p>
    <w:p w:rsidRPr="005110E5" w:rsidR="00F60108" w:rsidRDefault="00F60108" w14:paraId="663B8503" w14:textId="77777777">
      <w:pPr>
        <w:jc w:val="both"/>
      </w:pPr>
    </w:p>
    <w:p w:rsidRPr="005110E5" w:rsidR="00986104" w:rsidP="00986104" w:rsidRDefault="00E64F28" w14:paraId="146AAE58" w14:textId="744763E5">
      <w:pPr>
        <w:pStyle w:val="Textoindependiente"/>
        <w:rPr>
          <w:color w:val="212121"/>
          <w:lang w:val="es-PE" w:eastAsia="es-PE"/>
        </w:rPr>
      </w:pPr>
      <w:r w:rsidR="00E64F28">
        <w:rPr/>
        <w:t xml:space="preserve">Que, </w:t>
      </w:r>
      <w:r w:rsidR="0090008D">
        <w:rPr/>
        <w:t>el</w:t>
      </w:r>
      <w:r w:rsidR="00E64F28">
        <w:rPr/>
        <w:t xml:space="preserve"> </w:t>
      </w:r>
      <w:r w:rsidR="0090008D">
        <w:rPr/>
        <w:t>indicado recurso se sustenta</w:t>
      </w:r>
      <w:r w:rsidR="00FE2DDD">
        <w:rPr/>
        <w:t xml:space="preserve"> </w:t>
      </w:r>
      <w:r w:rsidR="005A0CBC">
        <w:rPr/>
        <w:t xml:space="preserve">resumidamente en </w:t>
      </w:r>
      <w:r w:rsidR="00D102AA">
        <w:rPr/>
        <w:t>lo siguiente: (1)</w:t>
      </w:r>
      <w:r w:rsidR="00E42814">
        <w:rPr/>
        <w:t xml:space="preserve"> </w:t>
      </w:r>
      <w:r w:rsidR="00986104">
        <w:rPr/>
        <w:t>n</w:t>
      </w:r>
      <w:r w:rsidR="00ED0431">
        <w:rPr/>
        <w:t>o ha quedado acreditado que el siniestro haya ocurrido por una invasión del carril contrario</w:t>
      </w:r>
      <w:r w:rsidR="00986104">
        <w:rPr/>
        <w:t xml:space="preserve">; (2) </w:t>
      </w:r>
      <w:r w:rsidRPr="5103C0EB" w:rsidR="00ED0431">
        <w:rPr>
          <w:color w:val="000000" w:themeColor="text1" w:themeTint="FF" w:themeShade="FF"/>
          <w:lang w:val="es-PE" w:eastAsia="es-PE"/>
        </w:rPr>
        <w:t xml:space="preserve">se ha incurrido en un error al sostener esto, toda vez que el Informe Policial </w:t>
      </w:r>
      <w:r w:rsidRPr="5103C0EB" w:rsidR="00986104">
        <w:rPr>
          <w:color w:val="000000" w:themeColor="text1" w:themeTint="FF" w:themeShade="FF"/>
          <w:lang w:val="es-PE" w:eastAsia="es-PE"/>
        </w:rPr>
        <w:t>en ningún momento indicó dicha conclusión</w:t>
      </w:r>
      <w:r w:rsidRPr="5103C0EB" w:rsidR="00ED0431">
        <w:rPr>
          <w:color w:val="000000" w:themeColor="text1" w:themeTint="FF" w:themeShade="FF"/>
          <w:lang w:val="es-PE" w:eastAsia="es-PE"/>
        </w:rPr>
        <w:t xml:space="preserve">. En efecto, como se puede apreciar del Informe policial, este indicó una </w:t>
      </w:r>
      <w:r w:rsidRPr="5103C0EB" w:rsidR="00986104">
        <w:rPr>
          <w:color w:val="000000" w:themeColor="text1" w:themeTint="FF" w:themeShade="FF"/>
          <w:lang w:val="es-PE" w:eastAsia="es-PE"/>
        </w:rPr>
        <w:t>presunta</w:t>
      </w:r>
      <w:r w:rsidRPr="5103C0EB" w:rsidR="00ED0431">
        <w:rPr>
          <w:color w:val="000000" w:themeColor="text1" w:themeTint="FF" w:themeShade="FF"/>
          <w:lang w:val="es-PE" w:eastAsia="es-PE"/>
        </w:rPr>
        <w:t xml:space="preserve"> invasión de carril contrario, y no concluyó que esto habría ocurrido</w:t>
      </w:r>
      <w:r w:rsidRPr="5103C0EB" w:rsidR="00986104">
        <w:rPr>
          <w:color w:val="000000" w:themeColor="text1" w:themeTint="FF" w:themeShade="FF"/>
          <w:lang w:val="es-PE" w:eastAsia="es-PE"/>
        </w:rPr>
        <w:t xml:space="preserve">; (3) </w:t>
      </w:r>
      <w:r w:rsidRPr="5103C0EB" w:rsidR="00ED0431">
        <w:rPr>
          <w:color w:val="000000" w:themeColor="text1" w:themeTint="FF" w:themeShade="FF"/>
          <w:lang w:val="es-PE" w:eastAsia="es-PE"/>
        </w:rPr>
        <w:t xml:space="preserve">lo señalado por la PNP fue únicamente una </w:t>
      </w:r>
      <w:r w:rsidRPr="5103C0EB" w:rsidR="00986104">
        <w:rPr>
          <w:color w:val="000000" w:themeColor="text1" w:themeTint="FF" w:themeShade="FF"/>
          <w:lang w:val="es-PE" w:eastAsia="es-PE"/>
        </w:rPr>
        <w:t>suposición</w:t>
      </w:r>
      <w:r w:rsidRPr="5103C0EB" w:rsidR="00ED0431">
        <w:rPr>
          <w:color w:val="000000" w:themeColor="text1" w:themeTint="FF" w:themeShade="FF"/>
          <w:lang w:val="es-PE" w:eastAsia="es-PE"/>
        </w:rPr>
        <w:t xml:space="preserve"> realizada al inicio de las investigaciones (concretamente al momento de levantar el Acta de intervención policial), pero que no quedó acreditado en las conclusiones. En dicho sentido, </w:t>
      </w:r>
      <w:r w:rsidRPr="5103C0EB" w:rsidR="00986104">
        <w:rPr>
          <w:color w:val="000000" w:themeColor="text1" w:themeTint="FF" w:themeShade="FF"/>
          <w:lang w:val="es-PE" w:eastAsia="es-PE"/>
        </w:rPr>
        <w:t xml:space="preserve">se </w:t>
      </w:r>
      <w:r w:rsidRPr="5103C0EB" w:rsidR="00ED0431">
        <w:rPr>
          <w:color w:val="000000" w:themeColor="text1" w:themeTint="FF" w:themeShade="FF"/>
          <w:lang w:val="es-PE" w:eastAsia="es-PE"/>
        </w:rPr>
        <w:t>ha realizado una incorrecta interpretación del contenido del Informe Policial, siendo que el asegurado no ha cumplido con acreditar que se haya producido una invasión del carril contrario</w:t>
      </w:r>
      <w:r w:rsidRPr="5103C0EB" w:rsidR="00986104">
        <w:rPr>
          <w:color w:val="000000" w:themeColor="text1" w:themeTint="FF" w:themeShade="FF"/>
          <w:lang w:val="es-PE" w:eastAsia="es-PE"/>
        </w:rPr>
        <w:t>; (4) l</w:t>
      </w:r>
      <w:r w:rsidR="00ED0431">
        <w:rPr/>
        <w:t>a presunta invasión del carril contrario no fue la causa adecuada del siniestro</w:t>
      </w:r>
      <w:r w:rsidR="00986104">
        <w:rPr/>
        <w:t>; (5) e</w:t>
      </w:r>
      <w:r w:rsidRPr="5103C0EB" w:rsidR="00ED0431">
        <w:rPr>
          <w:color w:val="212121"/>
          <w:lang w:val="es-PE" w:eastAsia="es-PE"/>
        </w:rPr>
        <w:t xml:space="preserve">n el presente caso, el propio Informe </w:t>
      </w:r>
      <w:r w:rsidRPr="5103C0EB" w:rsidR="00986104">
        <w:rPr>
          <w:color w:val="212121"/>
          <w:lang w:val="es-PE" w:eastAsia="es-PE"/>
        </w:rPr>
        <w:t>P</w:t>
      </w:r>
      <w:r w:rsidRPr="5103C0EB" w:rsidR="00ED0431">
        <w:rPr>
          <w:color w:val="212121"/>
          <w:lang w:val="es-PE" w:eastAsia="es-PE"/>
        </w:rPr>
        <w:t>olicial ha acreditado que la causa adecuada del siniestro fue la negligencia e imprudencia del conductor del vehículo asegurado, pues así se señaló en las conclusiones de la investigación</w:t>
      </w:r>
      <w:r w:rsidRPr="5103C0EB" w:rsidR="00986104">
        <w:rPr>
          <w:color w:val="212121"/>
          <w:lang w:val="es-PE" w:eastAsia="es-PE"/>
        </w:rPr>
        <w:t>; (6) d</w:t>
      </w:r>
      <w:r w:rsidRPr="5103C0EB" w:rsidR="00ED0431">
        <w:rPr>
          <w:color w:val="212121"/>
          <w:lang w:val="es-PE" w:eastAsia="es-PE"/>
        </w:rPr>
        <w:t xml:space="preserve">e tal forma, se puede apreciar que la propia PNP, entidad especializada en la investigación de accidentes de tránsito, llegó a la conclusión que la causa del siniestro fue la negligencia del conductor al </w:t>
      </w:r>
      <w:r w:rsidRPr="5103C0EB" w:rsidR="00986104">
        <w:rPr>
          <w:color w:val="212121"/>
          <w:lang w:val="es-PE" w:eastAsia="es-PE"/>
        </w:rPr>
        <w:t>girar a la izquierda</w:t>
      </w:r>
      <w:r w:rsidRPr="5103C0EB" w:rsidR="00ED0431">
        <w:rPr>
          <w:color w:val="212121"/>
          <w:lang w:val="es-PE" w:eastAsia="es-PE"/>
        </w:rPr>
        <w:t xml:space="preserve"> (nótese que no se señala que se haya invadido el carril contrario), por lo que está acreditado que la negligencia fue la causa adecuada del siniestro</w:t>
      </w:r>
      <w:r w:rsidRPr="5103C0EB" w:rsidR="00986104">
        <w:rPr>
          <w:color w:val="212121"/>
          <w:lang w:val="es-PE" w:eastAsia="es-PE"/>
        </w:rPr>
        <w:t xml:space="preserve">; (7) la </w:t>
      </w:r>
      <w:r w:rsidR="00ED0431">
        <w:rPr/>
        <w:t>DEFASEG no ha realizado una interpretación literal de la cláusula de ausencia de control</w:t>
      </w:r>
      <w:r w:rsidR="00986104">
        <w:rPr/>
        <w:t xml:space="preserve">, </w:t>
      </w:r>
      <w:r w:rsidRPr="5103C0EB" w:rsidR="00986104">
        <w:rPr>
          <w:color w:val="000000" w:themeColor="text1" w:themeTint="FF" w:themeShade="FF"/>
          <w:lang w:val="es-PE" w:eastAsia="es-PE"/>
        </w:rPr>
        <w:t xml:space="preserve">el supuesto descrito en la póliza es totalmente claro: Aplica para los casos de circulación o invasión contrario al tránsito autorizado; (8) esto es claramente así porque de esta forma se encuentra regulado en el Reglamento Nacional de Tránsito, el cual proscribe la conducción por el carril contrario en determinados casos, y son precisamente esos casos que, al no estar autorizados, son denominados “invasión” y encuadran en el supuesto señalado en la cláusula de ausencia de control; (9) en el presente caso el conductor del vehículo asegurado no realizó una invasión de carril propiamente dicho, sino que realizó un cruce de carril o, más exactamente, un giro, tal como así fue precisado incluso por la PNP en sus conclusiones de la investigación, pues conoce perfectamente el Reglamento Nacional de Tránsito y sus infracciones; (10) no es lo mismo realizar un cruce de carril o un giro, que realizar una invasión de carril, lo cual la PNP tiene claro de acuerdo con lo estipulado en el Reglamento Nacional de Tránsito. Por ello, en sus conclusiones la PNP indicó que el factor que ocasionó el accidente fue “la negligencia del conductor al “girar a la izquierda”; si se hubiese tratado de una invasión de carril la PNP hubiera indicado “negligencia al invadir carril contrario”, pero, reiteramos, este no fue el supuesto de acuerdo con el Reglamento Nacional de Tránsito; (11) es que la diferencia entre girar e invadir que conoce la PNP es clara: Es un hecho distinto realizar un cruce del carril contrario producto de un giro (lo cual </w:t>
      </w:r>
      <w:r w:rsidRPr="5103C0EB" w:rsidR="00986104">
        <w:rPr>
          <w:color w:val="000000" w:themeColor="text1" w:themeTint="FF" w:themeShade="FF"/>
          <w:lang w:val="es-PE" w:eastAsia="es-PE"/>
        </w:rPr>
        <w:t xml:space="preserve">es un tránsito autorizado por ley) que realizar una invasión del carril contrario (lo cual es un tránsito no autorizado y proscrito por ley); (12)  </w:t>
      </w:r>
      <w:r w:rsidRPr="5103C0EB" w:rsidR="00986104">
        <w:rPr>
          <w:color w:val="212121"/>
          <w:lang w:val="es-PE" w:eastAsia="es-PE"/>
        </w:rPr>
        <w:t>una invasión supone un cambio injustificado de carril, con el cual se pretende mantener en marcha la unidad por el carril al que se introduce y no solo cruzarlo; esta diferencia entre “giro” e “invasión o cambio de carril injustificado” la podemos advertir de la redacción del artículo 195 del Reglamento Nacional de Tránsito, el cual trata de manera diferenciada ambos supuestos;</w:t>
      </w:r>
      <w:r w:rsidRPr="5103C0EB" w:rsidR="49DAA8DC">
        <w:rPr>
          <w:color w:val="212121"/>
          <w:lang w:val="es-PE" w:eastAsia="es-PE"/>
        </w:rPr>
        <w:t xml:space="preserve"> </w:t>
      </w:r>
      <w:r w:rsidRPr="5103C0EB" w:rsidR="00986104">
        <w:rPr>
          <w:color w:val="212121"/>
          <w:lang w:val="es-PE" w:eastAsia="es-PE"/>
        </w:rPr>
        <w:t xml:space="preserve">(13) </w:t>
      </w:r>
      <w:r w:rsidRPr="5103C0EB" w:rsidR="00986104">
        <w:rPr>
          <w:color w:val="000000" w:themeColor="text1" w:themeTint="FF" w:themeShade="FF"/>
          <w:lang w:val="es-PE" w:eastAsia="es-PE"/>
        </w:rPr>
        <w:t>en aplicación literal de lo estipulado en la cláusula de ausencia de control, declare que en el presente caso no se ha incurrido en un supuesto de invasión de carril conforme establece la ley; por lo que el rechazo de cobertura efectuado resulta legítimo.</w:t>
      </w:r>
    </w:p>
    <w:p w:rsidRPr="005110E5" w:rsidR="0049231B" w:rsidP="0049231B" w:rsidRDefault="0049231B" w14:paraId="5BAF1446" w14:textId="77777777">
      <w:pPr>
        <w:pStyle w:val="Textoindependiente"/>
      </w:pPr>
    </w:p>
    <w:p w:rsidRPr="005110E5" w:rsidR="007F6C79" w:rsidP="007F6C79" w:rsidRDefault="0049231B" w14:paraId="66A9A502" w14:textId="5A7F14A2">
      <w:pPr>
        <w:pStyle w:val="Textoindependiente"/>
      </w:pPr>
      <w:r w:rsidR="0049231B">
        <w:rPr/>
        <w:t xml:space="preserve">Que, </w:t>
      </w:r>
      <w:r w:rsidR="00986104">
        <w:rPr/>
        <w:t>la</w:t>
      </w:r>
      <w:r w:rsidR="0049231B">
        <w:rPr/>
        <w:t xml:space="preserve"> reclamante absolvió el traslado del recurso interpuesto, manifestando en síntesis lo siguiente: (1) </w:t>
      </w:r>
      <w:r w:rsidR="007F6C79">
        <w:rPr/>
        <w:t xml:space="preserve">la aseguradora estaría actuando contra el principio de buena fe con el propósito de deslindar responsabilidad en el presente caso, más aún que advierte un error del Colegiado al atribuirle una afirmación que éste no realizó, esto es, en la parte pertinente de la resolución impugnada no se indicó que la autoridad policial en el Informe Policial </w:t>
      </w:r>
      <w:r w:rsidR="007F6C79">
        <w:rPr/>
        <w:t>N°</w:t>
      </w:r>
      <w:r w:rsidR="007F6C79">
        <w:rPr/>
        <w:t xml:space="preserve"> </w:t>
      </w:r>
      <w:r w:rsidR="6B0CDFED">
        <w:rPr/>
        <w:t>....................</w:t>
      </w:r>
      <w:r w:rsidR="007F6C79">
        <w:rPr/>
        <w:t xml:space="preserve"> MRCA/RPC-DIVOPUS C-COMSECT QCOM PNP OCONGATE; (2) la aseguradora menciona que la resolución indica que la autoridad policial concluye que el accidente de tránsito fue como consecuencia que la unidad asegurada invadió el carril contrario, nada más alejado de la realidad toda vez que el Colegiado estima que la autoridad policial determina que el accidente de tránsito fue consecuencia de la invasión de carril; (3) la aseguradora no repara en el hecho que la autoridad policial realiza la inferencia sobre la invasión de carril, en base a las evidencias del lugar como es, la presencia de las huellas de fricción de las llantas sobre el pavimento y las partículas de tierra en el lugar de los hechos, sumado a los daños materiales sufridos por las 2 unidades vehiculares, son estos, los argumentos que permiten determinar a la policía que el accidente se motivó por la invasión de carril; (4) la aseguradora pretende interpretar y toma, a su conveniencia, un “factor interviniente” como la causa adecuada del siniestro, inventando el término “conclusiones de la investigación”, apartado inexistente en el Informe Policial; (5) la aseguradora reclama una interpretación literal, sin embargo, pretende modificar el texto que ellos mismos señalan</w:t>
      </w:r>
      <w:r w:rsidR="000A0653">
        <w:rPr/>
        <w:t xml:space="preserve">; (6) </w:t>
      </w:r>
      <w:r w:rsidR="007F6C79">
        <w:rPr/>
        <w:t xml:space="preserve">el informe policial no contiene un apartado de </w:t>
      </w:r>
      <w:r w:rsidR="000A0653">
        <w:rPr/>
        <w:t>conclusiones</w:t>
      </w:r>
      <w:r w:rsidR="007F6C79">
        <w:rPr/>
        <w:t xml:space="preserve"> de la investigación</w:t>
      </w:r>
      <w:r w:rsidR="000A0653">
        <w:rPr/>
        <w:t xml:space="preserve">; (7) </w:t>
      </w:r>
      <w:r w:rsidRPr="5103C0EB" w:rsidR="007F6C79">
        <w:rPr>
          <w:color w:val="000000" w:themeColor="text1" w:themeTint="FF" w:themeShade="FF"/>
          <w:lang w:val="es-PE" w:eastAsia="es-PE"/>
        </w:rPr>
        <w:t xml:space="preserve">la póliza no menciona ni define la diferencia entre </w:t>
      </w:r>
      <w:r w:rsidRPr="5103C0EB" w:rsidR="000A0653">
        <w:rPr>
          <w:color w:val="000000" w:themeColor="text1" w:themeTint="FF" w:themeShade="FF"/>
          <w:lang w:val="es-PE" w:eastAsia="es-PE"/>
        </w:rPr>
        <w:t>girar</w:t>
      </w:r>
      <w:r w:rsidRPr="5103C0EB" w:rsidR="007F6C79">
        <w:rPr>
          <w:color w:val="000000" w:themeColor="text1" w:themeTint="FF" w:themeShade="FF"/>
          <w:lang w:val="es-PE" w:eastAsia="es-PE"/>
        </w:rPr>
        <w:t xml:space="preserve"> e </w:t>
      </w:r>
      <w:r w:rsidRPr="5103C0EB" w:rsidR="000A0653">
        <w:rPr>
          <w:color w:val="000000" w:themeColor="text1" w:themeTint="FF" w:themeShade="FF"/>
          <w:lang w:val="es-PE" w:eastAsia="es-PE"/>
        </w:rPr>
        <w:t>invadir; (8) q</w:t>
      </w:r>
      <w:r w:rsidRPr="5103C0EB" w:rsidR="007F6C79">
        <w:rPr>
          <w:color w:val="000000" w:themeColor="text1" w:themeTint="FF" w:themeShade="FF"/>
          <w:lang w:val="es-PE" w:eastAsia="es-PE"/>
        </w:rPr>
        <w:t>ueda claramente demostrado que, sin importar la forma, la ocupación anormal o irregular de una pista, es el hecho que ampara la cláusula de Ausencia de Control</w:t>
      </w:r>
      <w:r w:rsidRPr="5103C0EB" w:rsidR="000A0653">
        <w:rPr>
          <w:color w:val="000000" w:themeColor="text1" w:themeTint="FF" w:themeShade="FF"/>
          <w:lang w:val="es-PE" w:eastAsia="es-PE"/>
        </w:rPr>
        <w:t>; (9) e</w:t>
      </w:r>
      <w:r w:rsidR="007F6C79">
        <w:rPr/>
        <w:t>n el Reglamento Nacional de Tránsito no se encuentra el verbo “invadir”, mientras que el gerundio “invadiendo” aparece en una sola oportunidad en el artículo 175</w:t>
      </w:r>
      <w:r w:rsidR="000A0653">
        <w:rPr/>
        <w:t xml:space="preserve">; (10) </w:t>
      </w:r>
      <w:r w:rsidR="007F6C79">
        <w:rPr/>
        <w:t xml:space="preserve">dado que la controversia gira sobre el significado y consecuencias del término “invadir”, que </w:t>
      </w:r>
      <w:r w:rsidR="000A0653">
        <w:rPr/>
        <w:t>la aseguradora</w:t>
      </w:r>
      <w:r w:rsidR="007F6C79">
        <w:rPr/>
        <w:t xml:space="preserve"> pretende interpretar a su manera, corresponde aplicar lo establecido en la Ley del Contrato de Seguro que señala, en las Reglas Tercera y Quinta del Artículo IV</w:t>
      </w:r>
      <w:r w:rsidR="000A0653">
        <w:rPr/>
        <w:t xml:space="preserve">; (11) la aseguradora </w:t>
      </w:r>
      <w:r w:rsidR="007F6C79">
        <w:rPr/>
        <w:t>no ha podido establecer en que parte de la póliza se señala la definición y/o interpretación que ellos pretenden aplicar al término “invadiendo”.</w:t>
      </w:r>
    </w:p>
    <w:p w:rsidRPr="005110E5" w:rsidR="00664A65" w:rsidRDefault="00664A65" w14:paraId="152C26EE" w14:textId="77777777">
      <w:pPr>
        <w:pStyle w:val="Textoindependiente"/>
      </w:pPr>
    </w:p>
    <w:p w:rsidRPr="005110E5" w:rsidR="00A206E5" w:rsidRDefault="00A206E5" w14:paraId="59DE2CD6" w14:textId="77777777">
      <w:pPr>
        <w:pStyle w:val="Textoindependiente"/>
        <w:tabs>
          <w:tab w:val="left" w:pos="930"/>
        </w:tabs>
      </w:pPr>
      <w:r w:rsidRPr="005110E5">
        <w:t xml:space="preserve">Que, </w:t>
      </w:r>
      <w:r w:rsidRPr="005110E5" w:rsidR="00F36E16">
        <w:t xml:space="preserve">atendiendo a lo expuesto, </w:t>
      </w:r>
      <w:r w:rsidRPr="005110E5">
        <w:t xml:space="preserve">esta Defensoría </w:t>
      </w:r>
      <w:r w:rsidRPr="005110E5" w:rsidR="004B6936">
        <w:t>resuelve finalmente</w:t>
      </w:r>
      <w:r w:rsidRPr="005110E5">
        <w:t xml:space="preserve"> lo siguiente:</w:t>
      </w:r>
    </w:p>
    <w:p w:rsidRPr="005110E5" w:rsidR="00B604C0" w:rsidP="007E111C" w:rsidRDefault="00B604C0" w14:paraId="3B6AE64F" w14:textId="77777777">
      <w:pPr>
        <w:jc w:val="both"/>
        <w:rPr>
          <w:b/>
          <w:u w:val="single"/>
          <w:lang w:val="es-PE"/>
        </w:rPr>
      </w:pPr>
    </w:p>
    <w:p w:rsidRPr="005110E5" w:rsidR="006F22C5" w:rsidP="00266A9B" w:rsidRDefault="00E45877" w14:paraId="0F123301" w14:textId="77777777">
      <w:pPr>
        <w:jc w:val="both"/>
        <w:rPr>
          <w:lang w:val="es-PE"/>
        </w:rPr>
      </w:pPr>
      <w:r w:rsidRPr="005110E5">
        <w:rPr>
          <w:b/>
          <w:u w:val="single"/>
          <w:lang w:val="es-PE"/>
        </w:rPr>
        <w:t>PRIMERO</w:t>
      </w:r>
      <w:r w:rsidRPr="005110E5" w:rsidR="007E111C">
        <w:rPr>
          <w:b/>
          <w:lang w:val="es-PE"/>
        </w:rPr>
        <w:t>:</w:t>
      </w:r>
      <w:r w:rsidRPr="005110E5" w:rsidR="001C3467">
        <w:rPr>
          <w:lang w:val="es-PE"/>
        </w:rPr>
        <w:t xml:space="preserve"> </w:t>
      </w:r>
      <w:r w:rsidRPr="005110E5" w:rsidR="00266A9B">
        <w:rPr>
          <w:lang w:val="es-PE"/>
        </w:rPr>
        <w:t xml:space="preserve">El artículo 10 (Procedimiento) del Reglamento de la DEFASEG </w:t>
      </w:r>
      <w:r w:rsidRPr="005110E5" w:rsidR="00266A9B">
        <w:rPr>
          <w:rFonts w:eastAsia="Arial Unicode MS"/>
          <w:lang w:val="es-PE"/>
        </w:rPr>
        <w:t>(http://www.defaseg.com.pe/reglamento)</w:t>
      </w:r>
      <w:r w:rsidRPr="005110E5" w:rsidR="00266A9B">
        <w:rPr>
          <w:lang w:val="es-PE"/>
        </w:rPr>
        <w:t xml:space="preserve"> establece que cualquiera de las partes que no se encuentre de acuerdo con la decisión adoptada por el colegiado sobre la materia reclamada, podrá impugnarla, interponiendo el correspondiente recurso de </w:t>
      </w:r>
      <w:r w:rsidRPr="005110E5" w:rsidR="00E04136">
        <w:rPr>
          <w:lang w:val="es-PE"/>
        </w:rPr>
        <w:t>impugnación</w:t>
      </w:r>
      <w:r w:rsidRPr="005110E5" w:rsidR="00266A9B">
        <w:rPr>
          <w:lang w:val="es-PE"/>
        </w:rPr>
        <w:t xml:space="preserve">.  </w:t>
      </w:r>
    </w:p>
    <w:p w:rsidRPr="005110E5" w:rsidR="006F22C5" w:rsidP="00266A9B" w:rsidRDefault="006F22C5" w14:paraId="483B59B8" w14:textId="77777777">
      <w:pPr>
        <w:jc w:val="both"/>
        <w:rPr>
          <w:lang w:val="es-PE"/>
        </w:rPr>
      </w:pPr>
    </w:p>
    <w:p w:rsidRPr="005110E5" w:rsidR="00266A9B" w:rsidP="00266A9B" w:rsidRDefault="00266A9B" w14:paraId="27EDD611" w14:textId="77777777">
      <w:pPr>
        <w:jc w:val="both"/>
        <w:rPr>
          <w:lang w:val="es-PE"/>
        </w:rPr>
      </w:pPr>
      <w:r w:rsidRPr="005110E5">
        <w:rPr>
          <w:lang w:val="es-PE"/>
        </w:rPr>
        <w:t xml:space="preserve">Conforme a ello, en el caso concreto, al interponer el recurso de </w:t>
      </w:r>
      <w:r w:rsidRPr="005110E5" w:rsidR="00E04136">
        <w:rPr>
          <w:lang w:val="es-PE"/>
        </w:rPr>
        <w:t>impugnación</w:t>
      </w:r>
      <w:r w:rsidRPr="005110E5">
        <w:rPr>
          <w:lang w:val="es-PE"/>
        </w:rPr>
        <w:t xml:space="preserve"> la </w:t>
      </w:r>
      <w:r w:rsidRPr="005110E5" w:rsidR="00120043">
        <w:rPr>
          <w:lang w:val="es-PE"/>
        </w:rPr>
        <w:t>aseguradora</w:t>
      </w:r>
      <w:r w:rsidRPr="005110E5">
        <w:rPr>
          <w:lang w:val="es-PE"/>
        </w:rPr>
        <w:t xml:space="preserve"> ha ejercido formalmente su derecho a contradecir</w:t>
      </w:r>
      <w:r w:rsidRPr="005110E5" w:rsidR="00E04136">
        <w:rPr>
          <w:lang w:val="es-PE"/>
        </w:rPr>
        <w:t xml:space="preserve"> lo resuelto por la Defensoría</w:t>
      </w:r>
      <w:r w:rsidRPr="005110E5">
        <w:rPr>
          <w:lang w:val="es-PE"/>
        </w:rPr>
        <w:t>.</w:t>
      </w:r>
    </w:p>
    <w:p w:rsidRPr="005110E5" w:rsidR="007E111C" w:rsidP="007E111C" w:rsidRDefault="007E111C" w14:paraId="6A3A0511" w14:textId="77777777">
      <w:pPr>
        <w:pStyle w:val="Textoindependiente"/>
        <w:tabs>
          <w:tab w:val="left" w:pos="0"/>
          <w:tab w:val="left" w:pos="720"/>
        </w:tabs>
        <w:rPr>
          <w:u w:val="single"/>
          <w:lang w:val="es-PE"/>
        </w:rPr>
      </w:pPr>
    </w:p>
    <w:p w:rsidRPr="005110E5" w:rsidR="000A0653" w:rsidP="000A0653" w:rsidRDefault="00E45877" w14:paraId="4EE15489" w14:textId="77777777">
      <w:pPr>
        <w:jc w:val="both"/>
        <w:rPr>
          <w:bCs/>
        </w:rPr>
      </w:pPr>
      <w:r w:rsidRPr="005110E5">
        <w:rPr>
          <w:b/>
          <w:bCs/>
          <w:u w:val="single"/>
        </w:rPr>
        <w:t>SEGUNDO</w:t>
      </w:r>
      <w:r w:rsidRPr="005110E5" w:rsidR="0024585B">
        <w:rPr>
          <w:b/>
          <w:bCs/>
        </w:rPr>
        <w:t>:</w:t>
      </w:r>
      <w:r w:rsidRPr="005110E5" w:rsidR="00500913">
        <w:rPr>
          <w:bCs/>
        </w:rPr>
        <w:t xml:space="preserve"> Que el recurso de impugnación </w:t>
      </w:r>
      <w:r w:rsidRPr="005110E5" w:rsidR="0024585B">
        <w:rPr>
          <w:bCs/>
        </w:rPr>
        <w:t xml:space="preserve">presentado por </w:t>
      </w:r>
      <w:r w:rsidRPr="005110E5" w:rsidR="002E0430">
        <w:rPr>
          <w:bCs/>
        </w:rPr>
        <w:t>la asegurad</w:t>
      </w:r>
      <w:r w:rsidRPr="005110E5" w:rsidR="0058249F">
        <w:rPr>
          <w:bCs/>
        </w:rPr>
        <w:t>ora</w:t>
      </w:r>
      <w:r w:rsidRPr="005110E5" w:rsidR="0024585B">
        <w:rPr>
          <w:bCs/>
        </w:rPr>
        <w:t xml:space="preserve"> </w:t>
      </w:r>
      <w:r w:rsidRPr="005110E5" w:rsidR="008D5D93">
        <w:rPr>
          <w:bCs/>
        </w:rPr>
        <w:t xml:space="preserve">se sustenta </w:t>
      </w:r>
      <w:r w:rsidRPr="005110E5" w:rsidR="00FB6D44">
        <w:rPr>
          <w:bCs/>
        </w:rPr>
        <w:t>en</w:t>
      </w:r>
      <w:r w:rsidRPr="005110E5" w:rsidR="00A35085">
        <w:rPr>
          <w:bCs/>
        </w:rPr>
        <w:t xml:space="preserve"> tratar de</w:t>
      </w:r>
      <w:r w:rsidRPr="005110E5" w:rsidR="00FB6D44">
        <w:rPr>
          <w:bCs/>
        </w:rPr>
        <w:t xml:space="preserve"> </w:t>
      </w:r>
      <w:r w:rsidRPr="005110E5" w:rsidR="008D5D93">
        <w:rPr>
          <w:bCs/>
        </w:rPr>
        <w:t xml:space="preserve">desvirtuar los fundamentos </w:t>
      </w:r>
      <w:r w:rsidRPr="005110E5" w:rsidR="0047467A">
        <w:rPr>
          <w:bCs/>
        </w:rPr>
        <w:t xml:space="preserve">de </w:t>
      </w:r>
      <w:r w:rsidRPr="005110E5" w:rsidR="008D5D93">
        <w:rPr>
          <w:bCs/>
        </w:rPr>
        <w:t>la resolución impugnada</w:t>
      </w:r>
      <w:r w:rsidRPr="005110E5" w:rsidR="00D36FA3">
        <w:rPr>
          <w:bCs/>
        </w:rPr>
        <w:t>,</w:t>
      </w:r>
      <w:r w:rsidRPr="005110E5" w:rsidR="00FB6D44">
        <w:rPr>
          <w:bCs/>
        </w:rPr>
        <w:t xml:space="preserve"> in</w:t>
      </w:r>
      <w:r w:rsidRPr="005110E5" w:rsidR="000A0653">
        <w:rPr>
          <w:bCs/>
        </w:rPr>
        <w:t>sistiendo en su interpretación de los hechos y la argumentación expuesta al absolver la reclamación interpuesta. En especial asumiendo que la interpretación literal de la cláusula de ausencia de control es que esta se a</w:t>
      </w:r>
      <w:r w:rsidRPr="005110E5" w:rsidR="000A0653">
        <w:rPr>
          <w:bCs/>
          <w:color w:val="000000"/>
          <w:lang w:val="es-PE" w:eastAsia="es-PE"/>
        </w:rPr>
        <w:t xml:space="preserve">plica para los casos de </w:t>
      </w:r>
      <w:r w:rsidRPr="005110E5" w:rsidR="000A0653">
        <w:rPr>
          <w:color w:val="000000"/>
          <w:lang w:val="es-PE" w:eastAsia="es-PE"/>
        </w:rPr>
        <w:t>circulación o invasión contrario al tránsito autorizado.</w:t>
      </w:r>
    </w:p>
    <w:p w:rsidRPr="005110E5" w:rsidR="00CF51E8" w:rsidP="0024585B" w:rsidRDefault="00CF51E8" w14:paraId="3574F32C" w14:textId="77777777">
      <w:pPr>
        <w:jc w:val="both"/>
        <w:rPr>
          <w:bCs/>
        </w:rPr>
      </w:pPr>
    </w:p>
    <w:p w:rsidRPr="005110E5" w:rsidR="00AA2769" w:rsidP="00AA2769" w:rsidRDefault="00120043" w14:paraId="62A1ABEF" w14:textId="77777777">
      <w:pPr>
        <w:jc w:val="both"/>
      </w:pPr>
      <w:r w:rsidRPr="005110E5">
        <w:t xml:space="preserve">Sobre el particular, este Colegiado </w:t>
      </w:r>
      <w:r w:rsidRPr="005110E5" w:rsidR="000A0653">
        <w:t xml:space="preserve">reitera </w:t>
      </w:r>
      <w:r w:rsidRPr="005110E5" w:rsidR="00AA2769">
        <w:t>que, conforme a una</w:t>
      </w:r>
      <w:r w:rsidRPr="005110E5" w:rsidR="000A0653">
        <w:t xml:space="preserve"> interpretación literal de la cláusula de ausencia de control, </w:t>
      </w:r>
      <w:r w:rsidRPr="005110E5" w:rsidR="00AA2769">
        <w:t xml:space="preserve">esto es </w:t>
      </w:r>
      <w:r w:rsidRPr="005110E5" w:rsidR="000A0653">
        <w:t xml:space="preserve">tal como está redactada, </w:t>
      </w:r>
      <w:r w:rsidRPr="005110E5" w:rsidR="00AA2769">
        <w:t xml:space="preserve">la expresión </w:t>
      </w:r>
      <w:r w:rsidRPr="005110E5" w:rsidR="00AA2769">
        <w:rPr>
          <w:i/>
          <w:iCs/>
        </w:rPr>
        <w:t>“el conductor circule en sentido contrario al tránsito autorizado o invadiendo el carril contrario”</w:t>
      </w:r>
      <w:r w:rsidRPr="005110E5" w:rsidR="00AA2769">
        <w:t xml:space="preserve">, lleva a concluir que para efectos de la aplicación de la mencionada cláusula resulta irrelevante determinar si el conductor está o no autorizado por alguna circunstancia a invadir el carril contrario. </w:t>
      </w:r>
    </w:p>
    <w:p w:rsidRPr="005110E5" w:rsidR="00AA2769" w:rsidP="00AA2769" w:rsidRDefault="00AA2769" w14:paraId="6F4DDE91" w14:textId="77777777">
      <w:pPr>
        <w:jc w:val="both"/>
      </w:pPr>
    </w:p>
    <w:p w:rsidRPr="005110E5" w:rsidR="00AA2769" w:rsidP="00AA2769" w:rsidRDefault="00AA2769" w14:paraId="19604C5A" w14:textId="77777777">
      <w:pPr>
        <w:jc w:val="both"/>
      </w:pPr>
      <w:r w:rsidRPr="005110E5">
        <w:t xml:space="preserve">En ese sentido, se está bajo el supuesto de aplicación de la cláusula, cuando se presenta el hecho material y objetivo de una invasión del carril contrario, sin que para este efecto resulte de aplicación el Reglamento Nacional de Tránsito (RNT). </w:t>
      </w:r>
    </w:p>
    <w:p w:rsidRPr="005110E5" w:rsidR="00AA2769" w:rsidP="00AA2769" w:rsidRDefault="00AA2769" w14:paraId="1E5DCCEC" w14:textId="77777777">
      <w:pPr>
        <w:jc w:val="both"/>
      </w:pPr>
    </w:p>
    <w:p w:rsidRPr="005110E5" w:rsidR="00D6613C" w:rsidP="00AA2769" w:rsidRDefault="00AA2769" w14:paraId="0F8B445E" w14:textId="77777777">
      <w:pPr>
        <w:jc w:val="both"/>
      </w:pPr>
      <w:r w:rsidRPr="005110E5">
        <w:t>En efecto, la cláusula no h</w:t>
      </w:r>
      <w:r w:rsidRPr="005110E5" w:rsidR="00D6613C">
        <w:t>ace</w:t>
      </w:r>
      <w:r w:rsidRPr="005110E5">
        <w:t xml:space="preserve"> referencia a un supuesto de hecho bajo el RNT. Tampoco la cláusula </w:t>
      </w:r>
      <w:r w:rsidRPr="005110E5" w:rsidR="00D6613C">
        <w:t>excluye su aplicación cuando la</w:t>
      </w:r>
      <w:r w:rsidRPr="005110E5">
        <w:t xml:space="preserve"> invasión</w:t>
      </w:r>
      <w:r w:rsidRPr="005110E5" w:rsidR="00D6613C">
        <w:t xml:space="preserve"> sea consecuencia de una negligencia del conductor</w:t>
      </w:r>
      <w:r w:rsidRPr="005110E5">
        <w:t>, por lo que atendiendo a su literalidad no cabe restringir su aplicación</w:t>
      </w:r>
      <w:r w:rsidRPr="005110E5" w:rsidR="00D6613C">
        <w:t xml:space="preserve"> en esos casos. </w:t>
      </w:r>
    </w:p>
    <w:p w:rsidRPr="005110E5" w:rsidR="00D6613C" w:rsidP="00AA2769" w:rsidRDefault="00D6613C" w14:paraId="6CCA7A53" w14:textId="77777777">
      <w:pPr>
        <w:jc w:val="both"/>
      </w:pPr>
    </w:p>
    <w:p w:rsidRPr="005110E5" w:rsidR="00D6613C" w:rsidP="00AA2769" w:rsidRDefault="00D6613C" w14:paraId="2EC3BA7D" w14:textId="77777777">
      <w:pPr>
        <w:jc w:val="both"/>
      </w:pPr>
      <w:r w:rsidRPr="005110E5">
        <w:t>Cabe destacar que la aseguradora que ha redactado la cláusula estaba en la capacidad de ser lo más clara y precisa para delimitar el riesgo asumido.</w:t>
      </w:r>
    </w:p>
    <w:p w:rsidRPr="005110E5" w:rsidR="00D6613C" w:rsidP="00AA2769" w:rsidRDefault="00D6613C" w14:paraId="25D61C76" w14:textId="77777777">
      <w:pPr>
        <w:jc w:val="both"/>
      </w:pPr>
    </w:p>
    <w:p w:rsidRPr="005110E5" w:rsidR="00D6613C" w:rsidP="00AA2769" w:rsidRDefault="00D6613C" w14:paraId="220EA68C" w14:textId="77777777">
      <w:pPr>
        <w:jc w:val="both"/>
      </w:pPr>
      <w:r w:rsidRPr="005110E5">
        <w:t xml:space="preserve">Tal como se aprecia en el texto de la cláusula de ausencia de control, la aseguradora acordó ampliar las coberturas </w:t>
      </w:r>
      <w:r w:rsidRPr="005110E5" w:rsidR="000531EE">
        <w:t>cuando se incurra en “cualquiera de las siguientes circunstancias”:</w:t>
      </w:r>
    </w:p>
    <w:p w:rsidRPr="005110E5" w:rsidR="00D6613C" w:rsidP="00AA2769" w:rsidRDefault="00D6613C" w14:paraId="27180DDF" w14:textId="77777777">
      <w:pPr>
        <w:jc w:val="both"/>
      </w:pPr>
    </w:p>
    <w:p w:rsidRPr="005110E5" w:rsidR="00D6613C" w:rsidP="5103C0EB" w:rsidRDefault="005110E5" w14:paraId="5D6BA8BA" w14:textId="15F8C07B">
      <w:pPr>
        <w:pStyle w:val="Normal"/>
        <w:jc w:val="both"/>
      </w:pPr>
      <w:r w:rsidR="25B547D1">
        <w:rPr/>
        <w:t>.........................................................................</w:t>
      </w:r>
    </w:p>
    <w:p w:rsidR="5103C0EB" w:rsidP="5103C0EB" w:rsidRDefault="5103C0EB" w14:paraId="60E66588" w14:textId="10F5CF3A">
      <w:pPr>
        <w:pStyle w:val="Normal"/>
        <w:jc w:val="both"/>
      </w:pPr>
    </w:p>
    <w:p w:rsidR="25B547D1" w:rsidP="5103C0EB" w:rsidRDefault="25B547D1" w14:paraId="6B4DC9B5" w14:textId="28CB7C9E">
      <w:pPr>
        <w:pStyle w:val="Normal"/>
        <w:jc w:val="both"/>
      </w:pPr>
      <w:r w:rsidR="25B547D1">
        <w:rPr/>
        <w:t>......................................................................</w:t>
      </w:r>
    </w:p>
    <w:p w:rsidRPr="005110E5" w:rsidR="00D6613C" w:rsidP="00AA2769" w:rsidRDefault="00D6613C" w14:paraId="0634C768" w14:textId="77777777">
      <w:pPr>
        <w:jc w:val="both"/>
      </w:pPr>
    </w:p>
    <w:p w:rsidRPr="005110E5" w:rsidR="000531EE" w:rsidP="00AA2769" w:rsidRDefault="000531EE" w14:paraId="31D2A079" w14:textId="77777777">
      <w:pPr>
        <w:jc w:val="both"/>
      </w:pPr>
      <w:r w:rsidRPr="005110E5">
        <w:t>Esto es, la redacción no asume una referencia a “causalidad adecuada”, sino a una participación de determinadas “circunstancias” en las que incurra el conductor, esto es, que circule invadiendo el carril contrario. En ese sentido, la cláusula de ausencia de control se aplica aún en los casos en que la causa adecuada del siniestro sea la negligencia del conductor.</w:t>
      </w:r>
    </w:p>
    <w:p w:rsidRPr="005110E5" w:rsidR="000531EE" w:rsidP="00AA2769" w:rsidRDefault="000531EE" w14:paraId="78630491" w14:textId="77777777">
      <w:pPr>
        <w:jc w:val="both"/>
      </w:pPr>
    </w:p>
    <w:p w:rsidRPr="005110E5" w:rsidR="000531EE" w:rsidP="00AA2769" w:rsidRDefault="000531EE" w14:paraId="09B31AE0" w14:textId="753E10D5">
      <w:pPr>
        <w:jc w:val="both"/>
      </w:pPr>
      <w:r w:rsidRPr="005110E5">
        <w:t xml:space="preserve">Cabe recordar que la finalidad de una cláusula de ausencia de control es extender la cobertura a los casos que en el marco general están excluidos, por </w:t>
      </w:r>
      <w:r w:rsidRPr="005110E5" w:rsidR="005110E5">
        <w:t>ende,</w:t>
      </w:r>
      <w:r w:rsidRPr="005110E5">
        <w:t xml:space="preserve"> son casos excepcionales en los que se amplía la cobertura.</w:t>
      </w:r>
    </w:p>
    <w:p w:rsidRPr="005110E5" w:rsidR="00D6613C" w:rsidP="00AA2769" w:rsidRDefault="00D6613C" w14:paraId="371AC1F1" w14:textId="77777777">
      <w:pPr>
        <w:jc w:val="both"/>
      </w:pPr>
    </w:p>
    <w:p w:rsidRPr="005110E5" w:rsidR="000A0653" w:rsidP="0024585B" w:rsidRDefault="00D6613C" w14:paraId="188F07BB" w14:textId="0EF70101">
      <w:pPr>
        <w:jc w:val="both"/>
      </w:pPr>
      <w:r w:rsidR="00D6613C">
        <w:rPr/>
        <w:t xml:space="preserve">De acuerdo con el Informe Policial No </w:t>
      </w:r>
      <w:r w:rsidR="6B0CDFED">
        <w:rPr/>
        <w:t>....................</w:t>
      </w:r>
      <w:r w:rsidR="00D6613C">
        <w:rPr/>
        <w:t xml:space="preserve"> MRCA/RPC-DIVOPUS C-COMSECT Q-COM PNP OCONGATE de fecha 19 de julio de 2021, la autoridad policial determinó que el accidente de tránsito fue como consecuencia de que la unidad asegurada invadió el carril contrario</w:t>
      </w:r>
    </w:p>
    <w:p w:rsidRPr="005110E5" w:rsidR="00D6613C" w:rsidP="0024585B" w:rsidRDefault="00D6613C" w14:paraId="422847DB" w14:textId="77777777">
      <w:pPr>
        <w:jc w:val="both"/>
      </w:pPr>
    </w:p>
    <w:p w:rsidRPr="005110E5" w:rsidR="00D6613C" w:rsidP="0024585B" w:rsidRDefault="005110E5" w14:paraId="1E597BDF" w14:textId="6C637EF9">
      <w:pPr>
        <w:jc w:val="both"/>
      </w:pPr>
      <w:r w:rsidR="3060B326">
        <w:rPr/>
        <w:t>.......................................................................................................................................</w:t>
      </w:r>
    </w:p>
    <w:p w:rsidRPr="005110E5" w:rsidR="00D6613C" w:rsidP="0024585B" w:rsidRDefault="00D6613C" w14:paraId="69F1CF49" w14:textId="77777777">
      <w:pPr>
        <w:jc w:val="both"/>
      </w:pPr>
    </w:p>
    <w:p w:rsidRPr="005110E5" w:rsidR="000531EE" w:rsidP="000531EE" w:rsidRDefault="000531EE" w14:paraId="7CAA02FA" w14:textId="77777777">
      <w:pPr>
        <w:pStyle w:val="Default"/>
        <w:jc w:val="both"/>
      </w:pPr>
      <w:r w:rsidRPr="005110E5">
        <w:t>De la descripción del accidente de tránsito que realizó la Policía Nacional del Perú, este Colegiado concluye que el siniestro ocurrió en circunstancias en que el conductor de la unidad asegurada realizó un cambio de carril o giro.</w:t>
      </w:r>
    </w:p>
    <w:p w:rsidRPr="005110E5" w:rsidR="000531EE" w:rsidP="000531EE" w:rsidRDefault="000531EE" w14:paraId="21411A65" w14:textId="77777777">
      <w:pPr>
        <w:pStyle w:val="Default"/>
        <w:jc w:val="both"/>
      </w:pPr>
    </w:p>
    <w:p w:rsidRPr="005110E5" w:rsidR="000531EE" w:rsidP="5103C0EB" w:rsidRDefault="000531EE" w14:paraId="599E6BFB" w14:textId="77777777">
      <w:pPr>
        <w:pStyle w:val="Default"/>
        <w:jc w:val="both"/>
        <w:rPr>
          <w:lang w:val="es-ES"/>
        </w:rPr>
      </w:pPr>
      <w:r w:rsidRPr="5103C0EB" w:rsidR="000531EE">
        <w:rPr>
          <w:lang w:val="es-ES"/>
        </w:rPr>
        <w:t>Dicha circunstancia fáctica sólo puede realizarse invadiendo el carril contrario, por lo que, al no hacerse distinción entre invasión permitida y no autorizada, la cláusula resulta de aplicación en ambos casos, esto es, ya sea cuando la invasión esté permitida y cuando esté prohibida.</w:t>
      </w:r>
    </w:p>
    <w:p w:rsidRPr="005110E5" w:rsidR="000531EE" w:rsidP="0024585B" w:rsidRDefault="000531EE" w14:paraId="2DA16D7A" w14:textId="77777777">
      <w:pPr>
        <w:jc w:val="both"/>
      </w:pPr>
    </w:p>
    <w:p w:rsidRPr="005110E5" w:rsidR="00DF1B5D" w:rsidP="00DF1B5D" w:rsidRDefault="00DF1B5D" w14:paraId="24F1AD60" w14:textId="77777777">
      <w:pPr>
        <w:ind w:left="708"/>
        <w:jc w:val="both"/>
        <w:rPr>
          <w:i/>
          <w:iCs/>
          <w:lang w:val="es-MX"/>
        </w:rPr>
      </w:pPr>
    </w:p>
    <w:p w:rsidRPr="005110E5" w:rsidR="005D6A02" w:rsidP="005D6A02" w:rsidRDefault="005D6A02" w14:paraId="6694FD5C" w14:textId="77777777">
      <w:pPr>
        <w:jc w:val="both"/>
      </w:pPr>
      <w:r w:rsidRPr="005110E5">
        <w:rPr>
          <w:b/>
          <w:u w:val="single"/>
        </w:rPr>
        <w:t>TERCERO</w:t>
      </w:r>
      <w:r w:rsidRPr="005110E5">
        <w:rPr>
          <w:b/>
        </w:rPr>
        <w:t>:</w:t>
      </w:r>
      <w:r w:rsidRPr="005110E5">
        <w:t xml:space="preserve"> En atención a las consideraciones precedentes, este colegiado aprecia finalmente que</w:t>
      </w:r>
      <w:r w:rsidRPr="005110E5" w:rsidR="00DF4445">
        <w:t xml:space="preserve"> no</w:t>
      </w:r>
      <w:r w:rsidRPr="005110E5">
        <w:t xml:space="preserve"> se ha evidenciado error </w:t>
      </w:r>
      <w:r w:rsidRPr="005110E5" w:rsidR="00DF4445">
        <w:t>ni falta de fundamentos en la resolución recurrida</w:t>
      </w:r>
      <w:r w:rsidRPr="005110E5">
        <w:t xml:space="preserve">, </w:t>
      </w:r>
      <w:r w:rsidRPr="005110E5" w:rsidR="00DF1B5D">
        <w:t xml:space="preserve">que conlleve a conclusiones distintas a las establecidas en la resolución materia de impugnación, </w:t>
      </w:r>
      <w:r w:rsidRPr="005110E5">
        <w:t xml:space="preserve">por lo que </w:t>
      </w:r>
      <w:r w:rsidRPr="005110E5" w:rsidR="00DF4445">
        <w:t xml:space="preserve">no </w:t>
      </w:r>
      <w:r w:rsidRPr="005110E5">
        <w:t xml:space="preserve">existe mérito </w:t>
      </w:r>
      <w:r w:rsidRPr="005110E5" w:rsidR="00DF4445">
        <w:t>ni</w:t>
      </w:r>
      <w:r w:rsidRPr="005110E5">
        <w:t xml:space="preserve"> razón objetiva para revocarla.</w:t>
      </w:r>
    </w:p>
    <w:p w:rsidRPr="005110E5" w:rsidR="005D6A02" w:rsidP="005D6A02" w:rsidRDefault="005D6A02" w14:paraId="7CC8A92E" w14:textId="77777777">
      <w:pPr>
        <w:jc w:val="both"/>
      </w:pPr>
    </w:p>
    <w:p w:rsidRPr="005110E5" w:rsidR="005D6A02" w:rsidP="005D6A02" w:rsidRDefault="005D6A02" w14:paraId="390F4618" w14:textId="77777777">
      <w:pPr>
        <w:jc w:val="both"/>
        <w:rPr>
          <w:b/>
        </w:rPr>
      </w:pPr>
      <w:r w:rsidRPr="005110E5">
        <w:rPr>
          <w:b/>
        </w:rPr>
        <w:t>RESUELVE:</w:t>
      </w:r>
    </w:p>
    <w:p w:rsidRPr="005110E5" w:rsidR="005D6A02" w:rsidP="005D6A02" w:rsidRDefault="005D6A02" w14:paraId="1A00CE47" w14:textId="77777777">
      <w:pPr>
        <w:jc w:val="both"/>
      </w:pPr>
    </w:p>
    <w:p w:rsidRPr="005110E5" w:rsidR="005D6A02" w:rsidP="005D6A02" w:rsidRDefault="005D6A02" w14:paraId="2BF63F2E" w14:textId="77777777">
      <w:pPr>
        <w:jc w:val="both"/>
      </w:pPr>
      <w:r w:rsidRPr="005110E5">
        <w:rPr>
          <w:rFonts w:eastAsia="Arial Unicode MS"/>
          <w:b/>
        </w:rPr>
        <w:t xml:space="preserve">Declarar </w:t>
      </w:r>
      <w:r w:rsidRPr="005110E5" w:rsidR="00DF4445">
        <w:rPr>
          <w:rFonts w:eastAsia="Arial Unicode MS"/>
          <w:b/>
        </w:rPr>
        <w:t>IN</w:t>
      </w:r>
      <w:r w:rsidRPr="005110E5">
        <w:rPr>
          <w:rFonts w:eastAsia="Arial Unicode MS"/>
          <w:b/>
        </w:rPr>
        <w:t xml:space="preserve">FUNDADO el recurso de impugnación interpuesto y, por consiguiente, </w:t>
      </w:r>
      <w:r w:rsidRPr="005110E5" w:rsidR="00DF4445">
        <w:rPr>
          <w:rFonts w:eastAsia="Arial Unicode MS"/>
          <w:b/>
        </w:rPr>
        <w:t>CONFIRMAR</w:t>
      </w:r>
      <w:r w:rsidRPr="005110E5">
        <w:rPr>
          <w:rFonts w:eastAsia="Arial Unicode MS"/>
          <w:b/>
        </w:rPr>
        <w:t xml:space="preserve"> la Resolución Nro. </w:t>
      </w:r>
      <w:r w:rsidRPr="005110E5" w:rsidR="008E2420">
        <w:rPr>
          <w:rFonts w:eastAsia="Arial Unicode MS"/>
          <w:b/>
        </w:rPr>
        <w:t>214</w:t>
      </w:r>
      <w:r w:rsidRPr="005110E5" w:rsidR="00DF1B5D">
        <w:rPr>
          <w:rFonts w:eastAsia="Arial Unicode MS"/>
          <w:b/>
        </w:rPr>
        <w:t>/</w:t>
      </w:r>
      <w:r w:rsidRPr="005110E5" w:rsidR="009E1335">
        <w:rPr>
          <w:rFonts w:eastAsia="Arial Unicode MS"/>
          <w:b/>
        </w:rPr>
        <w:t>22</w:t>
      </w:r>
      <w:r w:rsidRPr="005110E5">
        <w:t>.</w:t>
      </w:r>
    </w:p>
    <w:p w:rsidRPr="005110E5" w:rsidR="00DF4445" w:rsidP="005D6A02" w:rsidRDefault="00DF4445" w14:paraId="20E282D5" w14:textId="77777777">
      <w:pPr>
        <w:jc w:val="both"/>
      </w:pPr>
    </w:p>
    <w:p w:rsidRPr="005F3858" w:rsidR="005110E5" w:rsidP="005110E5" w:rsidRDefault="005110E5" w14:paraId="3E088A5E" w14:textId="272CE549">
      <w:pPr>
        <w:jc w:val="right"/>
        <w:outlineLvl w:val="0"/>
        <w:rPr>
          <w:rFonts w:eastAsia="Arial Unicode MS"/>
        </w:rPr>
      </w:pPr>
      <w:r>
        <w:t xml:space="preserve">Lima, </w:t>
      </w:r>
      <w:r>
        <w:rPr>
          <w:rFonts w:eastAsia="Arial Unicode MS"/>
        </w:rPr>
        <w:t>01</w:t>
      </w:r>
      <w:r w:rsidRPr="005F3858">
        <w:rPr>
          <w:rFonts w:eastAsia="Arial Unicode MS"/>
        </w:rPr>
        <w:t xml:space="preserve"> de </w:t>
      </w:r>
      <w:r>
        <w:rPr>
          <w:rFonts w:eastAsia="Arial Unicode MS"/>
        </w:rPr>
        <w:t>diciembre</w:t>
      </w:r>
      <w:r w:rsidRPr="005F3858">
        <w:rPr>
          <w:rFonts w:eastAsia="Arial Unicode MS"/>
        </w:rPr>
        <w:t xml:space="preserve"> de 2022</w:t>
      </w:r>
    </w:p>
    <w:p w:rsidRPr="005F3858" w:rsidR="005110E5" w:rsidP="005110E5" w:rsidRDefault="005110E5" w14:paraId="68B0FC68" w14:textId="77777777">
      <w:pPr>
        <w:jc w:val="right"/>
        <w:outlineLvl w:val="0"/>
        <w:rPr>
          <w:rFonts w:eastAsia="Arial Unicode MS"/>
        </w:rPr>
      </w:pPr>
    </w:p>
    <w:p w:rsidRPr="005F3858" w:rsidR="005110E5" w:rsidP="005110E5" w:rsidRDefault="005110E5" w14:paraId="68D00DD3" w14:textId="77777777">
      <w:pPr>
        <w:jc w:val="right"/>
        <w:outlineLvl w:val="0"/>
        <w:rPr>
          <w:rFonts w:eastAsia="Arial Unicode MS"/>
        </w:rPr>
      </w:pPr>
    </w:p>
    <w:p w:rsidRPr="005F3858" w:rsidR="005110E5" w:rsidP="005110E5" w:rsidRDefault="005110E5" w14:paraId="10AF5503" w14:textId="77777777">
      <w:pPr>
        <w:jc w:val="both"/>
        <w:rPr>
          <w:b/>
          <w:bCs/>
          <w:i/>
          <w:iCs/>
        </w:rPr>
      </w:pPr>
      <w:r w:rsidRPr="005F3858">
        <w:rPr>
          <w:b/>
          <w:bCs/>
          <w:i/>
          <w:iCs/>
        </w:rPr>
        <w:t>La Secretaría Técnica certifica que la presente resolución cuenta con el voto de los vocales cuyos nombres figuran en el presente documento.</w:t>
      </w:r>
    </w:p>
    <w:p w:rsidR="005110E5" w:rsidP="005110E5" w:rsidRDefault="005110E5" w14:paraId="315D0325" w14:textId="6918AB3F">
      <w:pPr>
        <w:jc w:val="both"/>
        <w:rPr>
          <w:b/>
          <w:bCs/>
          <w:i/>
          <w:iCs/>
        </w:rPr>
      </w:pPr>
    </w:p>
    <w:p w:rsidRPr="005F3858" w:rsidR="005110E5" w:rsidP="005110E5" w:rsidRDefault="005110E5" w14:paraId="726E7111" w14:textId="77777777">
      <w:pPr>
        <w:jc w:val="both"/>
        <w:rPr>
          <w:b/>
          <w:bCs/>
          <w:i/>
          <w:iCs/>
        </w:rPr>
      </w:pPr>
    </w:p>
    <w:p w:rsidRPr="005F3858" w:rsidR="005110E5" w:rsidP="005110E5" w:rsidRDefault="005110E5" w14:paraId="584E7EFA" w14:textId="77777777">
      <w:pPr>
        <w:jc w:val="center"/>
        <w:rPr>
          <w:b/>
          <w:bCs/>
        </w:rPr>
      </w:pPr>
      <w:r w:rsidRPr="005F3858">
        <w:rPr>
          <w:b/>
          <w:bCs/>
        </w:rPr>
        <w:t>Rolando Eyzaguirre Maccan – Presidente</w:t>
      </w:r>
    </w:p>
    <w:p w:rsidRPr="005F3858" w:rsidR="005110E5" w:rsidP="005110E5" w:rsidRDefault="005110E5" w14:paraId="566A232C" w14:textId="77777777">
      <w:pPr>
        <w:jc w:val="center"/>
        <w:rPr>
          <w:b/>
          <w:bCs/>
        </w:rPr>
      </w:pPr>
      <w:r w:rsidRPr="005F3858">
        <w:rPr>
          <w:b/>
          <w:bCs/>
        </w:rPr>
        <w:t>María Eugenia Valdez Fernández Baca – Vocal</w:t>
      </w:r>
    </w:p>
    <w:p w:rsidRPr="005F3858" w:rsidR="005110E5" w:rsidP="005110E5" w:rsidRDefault="005110E5" w14:paraId="40D42D78" w14:textId="77777777">
      <w:pPr>
        <w:jc w:val="center"/>
        <w:rPr>
          <w:b/>
          <w:bCs/>
        </w:rPr>
      </w:pPr>
      <w:r w:rsidRPr="005F3858">
        <w:rPr>
          <w:b/>
          <w:bCs/>
        </w:rPr>
        <w:t>Omar Alfaro Villanueva – Vocal</w:t>
      </w:r>
    </w:p>
    <w:p w:rsidRPr="005F3858" w:rsidR="005110E5" w:rsidP="005110E5" w:rsidRDefault="005110E5" w14:paraId="26E1304F" w14:textId="77777777">
      <w:pPr>
        <w:jc w:val="center"/>
      </w:pPr>
      <w:r w:rsidRPr="005F3858">
        <w:rPr>
          <w:b/>
          <w:bCs/>
        </w:rPr>
        <w:t>Gonzalo Abad del Busto – Vocal</w:t>
      </w:r>
    </w:p>
    <w:p w:rsidRPr="005110E5" w:rsidR="00F02A4B" w:rsidP="005D6A02" w:rsidRDefault="00F02A4B" w14:paraId="2CC1E4EB" w14:textId="746E142A">
      <w:pPr>
        <w:jc w:val="right"/>
        <w:rPr>
          <w:rFonts w:eastAsia="Arial Unicode MS"/>
        </w:rPr>
      </w:pPr>
    </w:p>
    <w:p w:rsidRPr="009A59BC" w:rsidR="00E64F28" w:rsidRDefault="00E64F28" w14:paraId="2577E669" w14:textId="77777777">
      <w:pPr>
        <w:autoSpaceDE w:val="0"/>
        <w:jc w:val="right"/>
        <w:rPr>
          <w:rFonts w:ascii="Georgia" w:hAnsi="Georgia" w:cs="Arial"/>
        </w:rPr>
      </w:pPr>
      <w:r w:rsidRPr="009A59BC">
        <w:rPr>
          <w:rFonts w:ascii="Georgia" w:hAnsi="Georgia" w:cs="Arial"/>
          <w:lang w:val="es-MX"/>
        </w:rPr>
        <w:t xml:space="preserve">  </w:t>
      </w:r>
      <w:r w:rsidRPr="009A59BC">
        <w:rPr>
          <w:rFonts w:ascii="Georgia" w:hAnsi="Georgia" w:cs="Arial"/>
        </w:rPr>
        <w:t xml:space="preserve"> </w:t>
      </w:r>
    </w:p>
    <w:sectPr w:rsidRPr="009A59BC" w:rsidR="00E64F28">
      <w:headerReference w:type="default" r:id="rId10"/>
      <w:pgSz w:w="11906" w:h="16838" w:orient="portrait"/>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0F1E" w:rsidRDefault="00290F1E" w14:paraId="20C6FE81" w14:textId="77777777">
      <w:r>
        <w:separator/>
      </w:r>
    </w:p>
  </w:endnote>
  <w:endnote w:type="continuationSeparator" w:id="0">
    <w:p w:rsidR="00290F1E" w:rsidRDefault="00290F1E" w14:paraId="5E7C73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0F1E" w:rsidRDefault="00290F1E" w14:paraId="03CF1839" w14:textId="77777777">
      <w:r>
        <w:separator/>
      </w:r>
    </w:p>
  </w:footnote>
  <w:footnote w:type="continuationSeparator" w:id="0">
    <w:p w:rsidR="00290F1E" w:rsidRDefault="00290F1E" w14:paraId="64DDE8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110E5" w:rsidRDefault="005110E5" w14:paraId="3BFF333C" w14:textId="2EA5BE33">
    <w:pPr>
      <w:pStyle w:val="Encabezado"/>
    </w:pPr>
    <w:r w:rsidRPr="001508E7">
      <w:rPr>
        <w:noProof/>
      </w:rPr>
      <w:drawing>
        <wp:inline distT="0" distB="0" distL="0" distR="0" wp14:anchorId="35987D6F" wp14:editId="30CFCAD9">
          <wp:extent cx="2095500" cy="704850"/>
          <wp:effectExtent l="0" t="0" r="0" b="0"/>
          <wp:docPr id="1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96B58"/>
    <w:multiLevelType w:val="hybridMultilevel"/>
    <w:tmpl w:val="05284B46"/>
    <w:lvl w:ilvl="0" w:tplc="CF64BD62">
      <w:start w:val="2"/>
      <w:numFmt w:val="upperLetter"/>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CC6FD3"/>
    <w:multiLevelType w:val="hybridMultilevel"/>
    <w:tmpl w:val="8E4C87A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 w15:restartNumberingAfterBreak="0">
    <w:nsid w:val="79191337"/>
    <w:multiLevelType w:val="multilevel"/>
    <w:tmpl w:val="7DC216D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670256662">
    <w:abstractNumId w:val="0"/>
  </w:num>
  <w:num w:numId="2" w16cid:durableId="1022241453">
    <w:abstractNumId w:val="2"/>
  </w:num>
  <w:num w:numId="3" w16cid:durableId="1812795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DA"/>
    <w:rsid w:val="00010B7F"/>
    <w:rsid w:val="0001180F"/>
    <w:rsid w:val="00011908"/>
    <w:rsid w:val="000149BA"/>
    <w:rsid w:val="00017BF1"/>
    <w:rsid w:val="000203D4"/>
    <w:rsid w:val="00025352"/>
    <w:rsid w:val="00032B2A"/>
    <w:rsid w:val="00034249"/>
    <w:rsid w:val="0004078F"/>
    <w:rsid w:val="000531EE"/>
    <w:rsid w:val="00055B1B"/>
    <w:rsid w:val="00062F62"/>
    <w:rsid w:val="00065412"/>
    <w:rsid w:val="0007044C"/>
    <w:rsid w:val="000736F5"/>
    <w:rsid w:val="0007606D"/>
    <w:rsid w:val="0007628A"/>
    <w:rsid w:val="000824A1"/>
    <w:rsid w:val="0009162F"/>
    <w:rsid w:val="00094DD4"/>
    <w:rsid w:val="0009583C"/>
    <w:rsid w:val="000966B7"/>
    <w:rsid w:val="000A0653"/>
    <w:rsid w:val="000C013C"/>
    <w:rsid w:val="000D6582"/>
    <w:rsid w:val="000E38AF"/>
    <w:rsid w:val="000E3B7D"/>
    <w:rsid w:val="000E4102"/>
    <w:rsid w:val="000E78B5"/>
    <w:rsid w:val="000E78DF"/>
    <w:rsid w:val="000F1FEA"/>
    <w:rsid w:val="000F2B0F"/>
    <w:rsid w:val="000F4318"/>
    <w:rsid w:val="001037A2"/>
    <w:rsid w:val="00120043"/>
    <w:rsid w:val="001274F3"/>
    <w:rsid w:val="0012750F"/>
    <w:rsid w:val="001279B6"/>
    <w:rsid w:val="001300E5"/>
    <w:rsid w:val="00152E70"/>
    <w:rsid w:val="00155805"/>
    <w:rsid w:val="00161AFB"/>
    <w:rsid w:val="00166E2C"/>
    <w:rsid w:val="001731CE"/>
    <w:rsid w:val="001764EE"/>
    <w:rsid w:val="00191416"/>
    <w:rsid w:val="001922A0"/>
    <w:rsid w:val="001939F3"/>
    <w:rsid w:val="001960DB"/>
    <w:rsid w:val="00196791"/>
    <w:rsid w:val="001A6331"/>
    <w:rsid w:val="001A6AEA"/>
    <w:rsid w:val="001B052E"/>
    <w:rsid w:val="001B18CB"/>
    <w:rsid w:val="001C3467"/>
    <w:rsid w:val="001D0FBB"/>
    <w:rsid w:val="001D79AF"/>
    <w:rsid w:val="001E0A3E"/>
    <w:rsid w:val="001E7F2D"/>
    <w:rsid w:val="00201C81"/>
    <w:rsid w:val="00202BAE"/>
    <w:rsid w:val="0020511C"/>
    <w:rsid w:val="00213E97"/>
    <w:rsid w:val="00215216"/>
    <w:rsid w:val="002162F6"/>
    <w:rsid w:val="00230EDA"/>
    <w:rsid w:val="00240C91"/>
    <w:rsid w:val="002435B9"/>
    <w:rsid w:val="0024585B"/>
    <w:rsid w:val="00247107"/>
    <w:rsid w:val="00255B26"/>
    <w:rsid w:val="00260350"/>
    <w:rsid w:val="00261A64"/>
    <w:rsid w:val="00266A9B"/>
    <w:rsid w:val="00267F72"/>
    <w:rsid w:val="0027153E"/>
    <w:rsid w:val="0027315A"/>
    <w:rsid w:val="00274104"/>
    <w:rsid w:val="00286118"/>
    <w:rsid w:val="00290F1E"/>
    <w:rsid w:val="00296C23"/>
    <w:rsid w:val="002B2CD4"/>
    <w:rsid w:val="002B3C89"/>
    <w:rsid w:val="002E0430"/>
    <w:rsid w:val="002F075A"/>
    <w:rsid w:val="002F0F80"/>
    <w:rsid w:val="002F64FD"/>
    <w:rsid w:val="003054C1"/>
    <w:rsid w:val="003104B3"/>
    <w:rsid w:val="003177C3"/>
    <w:rsid w:val="00336F84"/>
    <w:rsid w:val="00337006"/>
    <w:rsid w:val="00343254"/>
    <w:rsid w:val="00344094"/>
    <w:rsid w:val="003462E9"/>
    <w:rsid w:val="003641CC"/>
    <w:rsid w:val="00365D34"/>
    <w:rsid w:val="00366C00"/>
    <w:rsid w:val="00370645"/>
    <w:rsid w:val="003711EF"/>
    <w:rsid w:val="00371A6B"/>
    <w:rsid w:val="00371CE2"/>
    <w:rsid w:val="00372DC9"/>
    <w:rsid w:val="0038014B"/>
    <w:rsid w:val="00381AD8"/>
    <w:rsid w:val="00391BF3"/>
    <w:rsid w:val="003A00EE"/>
    <w:rsid w:val="003A0CA4"/>
    <w:rsid w:val="003A1C31"/>
    <w:rsid w:val="003A41E0"/>
    <w:rsid w:val="003C1036"/>
    <w:rsid w:val="003D3C6E"/>
    <w:rsid w:val="003E17F8"/>
    <w:rsid w:val="003F0439"/>
    <w:rsid w:val="00400C84"/>
    <w:rsid w:val="004023CA"/>
    <w:rsid w:val="0040483C"/>
    <w:rsid w:val="004062D7"/>
    <w:rsid w:val="00414219"/>
    <w:rsid w:val="004218DC"/>
    <w:rsid w:val="00422FB0"/>
    <w:rsid w:val="00433163"/>
    <w:rsid w:val="00435591"/>
    <w:rsid w:val="00452D52"/>
    <w:rsid w:val="00454707"/>
    <w:rsid w:val="00464B2E"/>
    <w:rsid w:val="0047467A"/>
    <w:rsid w:val="00481320"/>
    <w:rsid w:val="004912FA"/>
    <w:rsid w:val="0049231B"/>
    <w:rsid w:val="00493D18"/>
    <w:rsid w:val="004B175C"/>
    <w:rsid w:val="004B495C"/>
    <w:rsid w:val="004B6936"/>
    <w:rsid w:val="004D4935"/>
    <w:rsid w:val="004E368A"/>
    <w:rsid w:val="004E5865"/>
    <w:rsid w:val="004F0D52"/>
    <w:rsid w:val="004F3999"/>
    <w:rsid w:val="004F3BE3"/>
    <w:rsid w:val="00500913"/>
    <w:rsid w:val="005021EC"/>
    <w:rsid w:val="0050232C"/>
    <w:rsid w:val="00506AB8"/>
    <w:rsid w:val="005110E5"/>
    <w:rsid w:val="00516F3D"/>
    <w:rsid w:val="00525C34"/>
    <w:rsid w:val="0052653B"/>
    <w:rsid w:val="00541534"/>
    <w:rsid w:val="00542CB9"/>
    <w:rsid w:val="005434BE"/>
    <w:rsid w:val="005435D1"/>
    <w:rsid w:val="00547733"/>
    <w:rsid w:val="005541AF"/>
    <w:rsid w:val="00555F04"/>
    <w:rsid w:val="005614C5"/>
    <w:rsid w:val="005729B6"/>
    <w:rsid w:val="00573252"/>
    <w:rsid w:val="0057512F"/>
    <w:rsid w:val="0058249F"/>
    <w:rsid w:val="00592111"/>
    <w:rsid w:val="005A0CBC"/>
    <w:rsid w:val="005A4C9E"/>
    <w:rsid w:val="005A4ED4"/>
    <w:rsid w:val="005C1140"/>
    <w:rsid w:val="005C3C44"/>
    <w:rsid w:val="005C7CEA"/>
    <w:rsid w:val="005D2404"/>
    <w:rsid w:val="005D3D3D"/>
    <w:rsid w:val="005D6A02"/>
    <w:rsid w:val="005E4FC0"/>
    <w:rsid w:val="005E6C21"/>
    <w:rsid w:val="005E79FF"/>
    <w:rsid w:val="005F56EE"/>
    <w:rsid w:val="006076D6"/>
    <w:rsid w:val="00611629"/>
    <w:rsid w:val="00612854"/>
    <w:rsid w:val="00613F0A"/>
    <w:rsid w:val="00614563"/>
    <w:rsid w:val="00625F13"/>
    <w:rsid w:val="00626E8A"/>
    <w:rsid w:val="0065716F"/>
    <w:rsid w:val="00664A65"/>
    <w:rsid w:val="00664D1E"/>
    <w:rsid w:val="006654D2"/>
    <w:rsid w:val="00672BDC"/>
    <w:rsid w:val="00673A30"/>
    <w:rsid w:val="00684A82"/>
    <w:rsid w:val="00684FAF"/>
    <w:rsid w:val="006A2A13"/>
    <w:rsid w:val="006A6691"/>
    <w:rsid w:val="006A7A83"/>
    <w:rsid w:val="006B09DD"/>
    <w:rsid w:val="006B2530"/>
    <w:rsid w:val="006C0E4C"/>
    <w:rsid w:val="006C2C62"/>
    <w:rsid w:val="006D06AC"/>
    <w:rsid w:val="006D4F09"/>
    <w:rsid w:val="006E40D6"/>
    <w:rsid w:val="006E6C6D"/>
    <w:rsid w:val="006F22C5"/>
    <w:rsid w:val="006F2C2C"/>
    <w:rsid w:val="006F7CF9"/>
    <w:rsid w:val="00711389"/>
    <w:rsid w:val="00716520"/>
    <w:rsid w:val="007173CA"/>
    <w:rsid w:val="0072084B"/>
    <w:rsid w:val="007302AE"/>
    <w:rsid w:val="007445D1"/>
    <w:rsid w:val="007466C2"/>
    <w:rsid w:val="00746E32"/>
    <w:rsid w:val="00770BDA"/>
    <w:rsid w:val="00777227"/>
    <w:rsid w:val="00781137"/>
    <w:rsid w:val="007C1F82"/>
    <w:rsid w:val="007D1641"/>
    <w:rsid w:val="007E111C"/>
    <w:rsid w:val="007F6C79"/>
    <w:rsid w:val="00800C74"/>
    <w:rsid w:val="00800EC5"/>
    <w:rsid w:val="008011E0"/>
    <w:rsid w:val="00801915"/>
    <w:rsid w:val="00801D9D"/>
    <w:rsid w:val="008266C9"/>
    <w:rsid w:val="0083474D"/>
    <w:rsid w:val="00846117"/>
    <w:rsid w:val="0085522A"/>
    <w:rsid w:val="00860252"/>
    <w:rsid w:val="00862A65"/>
    <w:rsid w:val="00866D97"/>
    <w:rsid w:val="00871A92"/>
    <w:rsid w:val="00871B82"/>
    <w:rsid w:val="00874704"/>
    <w:rsid w:val="0088011E"/>
    <w:rsid w:val="00880D15"/>
    <w:rsid w:val="00891026"/>
    <w:rsid w:val="00896801"/>
    <w:rsid w:val="008A25DB"/>
    <w:rsid w:val="008A2D2A"/>
    <w:rsid w:val="008A4371"/>
    <w:rsid w:val="008B296A"/>
    <w:rsid w:val="008C2D77"/>
    <w:rsid w:val="008D5CB4"/>
    <w:rsid w:val="008D5D93"/>
    <w:rsid w:val="008D7976"/>
    <w:rsid w:val="008E205C"/>
    <w:rsid w:val="008E2420"/>
    <w:rsid w:val="0090008D"/>
    <w:rsid w:val="009044FD"/>
    <w:rsid w:val="00907B8E"/>
    <w:rsid w:val="0092553D"/>
    <w:rsid w:val="00930B80"/>
    <w:rsid w:val="00931BC0"/>
    <w:rsid w:val="0093718B"/>
    <w:rsid w:val="0096173C"/>
    <w:rsid w:val="00971255"/>
    <w:rsid w:val="00975790"/>
    <w:rsid w:val="00984C03"/>
    <w:rsid w:val="0098544A"/>
    <w:rsid w:val="00986104"/>
    <w:rsid w:val="009A59BC"/>
    <w:rsid w:val="009B331C"/>
    <w:rsid w:val="009B641C"/>
    <w:rsid w:val="009C13BB"/>
    <w:rsid w:val="009C4357"/>
    <w:rsid w:val="009C54EC"/>
    <w:rsid w:val="009D029A"/>
    <w:rsid w:val="009D358A"/>
    <w:rsid w:val="009E1335"/>
    <w:rsid w:val="009E28F9"/>
    <w:rsid w:val="00A01D42"/>
    <w:rsid w:val="00A02125"/>
    <w:rsid w:val="00A022EE"/>
    <w:rsid w:val="00A0457C"/>
    <w:rsid w:val="00A206E5"/>
    <w:rsid w:val="00A22FE1"/>
    <w:rsid w:val="00A35085"/>
    <w:rsid w:val="00A351C6"/>
    <w:rsid w:val="00A37FEA"/>
    <w:rsid w:val="00A435FC"/>
    <w:rsid w:val="00A53191"/>
    <w:rsid w:val="00A5756F"/>
    <w:rsid w:val="00A60164"/>
    <w:rsid w:val="00A667CA"/>
    <w:rsid w:val="00A82374"/>
    <w:rsid w:val="00A921BD"/>
    <w:rsid w:val="00AA130E"/>
    <w:rsid w:val="00AA2769"/>
    <w:rsid w:val="00AA4D7A"/>
    <w:rsid w:val="00AB7F7A"/>
    <w:rsid w:val="00AC0CD4"/>
    <w:rsid w:val="00AC1212"/>
    <w:rsid w:val="00AC1925"/>
    <w:rsid w:val="00AC2426"/>
    <w:rsid w:val="00AC389E"/>
    <w:rsid w:val="00AD6147"/>
    <w:rsid w:val="00AD6181"/>
    <w:rsid w:val="00AD6F92"/>
    <w:rsid w:val="00AE0432"/>
    <w:rsid w:val="00AE13C3"/>
    <w:rsid w:val="00AF0B06"/>
    <w:rsid w:val="00AF13C6"/>
    <w:rsid w:val="00AF7192"/>
    <w:rsid w:val="00B02E97"/>
    <w:rsid w:val="00B030A4"/>
    <w:rsid w:val="00B05DAE"/>
    <w:rsid w:val="00B14B7E"/>
    <w:rsid w:val="00B14FF5"/>
    <w:rsid w:val="00B1563A"/>
    <w:rsid w:val="00B32262"/>
    <w:rsid w:val="00B52B9F"/>
    <w:rsid w:val="00B53611"/>
    <w:rsid w:val="00B53D92"/>
    <w:rsid w:val="00B604C0"/>
    <w:rsid w:val="00B62CFE"/>
    <w:rsid w:val="00B66816"/>
    <w:rsid w:val="00B67FCE"/>
    <w:rsid w:val="00B75ACD"/>
    <w:rsid w:val="00B837D2"/>
    <w:rsid w:val="00B84B04"/>
    <w:rsid w:val="00B8702E"/>
    <w:rsid w:val="00B94B69"/>
    <w:rsid w:val="00B95001"/>
    <w:rsid w:val="00B95986"/>
    <w:rsid w:val="00BA07B5"/>
    <w:rsid w:val="00BA478F"/>
    <w:rsid w:val="00BA774E"/>
    <w:rsid w:val="00BB246B"/>
    <w:rsid w:val="00BC4679"/>
    <w:rsid w:val="00BD6445"/>
    <w:rsid w:val="00BE04C2"/>
    <w:rsid w:val="00BE0997"/>
    <w:rsid w:val="00BE6CDC"/>
    <w:rsid w:val="00BE7EF5"/>
    <w:rsid w:val="00BF0747"/>
    <w:rsid w:val="00BF2C2E"/>
    <w:rsid w:val="00BF5EDD"/>
    <w:rsid w:val="00C03BA9"/>
    <w:rsid w:val="00C0516C"/>
    <w:rsid w:val="00C13C79"/>
    <w:rsid w:val="00C14C74"/>
    <w:rsid w:val="00C20680"/>
    <w:rsid w:val="00C21CDF"/>
    <w:rsid w:val="00C2713B"/>
    <w:rsid w:val="00C3132A"/>
    <w:rsid w:val="00C373D7"/>
    <w:rsid w:val="00C51444"/>
    <w:rsid w:val="00C5329F"/>
    <w:rsid w:val="00C53380"/>
    <w:rsid w:val="00C559EB"/>
    <w:rsid w:val="00C56C62"/>
    <w:rsid w:val="00C80390"/>
    <w:rsid w:val="00C809CC"/>
    <w:rsid w:val="00C81A52"/>
    <w:rsid w:val="00C92272"/>
    <w:rsid w:val="00C94F8B"/>
    <w:rsid w:val="00CA25A2"/>
    <w:rsid w:val="00CA6919"/>
    <w:rsid w:val="00CA7261"/>
    <w:rsid w:val="00CB25EE"/>
    <w:rsid w:val="00CC07E5"/>
    <w:rsid w:val="00CD1F42"/>
    <w:rsid w:val="00CD26FC"/>
    <w:rsid w:val="00CD5201"/>
    <w:rsid w:val="00CF51E8"/>
    <w:rsid w:val="00CF653E"/>
    <w:rsid w:val="00CF7959"/>
    <w:rsid w:val="00D102AA"/>
    <w:rsid w:val="00D11A0F"/>
    <w:rsid w:val="00D11EA4"/>
    <w:rsid w:val="00D22116"/>
    <w:rsid w:val="00D2462D"/>
    <w:rsid w:val="00D321BF"/>
    <w:rsid w:val="00D354E4"/>
    <w:rsid w:val="00D36FA3"/>
    <w:rsid w:val="00D37B26"/>
    <w:rsid w:val="00D4192D"/>
    <w:rsid w:val="00D5418D"/>
    <w:rsid w:val="00D55FD2"/>
    <w:rsid w:val="00D64C69"/>
    <w:rsid w:val="00D6613C"/>
    <w:rsid w:val="00D66E52"/>
    <w:rsid w:val="00D677D1"/>
    <w:rsid w:val="00D67A2F"/>
    <w:rsid w:val="00D71FDA"/>
    <w:rsid w:val="00D877F1"/>
    <w:rsid w:val="00D92993"/>
    <w:rsid w:val="00D9309F"/>
    <w:rsid w:val="00D97AE1"/>
    <w:rsid w:val="00DA08FE"/>
    <w:rsid w:val="00DA0E9A"/>
    <w:rsid w:val="00DA2F66"/>
    <w:rsid w:val="00DA2FA3"/>
    <w:rsid w:val="00DB3E4C"/>
    <w:rsid w:val="00DC0E1F"/>
    <w:rsid w:val="00DC6627"/>
    <w:rsid w:val="00DD094A"/>
    <w:rsid w:val="00DD0F5B"/>
    <w:rsid w:val="00DD421E"/>
    <w:rsid w:val="00DD47E0"/>
    <w:rsid w:val="00DD5BC9"/>
    <w:rsid w:val="00DE6BCB"/>
    <w:rsid w:val="00DE7E84"/>
    <w:rsid w:val="00DF1B5D"/>
    <w:rsid w:val="00DF4445"/>
    <w:rsid w:val="00E02DA5"/>
    <w:rsid w:val="00E04136"/>
    <w:rsid w:val="00E05E05"/>
    <w:rsid w:val="00E10FB8"/>
    <w:rsid w:val="00E16213"/>
    <w:rsid w:val="00E25D8E"/>
    <w:rsid w:val="00E27170"/>
    <w:rsid w:val="00E4259C"/>
    <w:rsid w:val="00E42814"/>
    <w:rsid w:val="00E45877"/>
    <w:rsid w:val="00E46A36"/>
    <w:rsid w:val="00E64F28"/>
    <w:rsid w:val="00E82EC7"/>
    <w:rsid w:val="00E83523"/>
    <w:rsid w:val="00E92568"/>
    <w:rsid w:val="00E969C6"/>
    <w:rsid w:val="00E96EC7"/>
    <w:rsid w:val="00E97F55"/>
    <w:rsid w:val="00EB22A0"/>
    <w:rsid w:val="00EC0944"/>
    <w:rsid w:val="00EC5F7C"/>
    <w:rsid w:val="00ED0431"/>
    <w:rsid w:val="00ED122B"/>
    <w:rsid w:val="00EE445D"/>
    <w:rsid w:val="00EE5147"/>
    <w:rsid w:val="00F02A4B"/>
    <w:rsid w:val="00F05CB6"/>
    <w:rsid w:val="00F05E83"/>
    <w:rsid w:val="00F06894"/>
    <w:rsid w:val="00F105B2"/>
    <w:rsid w:val="00F14435"/>
    <w:rsid w:val="00F2029A"/>
    <w:rsid w:val="00F22BB9"/>
    <w:rsid w:val="00F248B1"/>
    <w:rsid w:val="00F27822"/>
    <w:rsid w:val="00F36E16"/>
    <w:rsid w:val="00F43014"/>
    <w:rsid w:val="00F60108"/>
    <w:rsid w:val="00F6232F"/>
    <w:rsid w:val="00F71FFE"/>
    <w:rsid w:val="00F820AD"/>
    <w:rsid w:val="00F86AF5"/>
    <w:rsid w:val="00FA4DD8"/>
    <w:rsid w:val="00FA65DA"/>
    <w:rsid w:val="00FB03D0"/>
    <w:rsid w:val="00FB5CE2"/>
    <w:rsid w:val="00FB6D44"/>
    <w:rsid w:val="00FC57DE"/>
    <w:rsid w:val="00FD7061"/>
    <w:rsid w:val="00FE2DDD"/>
    <w:rsid w:val="00FE7669"/>
    <w:rsid w:val="00FE7B63"/>
    <w:rsid w:val="20E4B13A"/>
    <w:rsid w:val="25B547D1"/>
    <w:rsid w:val="27E13A22"/>
    <w:rsid w:val="3060B326"/>
    <w:rsid w:val="33B98FB9"/>
    <w:rsid w:val="3B5CEAB4"/>
    <w:rsid w:val="3E32FF12"/>
    <w:rsid w:val="417A119F"/>
    <w:rsid w:val="4489E411"/>
    <w:rsid w:val="49DAA8DC"/>
    <w:rsid w:val="5103C0EB"/>
    <w:rsid w:val="67589DD0"/>
    <w:rsid w:val="6A2FF1D5"/>
    <w:rsid w:val="6B0CDF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02E3AB3C"/>
  <w15:chartTrackingRefBased/>
  <w15:docId w15:val="{BE85FC63-2810-4E43-B52E-B3FA6C7CB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suppressAutoHyphens/>
    </w:pPr>
    <w:rPr>
      <w:sz w:val="24"/>
      <w:szCs w:val="24"/>
      <w:lang w:val="es-ES" w:eastAsia="ar-SA"/>
    </w:rPr>
  </w:style>
  <w:style w:type="character" w:styleId="Fuentedeprrafopredeter" w:default="1">
    <w:name w:val="Default Paragraph Font"/>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3z1" w:customStyle="1">
    <w:name w:val="WW8Num3z1"/>
    <w:rPr>
      <w:lang w:val="es-ES"/>
    </w:rPr>
  </w:style>
  <w:style w:type="character" w:styleId="Fuentedeprrafopredeter1" w:customStyle="1">
    <w:name w:val="Fuente de párrafo predeter.1"/>
  </w:style>
  <w:style w:type="character" w:styleId="Textoennegrita">
    <w:name w:val="Strong"/>
    <w:qFormat/>
    <w:rPr>
      <w:b/>
      <w:bCs/>
    </w:rPr>
  </w:style>
  <w:style w:type="character" w:styleId="Refdecomentario1" w:customStyle="1">
    <w:name w:val="Ref. de comentario1"/>
    <w:rPr>
      <w:sz w:val="16"/>
      <w:szCs w:val="16"/>
    </w:rPr>
  </w:style>
  <w:style w:type="character" w:styleId="Car2" w:customStyle="1">
    <w:name w:val=" Car2"/>
    <w:rPr>
      <w:sz w:val="24"/>
      <w:szCs w:val="24"/>
      <w:lang w:val="es-ES"/>
    </w:rPr>
  </w:style>
  <w:style w:type="character" w:styleId="Car1" w:customStyle="1">
    <w:name w:val=" Car1"/>
    <w:rPr>
      <w:sz w:val="24"/>
      <w:szCs w:val="24"/>
      <w:lang w:val="es-ES"/>
    </w:rPr>
  </w:style>
  <w:style w:type="character" w:styleId="Car" w:customStyle="1">
    <w:name w:val=" Car"/>
    <w:rPr>
      <w:lang w:val="es-ES"/>
    </w:rPr>
  </w:style>
  <w:style w:type="character" w:styleId="Caracteresdenotafinal" w:customStyle="1">
    <w:name w:val="Caracteres de nota final"/>
    <w:rPr>
      <w:vertAlign w:val="superscript"/>
    </w:rPr>
  </w:style>
  <w:style w:type="character" w:styleId="Caracteresdenotaalpie" w:customStyle="1">
    <w:name w:val="Caracteres de nota al pie"/>
    <w:rPr>
      <w:vertAlign w:val="superscript"/>
    </w:rPr>
  </w:style>
  <w:style w:type="paragraph" w:styleId="Encabezado1" w:customStyle="1">
    <w:name w:val="Encabezado1"/>
    <w:basedOn w:val="Normal"/>
    <w:next w:val="Textoindependiente"/>
    <w:pPr>
      <w:keepNext/>
      <w:spacing w:before="240" w:after="120"/>
    </w:pPr>
    <w:rPr>
      <w:rFonts w:ascii="Arial" w:hAnsi="Arial" w:eastAsia="Microsoft YaHei" w:cs="Mangal"/>
      <w:sz w:val="28"/>
      <w:szCs w:val="28"/>
    </w:rPr>
  </w:style>
  <w:style w:type="paragraph" w:styleId="Textoindependiente">
    <w:name w:val="Body Text"/>
    <w:basedOn w:val="Normal"/>
    <w:pPr>
      <w:jc w:val="both"/>
    </w:pPr>
    <w:rPr>
      <w:bCs/>
      <w:lang w:val="es-MX"/>
    </w:rPr>
  </w:style>
  <w:style w:type="paragraph" w:styleId="Lista">
    <w:name w:val="List"/>
    <w:basedOn w:val="Textoindependiente"/>
    <w:rPr>
      <w:rFonts w:cs="Mangal"/>
    </w:rPr>
  </w:style>
  <w:style w:type="paragraph" w:styleId="Etiqueta" w:customStyle="1">
    <w:name w:val="Etiqueta"/>
    <w:basedOn w:val="Normal"/>
    <w:pPr>
      <w:suppressLineNumbers/>
      <w:spacing w:before="120" w:after="120"/>
    </w:pPr>
    <w:rPr>
      <w:rFonts w:cs="Mangal"/>
      <w:i/>
      <w:iCs/>
    </w:rPr>
  </w:style>
  <w:style w:type="paragraph" w:styleId="ndice" w:customStyle="1">
    <w:name w:val="Índice"/>
    <w:basedOn w:val="Normal"/>
    <w:pPr>
      <w:suppressLineNumbers/>
    </w:pPr>
    <w:rPr>
      <w:rFonts w:cs="Mangal"/>
    </w:rPr>
  </w:style>
  <w:style w:type="paragraph" w:styleId="Puesto">
    <w:name w:val="Puesto"/>
    <w:basedOn w:val="Normal"/>
    <w:next w:val="Subttulo"/>
    <w:qFormat/>
    <w:pPr>
      <w:jc w:val="center"/>
    </w:pPr>
    <w:rPr>
      <w:b/>
      <w:bCs/>
      <w:lang w:val="es-MX"/>
    </w:rPr>
  </w:style>
  <w:style w:type="paragraph" w:styleId="Subttulo">
    <w:name w:val="Subtitle"/>
    <w:basedOn w:val="Encabezado1"/>
    <w:next w:val="Textoindependiente"/>
    <w:qFormat/>
    <w:pPr>
      <w:jc w:val="center"/>
    </w:pPr>
    <w:rPr>
      <w:i/>
      <w:iCs/>
    </w:rPr>
  </w:style>
  <w:style w:type="paragraph" w:styleId="Textodeglobo">
    <w:name w:val="Balloon Text"/>
    <w:basedOn w:val="Normal"/>
    <w:rPr>
      <w:rFonts w:ascii="Tahoma" w:hAnsi="Tahoma" w:cs="Tahoma"/>
      <w:sz w:val="16"/>
      <w:szCs w:val="16"/>
    </w:rPr>
  </w:style>
  <w:style w:type="paragraph" w:styleId="Textocomentario1" w:customStyle="1">
    <w:name w:val="Texto comentario1"/>
    <w:basedOn w:val="Normal"/>
    <w:rPr>
      <w:sz w:val="20"/>
      <w:szCs w:val="20"/>
    </w:rPr>
  </w:style>
  <w:style w:type="paragraph" w:styleId="Asuntodelcomentario">
    <w:name w:val="annotation subject"/>
    <w:basedOn w:val="Textocomentario1"/>
    <w:next w:val="Textocomentario1"/>
    <w:rPr>
      <w:b/>
      <w:bCs/>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Textonotaalfinal">
    <w:name w:val="endnote text"/>
    <w:basedOn w:val="Normal"/>
    <w:rPr>
      <w:sz w:val="20"/>
      <w:szCs w:val="20"/>
    </w:rPr>
  </w:style>
  <w:style w:type="paragraph" w:styleId="Textonotapie">
    <w:name w:val="footnote text"/>
    <w:basedOn w:val="Normal"/>
    <w:link w:val="TextonotapieCar"/>
    <w:uiPriority w:val="99"/>
  </w:style>
  <w:style w:type="paragraph" w:styleId="NormalWeb">
    <w:name w:val="Normal (Web)"/>
    <w:basedOn w:val="Normal"/>
    <w:pPr>
      <w:spacing w:before="280" w:after="280"/>
      <w:jc w:val="both"/>
    </w:pPr>
    <w:rPr>
      <w:rFonts w:ascii="Arial" w:hAnsi="Arial" w:cs="Arial"/>
      <w:color w:val="000000"/>
      <w:sz w:val="20"/>
      <w:szCs w:val="20"/>
    </w:rPr>
  </w:style>
  <w:style w:type="paragraph" w:styleId="Mapadeldocumento">
    <w:name w:val="Document Map"/>
    <w:basedOn w:val="Normal"/>
    <w:semiHidden/>
    <w:rsid w:val="00400C84"/>
    <w:pPr>
      <w:shd w:val="clear" w:color="auto" w:fill="000080"/>
    </w:pPr>
    <w:rPr>
      <w:rFonts w:ascii="Tahoma" w:hAnsi="Tahoma" w:cs="Tahoma"/>
      <w:sz w:val="20"/>
      <w:szCs w:val="20"/>
    </w:rPr>
  </w:style>
  <w:style w:type="paragraph" w:styleId="Revisin">
    <w:name w:val="Revision"/>
    <w:hidden/>
    <w:uiPriority w:val="99"/>
    <w:semiHidden/>
    <w:rsid w:val="00344094"/>
    <w:rPr>
      <w:sz w:val="24"/>
      <w:szCs w:val="24"/>
      <w:lang w:val="es-ES" w:eastAsia="ar-SA"/>
    </w:rPr>
  </w:style>
  <w:style w:type="character" w:styleId="TextonotapieCar" w:customStyle="1">
    <w:name w:val="Texto nota pie Car"/>
    <w:link w:val="Textonotapie"/>
    <w:uiPriority w:val="99"/>
    <w:rsid w:val="00DF1B5D"/>
    <w:rPr>
      <w:sz w:val="24"/>
      <w:szCs w:val="24"/>
      <w:lang w:val="es-ES" w:eastAsia="ar-SA"/>
    </w:rPr>
  </w:style>
  <w:style w:type="character" w:styleId="Refdenotaalpie">
    <w:name w:val="footnote reference"/>
    <w:uiPriority w:val="99"/>
    <w:unhideWhenUsed/>
    <w:rsid w:val="00DF1B5D"/>
    <w:rPr>
      <w:vertAlign w:val="superscript"/>
    </w:rPr>
  </w:style>
  <w:style w:type="paragraph" w:styleId="Default" w:customStyle="1">
    <w:name w:val="Default"/>
    <w:rsid w:val="00E4281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457087">
      <w:bodyDiv w:val="1"/>
      <w:marLeft w:val="0"/>
      <w:marRight w:val="0"/>
      <w:marTop w:val="0"/>
      <w:marBottom w:val="0"/>
      <w:divBdr>
        <w:top w:val="none" w:sz="0" w:space="0" w:color="auto"/>
        <w:left w:val="none" w:sz="0" w:space="0" w:color="auto"/>
        <w:bottom w:val="none" w:sz="0" w:space="0" w:color="auto"/>
        <w:right w:val="none" w:sz="0" w:space="0" w:color="auto"/>
      </w:divBdr>
      <w:divsChild>
        <w:div w:id="953370401">
          <w:marLeft w:val="0"/>
          <w:marRight w:val="0"/>
          <w:marTop w:val="0"/>
          <w:marBottom w:val="0"/>
          <w:divBdr>
            <w:top w:val="none" w:sz="0" w:space="0" w:color="auto"/>
            <w:left w:val="none" w:sz="0" w:space="0" w:color="auto"/>
            <w:bottom w:val="none" w:sz="0" w:space="0" w:color="auto"/>
            <w:right w:val="none" w:sz="0" w:space="0" w:color="auto"/>
          </w:divBdr>
        </w:div>
      </w:divsChild>
    </w:div>
    <w:div w:id="1484815891">
      <w:bodyDiv w:val="1"/>
      <w:marLeft w:val="0"/>
      <w:marRight w:val="0"/>
      <w:marTop w:val="0"/>
      <w:marBottom w:val="0"/>
      <w:divBdr>
        <w:top w:val="none" w:sz="0" w:space="0" w:color="auto"/>
        <w:left w:val="none" w:sz="0" w:space="0" w:color="auto"/>
        <w:bottom w:val="none" w:sz="0" w:space="0" w:color="auto"/>
        <w:right w:val="none" w:sz="0" w:space="0" w:color="auto"/>
      </w:divBdr>
      <w:divsChild>
        <w:div w:id="232589068">
          <w:marLeft w:val="0"/>
          <w:marRight w:val="0"/>
          <w:marTop w:val="0"/>
          <w:marBottom w:val="0"/>
          <w:divBdr>
            <w:top w:val="none" w:sz="0" w:space="0" w:color="auto"/>
            <w:left w:val="none" w:sz="0" w:space="0" w:color="auto"/>
            <w:bottom w:val="none" w:sz="0" w:space="0" w:color="auto"/>
            <w:right w:val="none" w:sz="0" w:space="0" w:color="auto"/>
          </w:divBdr>
        </w:div>
        <w:div w:id="565335333">
          <w:marLeft w:val="0"/>
          <w:marRight w:val="0"/>
          <w:marTop w:val="0"/>
          <w:marBottom w:val="0"/>
          <w:divBdr>
            <w:top w:val="none" w:sz="0" w:space="0" w:color="auto"/>
            <w:left w:val="none" w:sz="0" w:space="0" w:color="auto"/>
            <w:bottom w:val="none" w:sz="0" w:space="0" w:color="auto"/>
            <w:right w:val="none" w:sz="0" w:space="0" w:color="auto"/>
          </w:divBdr>
        </w:div>
        <w:div w:id="697193870">
          <w:marLeft w:val="0"/>
          <w:marRight w:val="0"/>
          <w:marTop w:val="0"/>
          <w:marBottom w:val="0"/>
          <w:divBdr>
            <w:top w:val="none" w:sz="0" w:space="0" w:color="auto"/>
            <w:left w:val="none" w:sz="0" w:space="0" w:color="auto"/>
            <w:bottom w:val="none" w:sz="0" w:space="0" w:color="auto"/>
            <w:right w:val="none" w:sz="0" w:space="0" w:color="auto"/>
          </w:divBdr>
        </w:div>
        <w:div w:id="827478406">
          <w:marLeft w:val="0"/>
          <w:marRight w:val="0"/>
          <w:marTop w:val="0"/>
          <w:marBottom w:val="0"/>
          <w:divBdr>
            <w:top w:val="none" w:sz="0" w:space="0" w:color="auto"/>
            <w:left w:val="none" w:sz="0" w:space="0" w:color="auto"/>
            <w:bottom w:val="none" w:sz="0" w:space="0" w:color="auto"/>
            <w:right w:val="none" w:sz="0" w:space="0" w:color="auto"/>
          </w:divBdr>
        </w:div>
        <w:div w:id="966551635">
          <w:marLeft w:val="0"/>
          <w:marRight w:val="0"/>
          <w:marTop w:val="0"/>
          <w:marBottom w:val="0"/>
          <w:divBdr>
            <w:top w:val="none" w:sz="0" w:space="0" w:color="auto"/>
            <w:left w:val="none" w:sz="0" w:space="0" w:color="auto"/>
            <w:bottom w:val="none" w:sz="0" w:space="0" w:color="auto"/>
            <w:right w:val="none" w:sz="0" w:space="0" w:color="auto"/>
          </w:divBdr>
        </w:div>
        <w:div w:id="1186093326">
          <w:marLeft w:val="0"/>
          <w:marRight w:val="0"/>
          <w:marTop w:val="0"/>
          <w:marBottom w:val="0"/>
          <w:divBdr>
            <w:top w:val="none" w:sz="0" w:space="0" w:color="auto"/>
            <w:left w:val="none" w:sz="0" w:space="0" w:color="auto"/>
            <w:bottom w:val="none" w:sz="0" w:space="0" w:color="auto"/>
            <w:right w:val="none" w:sz="0" w:space="0" w:color="auto"/>
          </w:divBdr>
        </w:div>
        <w:div w:id="1564297766">
          <w:marLeft w:val="0"/>
          <w:marRight w:val="0"/>
          <w:marTop w:val="0"/>
          <w:marBottom w:val="0"/>
          <w:divBdr>
            <w:top w:val="none" w:sz="0" w:space="0" w:color="auto"/>
            <w:left w:val="none" w:sz="0" w:space="0" w:color="auto"/>
            <w:bottom w:val="none" w:sz="0" w:space="0" w:color="auto"/>
            <w:right w:val="none" w:sz="0" w:space="0" w:color="auto"/>
          </w:divBdr>
        </w:div>
        <w:div w:id="189222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xml"/><Relationship Id="rId3"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5850FA-A9BC-4234-9417-4638164BAD56}"/>
</file>

<file path=customXml/itemProps2.xml><?xml version="1.0" encoding="utf-8"?>
<ds:datastoreItem xmlns:ds="http://schemas.openxmlformats.org/officeDocument/2006/customXml" ds:itemID="{EC30037E-F76D-43A5-B211-343AE945F87D}"/>
</file>

<file path=customXml/itemProps3.xml><?xml version="1.0" encoding="utf-8"?>
<ds:datastoreItem xmlns:ds="http://schemas.openxmlformats.org/officeDocument/2006/customXml" ds:itemID="{CA6D69D6-C6C0-43D7-9522-4A1232C6B3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CASO  1234 REVISIÓN</dc:title>
  <dc:subject/>
  <dc:creator>MARCO ANTONIO ORTEGA PIANA</dc:creator>
  <cp:keywords/>
  <cp:lastModifiedBy>dserna@apeseg.org.pe</cp:lastModifiedBy>
  <cp:revision>3</cp:revision>
  <cp:lastPrinted>2012-05-07T16:40:00Z</cp:lastPrinted>
  <dcterms:created xsi:type="dcterms:W3CDTF">2022-12-01T14:19:00Z</dcterms:created>
  <dcterms:modified xsi:type="dcterms:W3CDTF">2025-12-02T16:58:20Z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