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EF5AEAB" w14:textId="4EE9F096" w:rsidR="00F15FBA" w:rsidRPr="00784E80" w:rsidRDefault="00F15FBA" w:rsidP="00026017">
      <w:pPr>
        <w:pStyle w:val="Title"/>
        <w:outlineLvl w:val="0"/>
        <w:rPr>
          <w:lang w:val="es-PE"/>
        </w:rPr>
      </w:pPr>
      <w:r w:rsidRPr="00784E80">
        <w:rPr>
          <w:lang w:val="es-PE"/>
        </w:rPr>
        <w:t>RESOLUCIÓN N</w:t>
      </w:r>
      <w:r w:rsidR="001631D6" w:rsidRPr="00784E80">
        <w:rPr>
          <w:lang w:val="es-PE"/>
        </w:rPr>
        <w:t xml:space="preserve">° </w:t>
      </w:r>
      <w:r w:rsidR="00465FB3" w:rsidRPr="00784E80">
        <w:rPr>
          <w:lang w:val="es-PE"/>
        </w:rPr>
        <w:t>00</w:t>
      </w:r>
      <w:r w:rsidR="00784E80" w:rsidRPr="00784E80">
        <w:rPr>
          <w:lang w:val="es-PE"/>
        </w:rPr>
        <w:t>4</w:t>
      </w:r>
      <w:r w:rsidR="001631D6" w:rsidRPr="00784E80">
        <w:rPr>
          <w:lang w:val="es-PE"/>
        </w:rPr>
        <w:t>/2</w:t>
      </w:r>
      <w:r w:rsidR="00465FB3" w:rsidRPr="00784E80">
        <w:rPr>
          <w:lang w:val="es-PE"/>
        </w:rPr>
        <w:t>2</w:t>
      </w:r>
    </w:p>
    <w:p w14:paraId="70F4062B" w14:textId="77777777" w:rsidR="00784E80" w:rsidRPr="00784E80" w:rsidRDefault="00784E80" w:rsidP="00465FB3">
      <w:pPr>
        <w:rPr>
          <w:b/>
        </w:rPr>
      </w:pPr>
    </w:p>
    <w:p w14:paraId="4E6054C3" w14:textId="77777777" w:rsidR="00784E80" w:rsidRPr="00784E80" w:rsidRDefault="00784E80" w:rsidP="00784E80">
      <w:pPr>
        <w:jc w:val="both"/>
        <w:outlineLvl w:val="0"/>
        <w:rPr>
          <w:b/>
          <w:bCs/>
          <w:lang w:val="es-PE"/>
        </w:rPr>
      </w:pPr>
      <w:r w:rsidRPr="00784E80">
        <w:rPr>
          <w:b/>
          <w:bCs/>
          <w:lang w:val="es-PE"/>
        </w:rPr>
        <w:t>VISTOS:</w:t>
      </w:r>
    </w:p>
    <w:p w14:paraId="60A09840" w14:textId="77777777" w:rsidR="00784E80" w:rsidRPr="00784E80" w:rsidRDefault="00784E80" w:rsidP="00784E80">
      <w:pPr>
        <w:jc w:val="both"/>
        <w:rPr>
          <w:b/>
          <w:bCs/>
          <w:lang w:val="es-PE"/>
        </w:rPr>
      </w:pPr>
    </w:p>
    <w:p w14:paraId="0BFDC02C" w14:textId="0A7B9DFF" w:rsidR="00784E80" w:rsidRPr="00784E80" w:rsidRDefault="00784E80" w:rsidP="00784E80">
      <w:pPr>
        <w:pStyle w:val="Default"/>
        <w:jc w:val="both"/>
        <w:rPr>
          <w:rFonts w:ascii="Times New Roman" w:eastAsia="Times New Roman" w:hAnsi="Times New Roman" w:cs="Times New Roman"/>
          <w:b/>
          <w:bCs/>
          <w:lang w:eastAsia="es-PE"/>
        </w:rPr>
      </w:pPr>
      <w:r w:rsidRPr="00784E80">
        <w:rPr>
          <w:rFonts w:ascii="Times New Roman" w:hAnsi="Times New Roman" w:cs="Times New Roman"/>
          <w:lang w:eastAsia="es-ES"/>
        </w:rPr>
        <w:t xml:space="preserve">Que, </w:t>
      </w:r>
      <w:r w:rsidRPr="00784E80">
        <w:rPr>
          <w:rFonts w:ascii="Times New Roman" w:hAnsi="Times New Roman" w:cs="Times New Roman"/>
          <w:lang w:val="es-ES" w:eastAsia="es-ES"/>
        </w:rPr>
        <w:t xml:space="preserve">don </w:t>
      </w:r>
      <w:r w:rsidR="0040198F">
        <w:rPr>
          <w:rFonts w:ascii="Times New Roman" w:hAnsi="Times New Roman" w:cs="Times New Roman"/>
          <w:b/>
          <w:bCs/>
          <w:lang w:val="es-MX"/>
        </w:rPr>
        <w:t>……………………...</w:t>
      </w:r>
      <w:r w:rsidRPr="00784E80">
        <w:rPr>
          <w:rFonts w:ascii="Times New Roman" w:hAnsi="Times New Roman" w:cs="Times New Roman"/>
          <w:b/>
          <w:bCs/>
          <w:lang w:val="es-MX"/>
        </w:rPr>
        <w:t xml:space="preserve"> </w:t>
      </w:r>
      <w:r w:rsidRPr="00784E80">
        <w:rPr>
          <w:rFonts w:ascii="Times New Roman" w:hAnsi="Times New Roman" w:cs="Times New Roman"/>
          <w:lang w:eastAsia="es-ES"/>
        </w:rPr>
        <w:t xml:space="preserve">interpone reclamación ante esta Defensoría del Asegurado (DEFASEG) solicitando que </w:t>
      </w:r>
      <w:bookmarkStart w:id="0" w:name="OLE_LINK2"/>
      <w:r w:rsidR="0040198F">
        <w:rPr>
          <w:rFonts w:ascii="Times New Roman" w:hAnsi="Times New Roman" w:cs="Times New Roman"/>
          <w:b/>
          <w:bCs/>
          <w:lang w:val="es-MX"/>
        </w:rPr>
        <w:t>……………………...</w:t>
      </w:r>
      <w:r w:rsidR="0040198F" w:rsidRPr="00784E80">
        <w:rPr>
          <w:rFonts w:ascii="Times New Roman" w:hAnsi="Times New Roman" w:cs="Times New Roman"/>
          <w:b/>
          <w:bCs/>
          <w:lang w:val="es-MX"/>
        </w:rPr>
        <w:t xml:space="preserve"> </w:t>
      </w:r>
      <w:r w:rsidRPr="00784E80">
        <w:rPr>
          <w:rFonts w:ascii="Times New Roman" w:hAnsi="Times New Roman" w:cs="Times New Roman"/>
          <w:lang w:eastAsia="es-ES"/>
        </w:rPr>
        <w:t xml:space="preserve">(en lo sucesivo, </w:t>
      </w:r>
      <w:r w:rsidR="0040198F">
        <w:rPr>
          <w:rFonts w:ascii="Times New Roman" w:hAnsi="Times New Roman" w:cs="Times New Roman"/>
          <w:b/>
          <w:bCs/>
          <w:lang w:val="es-MX"/>
        </w:rPr>
        <w:t>……………………...</w:t>
      </w:r>
      <w:r w:rsidRPr="00784E80">
        <w:rPr>
          <w:rFonts w:ascii="Times New Roman" w:hAnsi="Times New Roman" w:cs="Times New Roman"/>
          <w:lang w:eastAsia="es-ES"/>
        </w:rPr>
        <w:t xml:space="preserve">) otorgue cobertura al siniestro ocurrido el 12 de agosto de 2021, conforme al </w:t>
      </w:r>
      <w:r w:rsidRPr="00784E80">
        <w:rPr>
          <w:rFonts w:ascii="Times New Roman" w:hAnsi="Times New Roman" w:cs="Times New Roman"/>
          <w:b/>
          <w:lang w:val="es-MX"/>
        </w:rPr>
        <w:t xml:space="preserve">SEGURO DE PROTECCIÓN DE TARJETA - PÓLIZA </w:t>
      </w:r>
      <w:r w:rsidR="0040198F">
        <w:rPr>
          <w:rFonts w:ascii="Times New Roman" w:hAnsi="Times New Roman" w:cs="Times New Roman"/>
          <w:b/>
          <w:bCs/>
          <w:lang w:val="es-MX"/>
        </w:rPr>
        <w:t>……………………...</w:t>
      </w:r>
      <w:r w:rsidRPr="00784E80">
        <w:rPr>
          <w:rFonts w:ascii="Times New Roman" w:hAnsi="Times New Roman" w:cs="Times New Roman"/>
        </w:rPr>
        <w:t>,</w:t>
      </w:r>
      <w:r w:rsidRPr="00784E80">
        <w:rPr>
          <w:rFonts w:ascii="Times New Roman" w:hAnsi="Times New Roman" w:cs="Times New Roman"/>
          <w:lang w:eastAsia="es-ES"/>
        </w:rPr>
        <w:t xml:space="preserve"> al cual se encuentra afiliado;</w:t>
      </w:r>
    </w:p>
    <w:bookmarkEnd w:id="0"/>
    <w:p w14:paraId="20C20132" w14:textId="77777777" w:rsidR="00784E80" w:rsidRPr="00784E80" w:rsidRDefault="00784E80" w:rsidP="00784E80">
      <w:pPr>
        <w:tabs>
          <w:tab w:val="left" w:pos="0"/>
          <w:tab w:val="left" w:pos="708"/>
          <w:tab w:val="left" w:pos="1416"/>
          <w:tab w:val="left" w:pos="2160"/>
          <w:tab w:val="left" w:pos="3540"/>
          <w:tab w:val="left" w:pos="4248"/>
          <w:tab w:val="left" w:pos="4956"/>
          <w:tab w:val="left" w:pos="5664"/>
          <w:tab w:val="left" w:pos="6372"/>
          <w:tab w:val="left" w:pos="7125"/>
        </w:tabs>
        <w:jc w:val="both"/>
        <w:rPr>
          <w:lang w:val="es-PE"/>
        </w:rPr>
      </w:pPr>
    </w:p>
    <w:p w14:paraId="4DB4B142" w14:textId="77777777" w:rsidR="00784E80" w:rsidRPr="00784E80" w:rsidRDefault="00784E80" w:rsidP="00784E80">
      <w:pPr>
        <w:jc w:val="both"/>
        <w:rPr>
          <w:rFonts w:eastAsia="Arial Unicode MS"/>
          <w:lang w:val="es-PE"/>
        </w:rPr>
      </w:pPr>
      <w:r w:rsidRPr="00784E80">
        <w:rPr>
          <w:rFonts w:eastAsia="Arial Unicode MS"/>
          <w:lang w:val="es-PE"/>
        </w:rPr>
        <w:t>Que, la señalada reclamación cumple con los requisitos de materia, cuantía y oportunidad establecidos en el Reglamento de la DEFASEG (</w:t>
      </w:r>
      <w:hyperlink r:id="rId8" w:history="1">
        <w:r w:rsidRPr="00784E80">
          <w:rPr>
            <w:rStyle w:val="Hyperlink"/>
            <w:rFonts w:eastAsia="Arial Unicode MS"/>
            <w:lang w:val="es-PE"/>
          </w:rPr>
          <w:t>http://www.defaseg.com.pe/reglamento.html</w:t>
        </w:r>
      </w:hyperlink>
      <w:r w:rsidRPr="00784E80">
        <w:rPr>
          <w:rFonts w:eastAsia="Arial Unicode MS"/>
          <w:lang w:val="es-PE"/>
        </w:rPr>
        <w:t>);</w:t>
      </w:r>
    </w:p>
    <w:p w14:paraId="2800FF81" w14:textId="77777777" w:rsidR="00784E80" w:rsidRPr="00784E80" w:rsidRDefault="00784E80" w:rsidP="00784E80">
      <w:pPr>
        <w:tabs>
          <w:tab w:val="left" w:pos="2160"/>
        </w:tabs>
        <w:jc w:val="both"/>
        <w:rPr>
          <w:lang w:val="es-PE"/>
        </w:rPr>
      </w:pPr>
    </w:p>
    <w:p w14:paraId="4956B920" w14:textId="77777777" w:rsidR="00784E80" w:rsidRPr="00784E80" w:rsidRDefault="00784E80" w:rsidP="00784E80">
      <w:pPr>
        <w:tabs>
          <w:tab w:val="num" w:pos="720"/>
        </w:tabs>
        <w:jc w:val="both"/>
        <w:rPr>
          <w:lang w:val="es-PE"/>
        </w:rPr>
      </w:pPr>
      <w:r w:rsidRPr="00784E80">
        <w:rPr>
          <w:lang w:val="es-PE"/>
        </w:rPr>
        <w:t>Que, conforme al Reglamento de la DEFASEG, atendiendo a la cuantía de la reclamación, que no supera US$ 3,000 (o su equivalente en moneda nacional), esta última puede ser resuelta por un Órgano Resolutivo Unipersonal, el mismo que, en el presente caso, está a cargo del vocal que suscribe;</w:t>
      </w:r>
    </w:p>
    <w:p w14:paraId="1F08E27C" w14:textId="77777777" w:rsidR="00784E80" w:rsidRPr="00784E80" w:rsidRDefault="00784E80" w:rsidP="00784E80">
      <w:pPr>
        <w:tabs>
          <w:tab w:val="num" w:pos="720"/>
        </w:tabs>
        <w:jc w:val="both"/>
        <w:rPr>
          <w:lang w:val="es-PE"/>
        </w:rPr>
      </w:pPr>
    </w:p>
    <w:p w14:paraId="32E56B11" w14:textId="2E123C63" w:rsidR="00784E80" w:rsidRPr="00784E80" w:rsidRDefault="00784E80" w:rsidP="00784E80">
      <w:pPr>
        <w:tabs>
          <w:tab w:val="num" w:pos="720"/>
        </w:tabs>
        <w:jc w:val="both"/>
        <w:rPr>
          <w:lang w:val="es-PE"/>
        </w:rPr>
      </w:pPr>
      <w:r w:rsidRPr="00784E80">
        <w:rPr>
          <w:lang w:val="es-PE"/>
        </w:rPr>
        <w:t xml:space="preserve">Que, habiéndosele corrido traslado, </w:t>
      </w:r>
      <w:r w:rsidR="0040198F">
        <w:rPr>
          <w:b/>
          <w:bCs/>
          <w:lang w:val="es-MX"/>
        </w:rPr>
        <w:t>……………………...</w:t>
      </w:r>
      <w:r w:rsidR="0040198F" w:rsidRPr="00784E80">
        <w:rPr>
          <w:b/>
          <w:bCs/>
          <w:lang w:val="es-MX"/>
        </w:rPr>
        <w:t xml:space="preserve"> </w:t>
      </w:r>
      <w:r w:rsidRPr="00784E80">
        <w:rPr>
          <w:lang w:val="es-PE"/>
        </w:rPr>
        <w:t xml:space="preserve"> </w:t>
      </w:r>
      <w:r w:rsidRPr="00784E80">
        <w:t>presentó sus descargos y la documentación correspondiente de manera extemporánea</w:t>
      </w:r>
      <w:r w:rsidRPr="00784E80">
        <w:rPr>
          <w:lang w:val="es-PE"/>
        </w:rPr>
        <w:t>;</w:t>
      </w:r>
    </w:p>
    <w:p w14:paraId="2649319C" w14:textId="77777777" w:rsidR="00784E80" w:rsidRPr="00784E80" w:rsidRDefault="00784E80" w:rsidP="00784E80">
      <w:pPr>
        <w:tabs>
          <w:tab w:val="num" w:pos="720"/>
        </w:tabs>
        <w:jc w:val="both"/>
        <w:rPr>
          <w:lang w:val="es-PE"/>
        </w:rPr>
      </w:pPr>
    </w:p>
    <w:p w14:paraId="6100FD9E" w14:textId="77777777" w:rsidR="00784E80" w:rsidRPr="00784E80" w:rsidRDefault="00784E80" w:rsidP="00784E80">
      <w:pPr>
        <w:tabs>
          <w:tab w:val="num" w:pos="720"/>
        </w:tabs>
        <w:jc w:val="both"/>
        <w:rPr>
          <w:lang w:val="es-PE"/>
        </w:rPr>
      </w:pPr>
      <w:r w:rsidRPr="00784E80">
        <w:rPr>
          <w:lang w:val="es-PE"/>
        </w:rPr>
        <w:t xml:space="preserve">Que, </w:t>
      </w:r>
      <w:r w:rsidRPr="00784E80">
        <w:rPr>
          <w:lang w:val="es-419"/>
        </w:rPr>
        <w:t xml:space="preserve">el 6 de diciembre de 2021 </w:t>
      </w:r>
      <w:r w:rsidRPr="00784E80">
        <w:rPr>
          <w:lang w:val="es-PE"/>
        </w:rPr>
        <w:t>se realizó la correspondiente audiencia de vista en entorno virtual, con la participación de las partes, en la que estas sustentaron sus posiciones, absolviendo las diversas preguntas que les fueron formuladas, conforme consta de la correspondiente acta;</w:t>
      </w:r>
    </w:p>
    <w:p w14:paraId="7E0E8F54" w14:textId="77777777" w:rsidR="00784E80" w:rsidRPr="00784E80" w:rsidRDefault="00784E80" w:rsidP="00784E80">
      <w:pPr>
        <w:tabs>
          <w:tab w:val="num" w:pos="720"/>
        </w:tabs>
        <w:jc w:val="both"/>
        <w:rPr>
          <w:lang w:val="es-419"/>
        </w:rPr>
      </w:pPr>
    </w:p>
    <w:p w14:paraId="0F9D902A" w14:textId="2C61E07D" w:rsidR="00784E80" w:rsidRDefault="00784E80" w:rsidP="00784E80">
      <w:pPr>
        <w:autoSpaceDE w:val="0"/>
        <w:autoSpaceDN w:val="0"/>
        <w:adjustRightInd w:val="0"/>
        <w:jc w:val="both"/>
        <w:rPr>
          <w:lang w:val="es-PE" w:eastAsia="es-PE"/>
        </w:rPr>
      </w:pPr>
      <w:r w:rsidRPr="00784E80">
        <w:rPr>
          <w:lang w:val="es-PE"/>
        </w:rPr>
        <w:t xml:space="preserve">Que, la reclamación interpuesta se sustenta principalmente en lo siguiente: (1) </w:t>
      </w:r>
      <w:r w:rsidRPr="00784E80">
        <w:rPr>
          <w:color w:val="000000"/>
          <w:lang w:val="es-PE" w:eastAsia="es-PE"/>
        </w:rPr>
        <w:t xml:space="preserve">sufrió el robo de sus tarjetas de débito, con las cuales se hicieron </w:t>
      </w:r>
      <w:r w:rsidRPr="00784E80">
        <w:rPr>
          <w:lang w:val="es-PE" w:eastAsia="es-PE"/>
        </w:rPr>
        <w:t>múltiples retiros de cajeros por un monto de S/2,973.36; (2) a cada retiro efectuado producto del robo se le aplica un cobro de comisión de seguro de cajero, que tampoco es aplicable en este caso pues dicho seguro tiene una validez de 2 horas, es decir que, si a una persona le roban mientras duerme o pierde sus tarjetas y se da cuenta al día siguiente no puede cobrar el seguro pues se daría cuenta (quizás) por la mañana que le robaron las tarjetas, como en este caso; (3) los cajeros cuentan con cámaras con lo cual la aseguradora podría indagar quien es la persona responsable de los retiros y ahí hay una posibilidad de identificarla, para después detener a la persona responsable; (4) se le ha informado a la Policía Nacional de una posible locación de la vivienda de la ladrona, pues con el celular (también robado) se identificó su última ubicación hasta antes de que lo apagará.</w:t>
      </w:r>
    </w:p>
    <w:p w14:paraId="41EDF70C" w14:textId="77777777" w:rsidR="00784E80" w:rsidRPr="00784E80" w:rsidRDefault="00784E80" w:rsidP="00784E80">
      <w:pPr>
        <w:autoSpaceDE w:val="0"/>
        <w:autoSpaceDN w:val="0"/>
        <w:adjustRightInd w:val="0"/>
        <w:jc w:val="both"/>
        <w:rPr>
          <w:rFonts w:eastAsiaTheme="minorHAnsi"/>
          <w:lang w:val="es-PE" w:eastAsia="es-PE"/>
        </w:rPr>
      </w:pPr>
    </w:p>
    <w:p w14:paraId="2AB05E78" w14:textId="750E13CF" w:rsidR="00784E80" w:rsidRDefault="00784E80" w:rsidP="00784E80">
      <w:pPr>
        <w:autoSpaceDE w:val="0"/>
        <w:autoSpaceDN w:val="0"/>
        <w:adjustRightInd w:val="0"/>
        <w:jc w:val="both"/>
        <w:rPr>
          <w:color w:val="000000"/>
          <w:lang w:val="es-PE"/>
        </w:rPr>
      </w:pPr>
      <w:r w:rsidRPr="00784E80">
        <w:rPr>
          <w:lang w:val="es-PE"/>
        </w:rPr>
        <w:t xml:space="preserve">Que, </w:t>
      </w:r>
      <w:r w:rsidR="0040198F">
        <w:rPr>
          <w:b/>
          <w:bCs/>
          <w:lang w:val="es-MX"/>
        </w:rPr>
        <w:t>……………………...</w:t>
      </w:r>
      <w:r w:rsidR="0040198F" w:rsidRPr="00784E80">
        <w:rPr>
          <w:b/>
          <w:bCs/>
          <w:lang w:val="es-MX"/>
        </w:rPr>
        <w:t xml:space="preserve"> </w:t>
      </w:r>
      <w:r w:rsidRPr="00784E80">
        <w:rPr>
          <w:lang w:val="es-PE"/>
        </w:rPr>
        <w:t xml:space="preserve"> </w:t>
      </w:r>
      <w:r w:rsidRPr="00784E80">
        <w:t>ratifica el rechazo de cobertura, destacando resumidamente lo siguiente: (1)</w:t>
      </w:r>
      <w:r w:rsidRPr="00784E80">
        <w:rPr>
          <w:lang w:val="es-MX"/>
        </w:rPr>
        <w:t xml:space="preserve"> </w:t>
      </w:r>
      <w:r w:rsidRPr="00784E80">
        <w:t>el siniestro no cuenta con cobertura, debido a que la cobertura de uso indebido aplica cuando terceras personas realizan compras en establecimientos comerciales, condición establecida en la póliza para acceder a la cobertura del seguro: “</w:t>
      </w:r>
      <w:r w:rsidRPr="00784E80">
        <w:rPr>
          <w:i/>
          <w:iCs/>
        </w:rPr>
        <w:t>Uso Indebido: Si es que por el robo, hurto de la tarjeta asegurada, sea de crédito y/o débito, personas terceras hacen uso indebido de la misma únicamente en establecimientos comerciales”</w:t>
      </w:r>
      <w:r w:rsidRPr="00784E80">
        <w:t xml:space="preserve">; (2) según la denuncia policial de fecha 14 de agosto de 2021, se verifica que la tarjeta afectada fue utilizada indebidamente para retiro de dinero en efectivo en el cajero automático producto del robo de la tarjeta del asegurado; (3) por esa circunstancia, la situación expuesta no es materia de cobertura bajo los términos y condiciones de la póliza; (4) </w:t>
      </w:r>
      <w:r w:rsidRPr="00784E80">
        <w:rPr>
          <w:color w:val="000000"/>
          <w:lang w:val="es-PE"/>
        </w:rPr>
        <w:t xml:space="preserve">el asegurado fue víctima de hurto agravado, procediendo una tercera persona a realizar operaciones de manera fraudulenta, advirtiendo esta situación al día siguiente; (5) en el Certificado de Seguro Protección de Tarjetas consta detalladas las coberturas contratadas, así como las condiciones y/o deducibles, como las Suma Asegurada, entre otros; (6) el siniestro reportado no guarda relación fáctica con los riesgos asegurados bajo el seguro contratado, puesto que el riesgo de USO INDEBIDO, establece como presupuesto que las operaciones no reconocidas se realicen por medio robo o hurto únicamente en establecimientos comerciales, situación que no se ha presentado en el presente caso; (7) la narración de hechos expuesta por el reclamante a fin de advertir que el siniestro no se subsume en ninguna de las coberturas descritas en el contrato de seguro, más aún si el siniestro, se produce por la propia negligencia del asegurado, quien fue sorprendido por su acompañante al momento de ingerir bebidas alcohólicas; (8) la causa del siniestro reportado, no se ajusta a las modalidades de robo o de hurto cubiertas por la póliza. De ahí que no pueda invocarse una obligación de pago de un riesgo que no ha sido aceptado por parte de la aseguradora, ni forma parte de las coberturas que fueron contratadas; (9) lo estipulado en las condiciones generales de la póliza es de obligatorio cumplimiento para las partes, circunscribiéndose el rechazo del siniestro, dentro de los parámetros regulados en la normatividad en materia de seguros. </w:t>
      </w:r>
    </w:p>
    <w:p w14:paraId="59144980" w14:textId="77777777" w:rsidR="00784E80" w:rsidRPr="00784E80" w:rsidRDefault="00784E80" w:rsidP="00784E80">
      <w:pPr>
        <w:autoSpaceDE w:val="0"/>
        <w:autoSpaceDN w:val="0"/>
        <w:adjustRightInd w:val="0"/>
        <w:jc w:val="both"/>
        <w:rPr>
          <w:color w:val="000000"/>
          <w:lang w:val="es-PE" w:eastAsia="en-US"/>
        </w:rPr>
      </w:pPr>
    </w:p>
    <w:p w14:paraId="4B24F8CF" w14:textId="77777777" w:rsidR="00784E80" w:rsidRPr="00784E80" w:rsidRDefault="00784E80" w:rsidP="00784E80">
      <w:pPr>
        <w:jc w:val="both"/>
      </w:pPr>
      <w:r w:rsidRPr="00784E80">
        <w:rPr>
          <w:bCs/>
          <w:lang w:val="es-PE"/>
        </w:rPr>
        <w:t>Que,</w:t>
      </w:r>
      <w:r w:rsidRPr="00784E80">
        <w:rPr>
          <w:lang w:val="es-PE"/>
        </w:rPr>
        <w:t xml:space="preserve"> a la fecha, el estado del proceso permite que este Órgano Resolutivo Unipersonal pueda expedir su pronunciamiento sobre el caso sometido a su conocimiento, sobre la base de la información y de los documentos que obran en el expediente;</w:t>
      </w:r>
    </w:p>
    <w:p w14:paraId="646A0785" w14:textId="77777777" w:rsidR="00784E80" w:rsidRPr="00784E80" w:rsidRDefault="00784E80" w:rsidP="00784E80">
      <w:pPr>
        <w:jc w:val="both"/>
        <w:rPr>
          <w:b/>
          <w:bCs/>
          <w:lang w:val="es-PE"/>
        </w:rPr>
      </w:pPr>
    </w:p>
    <w:p w14:paraId="52AF6FDA" w14:textId="77777777" w:rsidR="00784E80" w:rsidRPr="00784E80" w:rsidRDefault="00784E80" w:rsidP="00784E80">
      <w:pPr>
        <w:jc w:val="both"/>
        <w:rPr>
          <w:lang w:val="es-PE"/>
        </w:rPr>
      </w:pPr>
      <w:r w:rsidRPr="00784E80">
        <w:rPr>
          <w:b/>
          <w:bCs/>
          <w:lang w:val="es-PE"/>
        </w:rPr>
        <w:t>CONSIDERANDO:</w:t>
      </w:r>
    </w:p>
    <w:p w14:paraId="2F62E5AC" w14:textId="77777777" w:rsidR="00784E80" w:rsidRPr="00784E80" w:rsidRDefault="00784E80" w:rsidP="00784E80">
      <w:pPr>
        <w:jc w:val="both"/>
        <w:rPr>
          <w:lang w:val="es-PE"/>
        </w:rPr>
      </w:pPr>
    </w:p>
    <w:p w14:paraId="0011CB69" w14:textId="77777777" w:rsidR="00784E80" w:rsidRPr="00784E80" w:rsidRDefault="00784E80" w:rsidP="00784E80">
      <w:pPr>
        <w:jc w:val="both"/>
        <w:rPr>
          <w:lang w:val="es-PE"/>
        </w:rPr>
      </w:pPr>
      <w:r w:rsidRPr="00784E80">
        <w:rPr>
          <w:b/>
          <w:u w:val="single"/>
          <w:lang w:val="es-PE"/>
        </w:rPr>
        <w:t>PRIMERO</w:t>
      </w:r>
      <w:r w:rsidRPr="00784E80">
        <w:rPr>
          <w:b/>
          <w:lang w:val="es-PE"/>
        </w:rPr>
        <w:t xml:space="preserve">: </w:t>
      </w:r>
      <w:r w:rsidRPr="00784E80">
        <w:rPr>
          <w:lang w:val="es-PE"/>
        </w:rPr>
        <w:t>Conforme a su Reglamento, la</w:t>
      </w:r>
      <w:r w:rsidRPr="00784E80">
        <w:rPr>
          <w:b/>
          <w:bCs/>
          <w:lang w:val="es-PE"/>
        </w:rPr>
        <w:t xml:space="preserve"> </w:t>
      </w:r>
      <w:r w:rsidRPr="00784E80">
        <w:rPr>
          <w:lang w:val="es-PE"/>
        </w:rPr>
        <w:t xml:space="preserve">DEFASEG está orientada a la protección de los derechos de los asegurados o usuarios de los servicios del seguro privado contratados en el país, mediante la solución de controversias que se susciten con las empresas aseguradoras, respecto de rechazos o liquidación de cobertura de siniestros; entendiéndose por “asegurados” y “usuarios de seguros” a los asegurados propiamente dichos, a los contratantes del respectivo seguro y/o a los beneficiarios nombrados en las pólizas. </w:t>
      </w:r>
    </w:p>
    <w:p w14:paraId="45B5190A" w14:textId="77777777" w:rsidR="00784E80" w:rsidRPr="00784E80" w:rsidRDefault="00784E80" w:rsidP="00784E80">
      <w:pPr>
        <w:jc w:val="both"/>
        <w:rPr>
          <w:lang w:val="es-PE"/>
        </w:rPr>
      </w:pPr>
    </w:p>
    <w:p w14:paraId="4F8E80AE" w14:textId="77777777" w:rsidR="00784E80" w:rsidRPr="00784E80" w:rsidRDefault="00784E80" w:rsidP="00784E80">
      <w:pPr>
        <w:jc w:val="both"/>
        <w:rPr>
          <w:bCs/>
          <w:lang w:val="es-PE"/>
        </w:rPr>
      </w:pPr>
      <w:r w:rsidRPr="00784E80">
        <w:rPr>
          <w:b/>
          <w:bCs/>
          <w:u w:val="single"/>
          <w:lang w:val="es-PE"/>
        </w:rPr>
        <w:t>SEGUNDO</w:t>
      </w:r>
      <w:r w:rsidRPr="00784E80">
        <w:rPr>
          <w:b/>
          <w:bCs/>
          <w:lang w:val="es-PE"/>
        </w:rPr>
        <w:t>:</w:t>
      </w:r>
      <w:r w:rsidRPr="00784E80">
        <w:rPr>
          <w:bCs/>
          <w:lang w:val="es-PE"/>
        </w:rPr>
        <w:t xml:space="preserve"> </w:t>
      </w:r>
      <w:r w:rsidRPr="00784E80">
        <w:rPr>
          <w:lang w:val="es-PE"/>
        </w:rPr>
        <w:t xml:space="preserve">Asimismo, de acuerdo a </w:t>
      </w:r>
      <w:r w:rsidRPr="00784E80">
        <w:rPr>
          <w:bCs/>
          <w:lang w:val="es-PE"/>
        </w:rPr>
        <w:t>su Reglamento, la DEFASEG sólo es competente para pronunciarse y resolver las reclamaciones indemnizatorias de los asegurados que hubiesen sido sometidas a su conocimiento, sobre la base de la documentación obrante en el correspondiente expediente y con arreglo a derecho, siempre y cuando las señaladas reclamaciones cumplan los requisitos reglamentarios de materia, cuantía y oportunidad, de manera que las reclamaciones por materias distintas al otorgamiento de cobertura, como pueden las pretensiones indemnizatorias por daños y perjuicios, por reembolso de gastos, o idoneidad de servicios, son ajenas a la competencia funcional de esta Defensoría.</w:t>
      </w:r>
    </w:p>
    <w:p w14:paraId="28EB77D7" w14:textId="77777777" w:rsidR="00784E80" w:rsidRPr="00784E80" w:rsidRDefault="00784E80" w:rsidP="00784E80">
      <w:pPr>
        <w:jc w:val="both"/>
        <w:rPr>
          <w:bCs/>
          <w:lang w:val="es-PE"/>
        </w:rPr>
      </w:pPr>
    </w:p>
    <w:p w14:paraId="6C614AC5" w14:textId="77777777" w:rsidR="00784E80" w:rsidRPr="00784E80" w:rsidRDefault="00784E80" w:rsidP="00784E80">
      <w:pPr>
        <w:jc w:val="both"/>
      </w:pPr>
      <w:r w:rsidRPr="00784E80">
        <w:rPr>
          <w:b/>
          <w:bCs/>
          <w:u w:val="single"/>
          <w:lang w:val="es-PE"/>
        </w:rPr>
        <w:t>TERCERO</w:t>
      </w:r>
      <w:r w:rsidRPr="00784E80">
        <w:rPr>
          <w:b/>
          <w:bCs/>
          <w:lang w:val="es-PE"/>
        </w:rPr>
        <w:t>:</w:t>
      </w:r>
      <w:r w:rsidRPr="00784E80">
        <w:rPr>
          <w:lang w:val="es-PE"/>
        </w:rPr>
        <w:t xml:space="preserve"> Que, de acuerdo a la Ley Nro. </w:t>
      </w:r>
      <w:r w:rsidRPr="00784E80">
        <w:t xml:space="preserve">29946 – Ley del Contrato de Seguro, norma legal vigente con ocasión de la celebración del contrato al cual se contrae el presente caso, </w:t>
      </w:r>
      <w:r w:rsidRPr="00784E80">
        <w:rPr>
          <w:lang w:val="es-PE"/>
        </w:rPr>
        <w:t>todas las cuestiones jurídicas se rigen por lo dispuesto en dicha ley y por las que reglas que se acuerden convencionalmente, en cuanto no vulneren los principios esenciales de la naturaleza jurídica del seguro, siendo que sólo se aplica el derecho común a falta de disposiciones del derecho de seguros o de protección al consumidor.</w:t>
      </w:r>
    </w:p>
    <w:p w14:paraId="6B7E5556" w14:textId="77777777" w:rsidR="00784E80" w:rsidRPr="00784E80" w:rsidRDefault="00784E80" w:rsidP="00784E80">
      <w:pPr>
        <w:jc w:val="both"/>
        <w:rPr>
          <w:b/>
          <w:u w:val="single"/>
          <w:lang w:val="es-PE"/>
        </w:rPr>
      </w:pPr>
    </w:p>
    <w:p w14:paraId="689CA220" w14:textId="77777777" w:rsidR="00784E80" w:rsidRPr="00784E80" w:rsidRDefault="00784E80" w:rsidP="00784E80">
      <w:pPr>
        <w:jc w:val="both"/>
        <w:rPr>
          <w:lang w:val="es-PE"/>
        </w:rPr>
      </w:pPr>
      <w:r w:rsidRPr="00784E80">
        <w:rPr>
          <w:b/>
          <w:u w:val="single"/>
          <w:lang w:val="es-PE"/>
        </w:rPr>
        <w:t>CUARTO</w:t>
      </w:r>
      <w:r w:rsidRPr="00784E80">
        <w:rPr>
          <w:b/>
          <w:lang w:val="es-PE"/>
        </w:rPr>
        <w:t>:</w:t>
      </w:r>
      <w:r w:rsidRPr="00784E80">
        <w:rPr>
          <w:lang w:val="es-PE"/>
        </w:rPr>
        <w:t xml:space="preserve"> Que, el artículo 1361 del Código Civil dispone que los contratos son obligatorios en cuanto se haya expresado en ellos, presumiéndose que lo declarado es lo querido por ambas partes, de manera que la parte que sostenga lo contrario debe probarlo.  </w:t>
      </w:r>
    </w:p>
    <w:p w14:paraId="5C049664" w14:textId="77777777" w:rsidR="00784E80" w:rsidRPr="00784E80" w:rsidRDefault="00784E80" w:rsidP="00784E80">
      <w:pPr>
        <w:jc w:val="both"/>
        <w:rPr>
          <w:bCs/>
        </w:rPr>
      </w:pPr>
    </w:p>
    <w:p w14:paraId="370A6254" w14:textId="77777777" w:rsidR="00784E80" w:rsidRPr="00784E80" w:rsidRDefault="00784E80" w:rsidP="00784E80">
      <w:pPr>
        <w:jc w:val="both"/>
      </w:pPr>
      <w:r w:rsidRPr="00784E80">
        <w:rPr>
          <w:b/>
          <w:bCs/>
          <w:u w:val="single"/>
          <w:lang w:val="es-PE"/>
        </w:rPr>
        <w:t>QUINTO</w:t>
      </w:r>
      <w:r w:rsidRPr="00784E80">
        <w:rPr>
          <w:b/>
          <w:bCs/>
          <w:lang w:val="es-PE"/>
        </w:rPr>
        <w:t xml:space="preserve">: </w:t>
      </w:r>
      <w:r w:rsidRPr="00784E80">
        <w:rPr>
          <w:bCs/>
          <w:lang w:val="es-PE"/>
        </w:rPr>
        <w:t>Que, conforme al</w:t>
      </w:r>
      <w:r w:rsidRPr="00784E80">
        <w:rPr>
          <w:b/>
          <w:bCs/>
          <w:lang w:val="es-PE"/>
        </w:rPr>
        <w:t xml:space="preserve"> </w:t>
      </w:r>
      <w:r w:rsidRPr="00784E80">
        <w:rPr>
          <w:lang w:val="es-PE"/>
        </w:rPr>
        <w:t>artículo 196 del Código Procesal Civil, la carga de la prueba corresponde a quien afirma hechos que configuran su pretensión, o a quien los contradice alegando nuevos hechos, salvo disposición legal diferente.</w:t>
      </w:r>
    </w:p>
    <w:p w14:paraId="246B0EDA" w14:textId="77777777" w:rsidR="00784E80" w:rsidRPr="00784E80" w:rsidRDefault="00784E80" w:rsidP="00784E80">
      <w:pPr>
        <w:jc w:val="both"/>
        <w:rPr>
          <w:lang w:val="es-PE"/>
        </w:rPr>
      </w:pPr>
    </w:p>
    <w:p w14:paraId="3A258EF9" w14:textId="77777777" w:rsidR="00784E80" w:rsidRPr="00784E80" w:rsidRDefault="00784E80" w:rsidP="00784E80">
      <w:pPr>
        <w:tabs>
          <w:tab w:val="left" w:pos="2160"/>
        </w:tabs>
        <w:jc w:val="both"/>
        <w:rPr>
          <w:lang w:val="es-PE"/>
        </w:rPr>
      </w:pPr>
      <w:r w:rsidRPr="00784E80">
        <w:rPr>
          <w:b/>
          <w:u w:val="single"/>
        </w:rPr>
        <w:t>SEXTO</w:t>
      </w:r>
      <w:r w:rsidRPr="00784E80">
        <w:rPr>
          <w:b/>
        </w:rPr>
        <w:t>:</w:t>
      </w:r>
      <w:r w:rsidRPr="00784E80">
        <w:rPr>
          <w:b/>
          <w:lang w:val="es-PE"/>
        </w:rPr>
        <w:t xml:space="preserve"> </w:t>
      </w:r>
      <w:r w:rsidRPr="00784E80">
        <w:rPr>
          <w:lang w:val="es-PE"/>
        </w:rPr>
        <w:t>Sobre la base de los términos contenidos en la reclamación</w:t>
      </w:r>
      <w:r w:rsidRPr="00784E80">
        <w:rPr>
          <w:lang w:val="es-419"/>
        </w:rPr>
        <w:t xml:space="preserve">, </w:t>
      </w:r>
      <w:r w:rsidRPr="00784E80">
        <w:rPr>
          <w:lang w:val="es-PE"/>
        </w:rPr>
        <w:t xml:space="preserve">en la absolución de </w:t>
      </w:r>
      <w:proofErr w:type="gramStart"/>
      <w:r w:rsidRPr="00784E80">
        <w:rPr>
          <w:lang w:val="es-PE"/>
        </w:rPr>
        <w:t>la misma</w:t>
      </w:r>
      <w:proofErr w:type="gramEnd"/>
      <w:r w:rsidRPr="00784E80">
        <w:rPr>
          <w:lang w:val="es-PE"/>
        </w:rPr>
        <w:t>, y a lo tratado en la audiencia de vista, la cuestión controvertida radica en determinar si se encuentra o no justificado el rechazo de cobertura materia de impugnación por el asegurado, quien pretende que se otorgue cobertura al siniestro invocando que fue víctima de un hurto agravado de su tarjeta asegurada, con lo cual se realizaron retiros indebidos de cajeros automáticos</w:t>
      </w:r>
      <w:r w:rsidRPr="00784E80">
        <w:rPr>
          <w:i/>
          <w:iCs/>
          <w:lang w:val="es-PE"/>
        </w:rPr>
        <w:t>.</w:t>
      </w:r>
    </w:p>
    <w:p w14:paraId="4DEAAEC3" w14:textId="77777777" w:rsidR="00784E80" w:rsidRPr="00784E80" w:rsidRDefault="00784E80" w:rsidP="00784E80">
      <w:pPr>
        <w:tabs>
          <w:tab w:val="left" w:pos="2160"/>
        </w:tabs>
        <w:jc w:val="both"/>
        <w:rPr>
          <w:lang w:val="es-PE"/>
        </w:rPr>
      </w:pPr>
    </w:p>
    <w:p w14:paraId="3F3F538B" w14:textId="38847693" w:rsidR="00784E80" w:rsidRPr="00784E80" w:rsidRDefault="00784E80" w:rsidP="00784E80">
      <w:pPr>
        <w:tabs>
          <w:tab w:val="left" w:pos="709"/>
          <w:tab w:val="left" w:pos="2160"/>
        </w:tabs>
        <w:ind w:left="705" w:hanging="705"/>
        <w:jc w:val="both"/>
        <w:rPr>
          <w:lang w:val="es-PE"/>
        </w:rPr>
      </w:pPr>
      <w:r w:rsidRPr="00784E80">
        <w:rPr>
          <w:lang w:val="es-PE"/>
        </w:rPr>
        <w:t>6.1.</w:t>
      </w:r>
      <w:r w:rsidRPr="00784E80">
        <w:rPr>
          <w:lang w:val="es-PE"/>
        </w:rPr>
        <w:tab/>
      </w:r>
      <w:r w:rsidR="00696C75">
        <w:rPr>
          <w:b/>
          <w:bCs/>
          <w:lang w:val="es-MX"/>
        </w:rPr>
        <w:t>……………………...</w:t>
      </w:r>
      <w:r w:rsidR="00696C75" w:rsidRPr="00784E80">
        <w:rPr>
          <w:b/>
          <w:bCs/>
          <w:lang w:val="es-MX"/>
        </w:rPr>
        <w:t xml:space="preserve"> </w:t>
      </w:r>
      <w:r w:rsidRPr="00784E80">
        <w:rPr>
          <w:lang w:val="es-PE"/>
        </w:rPr>
        <w:t xml:space="preserve"> sustenta su rechazo en que, conforme a las coberturas contratadas, sólo se cubre </w:t>
      </w:r>
      <w:proofErr w:type="gramStart"/>
      <w:r w:rsidRPr="00784E80">
        <w:rPr>
          <w:lang w:val="es-PE"/>
        </w:rPr>
        <w:t xml:space="preserve">el </w:t>
      </w:r>
      <w:r w:rsidRPr="00784E80">
        <w:rPr>
          <w:i/>
          <w:iCs/>
        </w:rPr>
        <w:t xml:space="preserve"> “</w:t>
      </w:r>
      <w:proofErr w:type="gramEnd"/>
      <w:r w:rsidRPr="00784E80">
        <w:rPr>
          <w:i/>
          <w:iCs/>
        </w:rPr>
        <w:t>Uso Indebido: Si es que por el robo, hurto de la tarjeta asegurada, sea de crédito y/o débito, personas terceras hacen uso indebido de la misma únicamente en establecimientos comerciales”</w:t>
      </w:r>
      <w:r w:rsidRPr="00784E80">
        <w:rPr>
          <w:lang w:val="es-PE"/>
        </w:rPr>
        <w:t xml:space="preserve"> .</w:t>
      </w:r>
    </w:p>
    <w:p w14:paraId="7B74DA21" w14:textId="77777777" w:rsidR="00784E80" w:rsidRPr="00784E80" w:rsidRDefault="00784E80" w:rsidP="00784E80">
      <w:pPr>
        <w:tabs>
          <w:tab w:val="left" w:pos="709"/>
          <w:tab w:val="left" w:pos="2160"/>
        </w:tabs>
        <w:ind w:left="705" w:hanging="705"/>
        <w:jc w:val="both"/>
        <w:rPr>
          <w:lang w:val="es-PE"/>
        </w:rPr>
      </w:pPr>
    </w:p>
    <w:p w14:paraId="4CE10DA3" w14:textId="58076D8D" w:rsidR="00784E80" w:rsidRPr="00784E80" w:rsidRDefault="00784E80" w:rsidP="00784E80">
      <w:pPr>
        <w:tabs>
          <w:tab w:val="left" w:pos="709"/>
          <w:tab w:val="left" w:pos="2160"/>
        </w:tabs>
        <w:ind w:left="705" w:hanging="705"/>
        <w:jc w:val="both"/>
        <w:rPr>
          <w:lang w:val="es-PE"/>
        </w:rPr>
      </w:pPr>
      <w:r w:rsidRPr="00784E80">
        <w:rPr>
          <w:lang w:val="es-PE"/>
        </w:rPr>
        <w:tab/>
        <w:t xml:space="preserve">Para </w:t>
      </w:r>
      <w:r w:rsidR="00696C75">
        <w:rPr>
          <w:b/>
          <w:bCs/>
          <w:lang w:val="es-MX"/>
        </w:rPr>
        <w:t>……………………...</w:t>
      </w:r>
      <w:r w:rsidR="00696C75" w:rsidRPr="00784E80">
        <w:rPr>
          <w:b/>
          <w:bCs/>
          <w:lang w:val="es-MX"/>
        </w:rPr>
        <w:t xml:space="preserve"> </w:t>
      </w:r>
      <w:r w:rsidRPr="00784E80">
        <w:rPr>
          <w:lang w:val="es-PE"/>
        </w:rPr>
        <w:t xml:space="preserve"> el uso indebido no comprende el uso de la tarjeta asegurada hurtada y robada para retirar sin consentimiento del asegurado dinero de cajeros automáticos.</w:t>
      </w:r>
    </w:p>
    <w:p w14:paraId="70D5048C" w14:textId="77777777" w:rsidR="00784E80" w:rsidRPr="00784E80" w:rsidRDefault="00784E80" w:rsidP="00784E80">
      <w:pPr>
        <w:tabs>
          <w:tab w:val="left" w:pos="709"/>
          <w:tab w:val="left" w:pos="2160"/>
        </w:tabs>
        <w:ind w:left="705" w:hanging="705"/>
        <w:jc w:val="both"/>
        <w:rPr>
          <w:lang w:val="es-PE"/>
        </w:rPr>
      </w:pPr>
    </w:p>
    <w:p w14:paraId="371C6300" w14:textId="77777777" w:rsidR="00784E80" w:rsidRPr="00784E80" w:rsidRDefault="00784E80" w:rsidP="00784E80">
      <w:pPr>
        <w:tabs>
          <w:tab w:val="left" w:pos="709"/>
          <w:tab w:val="left" w:pos="2160"/>
        </w:tabs>
        <w:ind w:left="705" w:hanging="705"/>
        <w:jc w:val="both"/>
        <w:rPr>
          <w:lang w:val="es-PE"/>
        </w:rPr>
      </w:pPr>
      <w:r w:rsidRPr="00784E80">
        <w:rPr>
          <w:lang w:val="es-PE"/>
        </w:rPr>
        <w:t>6.2.</w:t>
      </w:r>
      <w:r w:rsidRPr="00784E80">
        <w:rPr>
          <w:lang w:val="es-PE"/>
        </w:rPr>
        <w:tab/>
        <w:t xml:space="preserve">Este Órgano Resolutivo Unipersonal destaca que los riesgos aceptados por la aseguradora en el marco de un contrato de seguro se pueden delimitar tanto positiva como negativamente para reclamar cobertura en caso de su materialización; en el primer caso, a través de las coberturas contratadas y, en segundo lugar, mediante el régimen de exclusiones.  </w:t>
      </w:r>
    </w:p>
    <w:p w14:paraId="570EBF74" w14:textId="77777777" w:rsidR="00784E80" w:rsidRPr="00784E80" w:rsidRDefault="00784E80" w:rsidP="00784E80">
      <w:pPr>
        <w:tabs>
          <w:tab w:val="left" w:pos="709"/>
          <w:tab w:val="left" w:pos="2160"/>
        </w:tabs>
        <w:ind w:left="705" w:hanging="705"/>
        <w:jc w:val="both"/>
        <w:rPr>
          <w:lang w:val="es-PE"/>
        </w:rPr>
      </w:pPr>
    </w:p>
    <w:p w14:paraId="6BD3B7C7" w14:textId="77777777" w:rsidR="00784E80" w:rsidRPr="00784E80" w:rsidRDefault="00784E80" w:rsidP="00784E80">
      <w:pPr>
        <w:tabs>
          <w:tab w:val="left" w:pos="709"/>
          <w:tab w:val="left" w:pos="2160"/>
        </w:tabs>
        <w:ind w:left="705" w:hanging="705"/>
        <w:jc w:val="both"/>
        <w:rPr>
          <w:lang w:val="es-PE"/>
        </w:rPr>
      </w:pPr>
      <w:r w:rsidRPr="00784E80">
        <w:rPr>
          <w:lang w:val="es-PE"/>
        </w:rPr>
        <w:t>6.3.</w:t>
      </w:r>
      <w:r w:rsidRPr="00784E80">
        <w:rPr>
          <w:lang w:val="es-PE"/>
        </w:rPr>
        <w:tab/>
      </w:r>
      <w:proofErr w:type="gramStart"/>
      <w:r w:rsidRPr="00784E80">
        <w:rPr>
          <w:lang w:val="es-PE"/>
        </w:rPr>
        <w:t>De acuerdo a</w:t>
      </w:r>
      <w:proofErr w:type="gramEnd"/>
      <w:r w:rsidRPr="00784E80">
        <w:rPr>
          <w:lang w:val="es-PE"/>
        </w:rPr>
        <w:t xml:space="preserve"> múltiples y uniformes resoluciones de la DEFASEG, sobre la base de lo dispuesto en la ley de la materia, las exclusiones sólo son oponibles de haber sido de conocimiento oportuno, adecuado y suficiente por los asegurados, en especial tratándose de seguros grupales o globales.  </w:t>
      </w:r>
    </w:p>
    <w:p w14:paraId="343E4A0D" w14:textId="77777777" w:rsidR="00784E80" w:rsidRPr="00784E80" w:rsidRDefault="00784E80" w:rsidP="00784E80">
      <w:pPr>
        <w:tabs>
          <w:tab w:val="left" w:pos="709"/>
          <w:tab w:val="left" w:pos="2160"/>
        </w:tabs>
        <w:ind w:left="705" w:hanging="705"/>
        <w:jc w:val="both"/>
        <w:rPr>
          <w:lang w:val="es-PE"/>
        </w:rPr>
      </w:pPr>
    </w:p>
    <w:p w14:paraId="54AB98D5" w14:textId="77777777" w:rsidR="00784E80" w:rsidRPr="00784E80" w:rsidRDefault="00784E80" w:rsidP="00784E80">
      <w:pPr>
        <w:tabs>
          <w:tab w:val="left" w:pos="709"/>
          <w:tab w:val="left" w:pos="2160"/>
        </w:tabs>
        <w:ind w:left="705" w:hanging="705"/>
        <w:jc w:val="both"/>
        <w:rPr>
          <w:lang w:val="es-PE"/>
        </w:rPr>
      </w:pPr>
      <w:r w:rsidRPr="00784E80">
        <w:rPr>
          <w:lang w:val="es-PE"/>
        </w:rPr>
        <w:tab/>
        <w:t>En cuanto las coberturas, la cuestión es objetiva, en el sentido que se está a lo pactado, no pudiéndose exigir el otorgamiento de una cobertura respecto de un riesgo que no fue representado ni asumido por la aseguradora.</w:t>
      </w:r>
    </w:p>
    <w:p w14:paraId="5613017D" w14:textId="77777777" w:rsidR="00784E80" w:rsidRPr="00784E80" w:rsidRDefault="00784E80" w:rsidP="00784E80">
      <w:pPr>
        <w:tabs>
          <w:tab w:val="left" w:pos="709"/>
          <w:tab w:val="left" w:pos="2160"/>
        </w:tabs>
        <w:ind w:left="705" w:hanging="705"/>
        <w:jc w:val="both"/>
        <w:rPr>
          <w:lang w:val="es-PE"/>
        </w:rPr>
      </w:pPr>
    </w:p>
    <w:p w14:paraId="322CF7A5" w14:textId="7B1466C9" w:rsidR="00784E80" w:rsidRPr="00784E80" w:rsidRDefault="00784E80" w:rsidP="00784E80">
      <w:pPr>
        <w:tabs>
          <w:tab w:val="left" w:pos="709"/>
          <w:tab w:val="left" w:pos="2160"/>
        </w:tabs>
        <w:ind w:left="705" w:hanging="705"/>
        <w:jc w:val="both"/>
        <w:rPr>
          <w:lang w:val="es-PE"/>
        </w:rPr>
      </w:pPr>
      <w:r w:rsidRPr="00784E80">
        <w:rPr>
          <w:lang w:val="es-PE"/>
        </w:rPr>
        <w:t>6.4.</w:t>
      </w:r>
      <w:r w:rsidRPr="00784E80">
        <w:rPr>
          <w:lang w:val="es-PE"/>
        </w:rPr>
        <w:tab/>
        <w:t xml:space="preserve">En el presente caso, los riesgos aceptados por </w:t>
      </w:r>
      <w:r w:rsidR="0040198F">
        <w:rPr>
          <w:b/>
          <w:bCs/>
          <w:lang w:val="es-MX"/>
        </w:rPr>
        <w:t>……………………...</w:t>
      </w:r>
      <w:r w:rsidR="0040198F" w:rsidRPr="00784E80">
        <w:rPr>
          <w:b/>
          <w:bCs/>
          <w:lang w:val="es-MX"/>
        </w:rPr>
        <w:t xml:space="preserve"> </w:t>
      </w:r>
      <w:r w:rsidRPr="00784E80">
        <w:rPr>
          <w:lang w:val="es-PE"/>
        </w:rPr>
        <w:t xml:space="preserve"> corresponden a lo expresamente detallado en la respectiva cobertura:</w:t>
      </w:r>
    </w:p>
    <w:p w14:paraId="0225499D" w14:textId="77777777" w:rsidR="00784E80" w:rsidRPr="00784E80" w:rsidRDefault="00784E80" w:rsidP="00784E80">
      <w:pPr>
        <w:tabs>
          <w:tab w:val="left" w:pos="709"/>
          <w:tab w:val="left" w:pos="2160"/>
        </w:tabs>
        <w:ind w:left="705" w:hanging="705"/>
        <w:jc w:val="both"/>
        <w:rPr>
          <w:lang w:val="es-PE"/>
        </w:rPr>
      </w:pPr>
    </w:p>
    <w:p w14:paraId="6B85C940" w14:textId="77777777" w:rsidR="00784E80" w:rsidRPr="00784E80" w:rsidRDefault="00784E80" w:rsidP="00784E80">
      <w:pPr>
        <w:tabs>
          <w:tab w:val="left" w:pos="709"/>
          <w:tab w:val="left" w:pos="2160"/>
        </w:tabs>
        <w:ind w:left="705" w:hanging="705"/>
        <w:jc w:val="both"/>
        <w:rPr>
          <w:lang w:val="es-PE"/>
        </w:rPr>
      </w:pPr>
    </w:p>
    <w:p w14:paraId="06868575" w14:textId="616586BD" w:rsidR="00784E80" w:rsidRPr="00784E80" w:rsidRDefault="00784E80" w:rsidP="00784E80">
      <w:pPr>
        <w:tabs>
          <w:tab w:val="left" w:pos="709"/>
          <w:tab w:val="left" w:pos="2160"/>
        </w:tabs>
        <w:ind w:left="705" w:hanging="705"/>
        <w:jc w:val="both"/>
        <w:rPr>
          <w:lang w:val="es-PE"/>
        </w:rPr>
      </w:pPr>
      <w:r w:rsidRPr="00784E80">
        <w:rPr>
          <w:noProof/>
          <w:lang w:val="es-PE"/>
        </w:rPr>
        <w:drawing>
          <wp:inline distT="0" distB="0" distL="0" distR="0" wp14:anchorId="5CD5FF94" wp14:editId="314FE734">
            <wp:extent cx="5580380" cy="2474595"/>
            <wp:effectExtent l="0" t="0" r="1270" b="1905"/>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580380" cy="2474595"/>
                    </a:xfrm>
                    <a:prstGeom prst="rect">
                      <a:avLst/>
                    </a:prstGeom>
                    <a:noFill/>
                    <a:ln>
                      <a:noFill/>
                    </a:ln>
                  </pic:spPr>
                </pic:pic>
              </a:graphicData>
            </a:graphic>
          </wp:inline>
        </w:drawing>
      </w:r>
    </w:p>
    <w:p w14:paraId="71BA7E97" w14:textId="77777777" w:rsidR="00784E80" w:rsidRPr="00784E80" w:rsidRDefault="00784E80" w:rsidP="00784E80">
      <w:pPr>
        <w:tabs>
          <w:tab w:val="left" w:pos="709"/>
          <w:tab w:val="left" w:pos="2160"/>
        </w:tabs>
        <w:ind w:left="705" w:hanging="705"/>
        <w:jc w:val="both"/>
        <w:rPr>
          <w:lang w:val="es-PE"/>
        </w:rPr>
      </w:pPr>
    </w:p>
    <w:p w14:paraId="1A9763B0" w14:textId="77777777" w:rsidR="00784E80" w:rsidRPr="00784E80" w:rsidRDefault="00784E80" w:rsidP="00784E80">
      <w:pPr>
        <w:tabs>
          <w:tab w:val="left" w:pos="709"/>
          <w:tab w:val="left" w:pos="2160"/>
        </w:tabs>
        <w:ind w:left="703" w:hanging="703"/>
        <w:jc w:val="both"/>
        <w:rPr>
          <w:lang w:val="es-PE"/>
        </w:rPr>
      </w:pPr>
      <w:r w:rsidRPr="00784E80">
        <w:rPr>
          <w:lang w:val="es-PE"/>
        </w:rPr>
        <w:t>6.5.</w:t>
      </w:r>
      <w:r w:rsidRPr="00784E80">
        <w:rPr>
          <w:lang w:val="es-PE"/>
        </w:rPr>
        <w:tab/>
        <w:t xml:space="preserve">Como puede apreciarse, </w:t>
      </w:r>
      <w:r w:rsidRPr="00784E80">
        <w:rPr>
          <w:lang w:val="es-MX"/>
        </w:rPr>
        <w:t>la cobertura contratada en cuanto al riesgo de Uso Indebido de la Tarjeta de Crédito y/o Débito asegurada, es únicamente cuando dicho uso indebido se produce en establecimientos comerciales, y no para retirar dinero de cajeros automáticos sin conocimiento ni consentimiento del asegurado.</w:t>
      </w:r>
    </w:p>
    <w:p w14:paraId="3CD82217" w14:textId="77777777" w:rsidR="00784E80" w:rsidRPr="00784E80" w:rsidRDefault="00784E80" w:rsidP="00784E80">
      <w:pPr>
        <w:tabs>
          <w:tab w:val="left" w:pos="709"/>
          <w:tab w:val="left" w:pos="2160"/>
        </w:tabs>
        <w:ind w:left="703" w:hanging="703"/>
        <w:jc w:val="both"/>
        <w:rPr>
          <w:lang w:val="es-PE"/>
        </w:rPr>
      </w:pPr>
    </w:p>
    <w:p w14:paraId="4AA0AD50" w14:textId="77777777" w:rsidR="00784E80" w:rsidRPr="00784E80" w:rsidRDefault="00784E80" w:rsidP="00784E80">
      <w:pPr>
        <w:ind w:left="703" w:hanging="703"/>
        <w:jc w:val="both"/>
        <w:rPr>
          <w:rFonts w:eastAsiaTheme="minorHAnsi"/>
          <w:lang w:val="es-MX" w:eastAsia="en-US"/>
        </w:rPr>
      </w:pPr>
      <w:r w:rsidRPr="00784E80">
        <w:rPr>
          <w:lang w:val="es-MX"/>
        </w:rPr>
        <w:t>6.6.</w:t>
      </w:r>
      <w:r w:rsidRPr="00784E80">
        <w:rPr>
          <w:lang w:val="es-MX"/>
        </w:rPr>
        <w:tab/>
        <w:t>En el presente caso, de acuerdo con la denuncia policial, el uso indebido fue para efectuar retiros en cajeros:</w:t>
      </w:r>
    </w:p>
    <w:p w14:paraId="1125B18E" w14:textId="081CC082" w:rsidR="00784E80" w:rsidRPr="00784E80" w:rsidRDefault="00696C75" w:rsidP="00696C75">
      <w:pPr>
        <w:jc w:val="center"/>
        <w:rPr>
          <w:lang w:val="es-MX"/>
        </w:rPr>
      </w:pPr>
      <w:r>
        <w:rPr>
          <w:b/>
          <w:bCs/>
          <w:lang w:val="es-MX"/>
        </w:rPr>
        <w:t>……………………...</w:t>
      </w:r>
    </w:p>
    <w:p w14:paraId="6E193FBE" w14:textId="77777777" w:rsidR="00784E80" w:rsidRPr="00784E80" w:rsidRDefault="00784E80" w:rsidP="00784E80">
      <w:pPr>
        <w:ind w:left="703" w:hanging="703"/>
        <w:jc w:val="both"/>
        <w:rPr>
          <w:lang w:val="es-MX"/>
        </w:rPr>
      </w:pPr>
      <w:r w:rsidRPr="00784E80">
        <w:rPr>
          <w:lang w:val="es-PE"/>
        </w:rPr>
        <w:t>6.7.</w:t>
      </w:r>
      <w:r w:rsidRPr="00784E80">
        <w:rPr>
          <w:lang w:val="es-PE"/>
        </w:rPr>
        <w:tab/>
      </w:r>
      <w:r w:rsidRPr="00784E80">
        <w:rPr>
          <w:lang w:val="es-MX"/>
        </w:rPr>
        <w:t>Obviamente, al restringirse el supuesto de hecho que describe el riesgo cubierto, no resultan bajo cobertura los usos indebidos de la tarjeta que no sean en establecimientos comerciales.</w:t>
      </w:r>
    </w:p>
    <w:p w14:paraId="59AF4DD7" w14:textId="77777777" w:rsidR="00784E80" w:rsidRPr="00784E80" w:rsidRDefault="00784E80" w:rsidP="00784E80">
      <w:pPr>
        <w:jc w:val="both"/>
        <w:rPr>
          <w:rStyle w:val="Strong"/>
          <w:b w:val="0"/>
          <w:lang w:val="es-PE"/>
        </w:rPr>
      </w:pPr>
    </w:p>
    <w:p w14:paraId="354A07A6" w14:textId="77777777" w:rsidR="00784E80" w:rsidRPr="00784E80" w:rsidRDefault="00784E80" w:rsidP="00784E80">
      <w:pPr>
        <w:jc w:val="both"/>
        <w:rPr>
          <w:rStyle w:val="Strong"/>
          <w:b w:val="0"/>
        </w:rPr>
      </w:pPr>
      <w:r w:rsidRPr="00784E80">
        <w:rPr>
          <w:rStyle w:val="Strong"/>
        </w:rPr>
        <w:t>Consecuentemente, en el presente caso no se ha probado el supuesto de hecho que materializa la cobertura</w:t>
      </w:r>
      <w:r w:rsidRPr="00784E80">
        <w:rPr>
          <w:lang w:val="es-MX"/>
        </w:rPr>
        <w:t xml:space="preserve"> de </w:t>
      </w:r>
      <w:r w:rsidRPr="00784E80">
        <w:t>Uso indebido de la Tarjeta Asegurada</w:t>
      </w:r>
      <w:r w:rsidRPr="00784E80">
        <w:rPr>
          <w:rStyle w:val="Strong"/>
        </w:rPr>
        <w:t>, esto es, no se ha demostrado la existencia de un siniestro que deba ser indemnizado bajo el Seguro contratado.</w:t>
      </w:r>
    </w:p>
    <w:p w14:paraId="74143D46" w14:textId="77777777" w:rsidR="00784E80" w:rsidRPr="00784E80" w:rsidRDefault="00784E80" w:rsidP="00784E80">
      <w:pPr>
        <w:jc w:val="both"/>
        <w:rPr>
          <w:rStyle w:val="Strong"/>
          <w:b w:val="0"/>
        </w:rPr>
      </w:pPr>
    </w:p>
    <w:p w14:paraId="477F9BB1" w14:textId="77777777" w:rsidR="00784E80" w:rsidRPr="00784E80" w:rsidRDefault="00784E80" w:rsidP="00784E80">
      <w:pPr>
        <w:tabs>
          <w:tab w:val="left" w:pos="709"/>
          <w:tab w:val="left" w:pos="2160"/>
        </w:tabs>
        <w:jc w:val="both"/>
      </w:pPr>
      <w:r w:rsidRPr="00784E80">
        <w:rPr>
          <w:lang w:val="es-PE"/>
        </w:rPr>
        <w:t xml:space="preserve">Atendiendo a lo expresado, este Órgano Resolutivo Unipersonal </w:t>
      </w:r>
      <w:r w:rsidRPr="00784E80">
        <w:t xml:space="preserve">concluye su apreciación razonada y conjunta al amparo de lo establecido en su Reglamento, estimando que el rechazo de cobertura es formalmente legítimo, por lo que </w:t>
      </w:r>
    </w:p>
    <w:p w14:paraId="0584B97C" w14:textId="77777777" w:rsidR="00784E80" w:rsidRPr="00784E80" w:rsidRDefault="00784E80" w:rsidP="00784E80">
      <w:pPr>
        <w:tabs>
          <w:tab w:val="left" w:pos="2386"/>
        </w:tabs>
        <w:jc w:val="both"/>
        <w:outlineLvl w:val="0"/>
        <w:rPr>
          <w:rFonts w:eastAsiaTheme="minorHAnsi"/>
          <w:b/>
          <w:lang w:val="es-PE" w:eastAsia="en-US"/>
        </w:rPr>
      </w:pPr>
    </w:p>
    <w:p w14:paraId="4FCC77E7" w14:textId="77777777" w:rsidR="00784E80" w:rsidRPr="00784E80" w:rsidRDefault="00784E80" w:rsidP="00784E80">
      <w:pPr>
        <w:jc w:val="both"/>
        <w:rPr>
          <w:b/>
        </w:rPr>
      </w:pPr>
      <w:r w:rsidRPr="00784E80">
        <w:rPr>
          <w:b/>
        </w:rPr>
        <w:t>RESUELVE:</w:t>
      </w:r>
    </w:p>
    <w:p w14:paraId="7220B90C" w14:textId="77777777" w:rsidR="00784E80" w:rsidRPr="00784E80" w:rsidRDefault="00784E80" w:rsidP="00784E80">
      <w:pPr>
        <w:jc w:val="both"/>
      </w:pPr>
    </w:p>
    <w:p w14:paraId="6C680348" w14:textId="62E0C9ED" w:rsidR="00784E80" w:rsidRPr="00784E80" w:rsidRDefault="00784E80" w:rsidP="00784E80">
      <w:pPr>
        <w:tabs>
          <w:tab w:val="left" w:pos="0"/>
          <w:tab w:val="left" w:pos="708"/>
          <w:tab w:val="left" w:pos="1416"/>
          <w:tab w:val="left" w:pos="2160"/>
          <w:tab w:val="left" w:pos="3540"/>
          <w:tab w:val="left" w:pos="4248"/>
          <w:tab w:val="left" w:pos="4956"/>
          <w:tab w:val="left" w:pos="5664"/>
          <w:tab w:val="left" w:pos="6372"/>
          <w:tab w:val="left" w:pos="7125"/>
        </w:tabs>
        <w:jc w:val="both"/>
      </w:pPr>
      <w:r w:rsidRPr="00784E80">
        <w:rPr>
          <w:lang w:val="es-PE"/>
        </w:rPr>
        <w:t xml:space="preserve">Declarar </w:t>
      </w:r>
      <w:r w:rsidRPr="00784E80">
        <w:rPr>
          <w:b/>
          <w:bCs/>
          <w:lang w:val="es-PE"/>
        </w:rPr>
        <w:t>IN</w:t>
      </w:r>
      <w:r w:rsidRPr="00784E80">
        <w:rPr>
          <w:b/>
          <w:lang w:val="es-PE"/>
        </w:rPr>
        <w:t xml:space="preserve">FUNDADA </w:t>
      </w:r>
      <w:r w:rsidRPr="00784E80">
        <w:rPr>
          <w:lang w:val="es-PE"/>
        </w:rPr>
        <w:t>la reclamación interpuesta por</w:t>
      </w:r>
      <w:r w:rsidRPr="00784E80">
        <w:rPr>
          <w:b/>
          <w:bCs/>
          <w:lang w:val="es-MX"/>
        </w:rPr>
        <w:t xml:space="preserve"> </w:t>
      </w:r>
      <w:r w:rsidR="00696C75">
        <w:rPr>
          <w:b/>
          <w:bCs/>
          <w:lang w:val="es-MX"/>
        </w:rPr>
        <w:t>……………………...</w:t>
      </w:r>
      <w:r w:rsidR="00696C75" w:rsidRPr="00784E80">
        <w:rPr>
          <w:b/>
          <w:bCs/>
          <w:lang w:val="es-MX"/>
        </w:rPr>
        <w:t xml:space="preserve"> </w:t>
      </w:r>
      <w:r w:rsidRPr="00784E80">
        <w:t>contra</w:t>
      </w:r>
      <w:r w:rsidRPr="00784E80">
        <w:rPr>
          <w:lang w:val="es-PE"/>
        </w:rPr>
        <w:t xml:space="preserve"> </w:t>
      </w:r>
      <w:r w:rsidR="00696C75">
        <w:rPr>
          <w:b/>
          <w:bCs/>
          <w:lang w:val="es-MX"/>
        </w:rPr>
        <w:t>……………………...</w:t>
      </w:r>
      <w:r w:rsidRPr="00784E80">
        <w:rPr>
          <w:lang w:val="es-PE"/>
        </w:rPr>
        <w:t xml:space="preserve">, </w:t>
      </w:r>
      <w:r w:rsidRPr="00784E80">
        <w:rPr>
          <w:bCs/>
        </w:rPr>
        <w:t>dejándose a salvo su derecho de recurrir a las instancias que considere pertinentes para hacer valer su pretensión.</w:t>
      </w:r>
    </w:p>
    <w:p w14:paraId="2802DC40" w14:textId="77777777" w:rsidR="009205B4" w:rsidRPr="00784E80" w:rsidRDefault="009205B4" w:rsidP="00135A6B">
      <w:pPr>
        <w:tabs>
          <w:tab w:val="left" w:pos="0"/>
          <w:tab w:val="left" w:pos="708"/>
          <w:tab w:val="left" w:pos="1416"/>
          <w:tab w:val="left" w:pos="2160"/>
          <w:tab w:val="left" w:pos="3540"/>
          <w:tab w:val="left" w:pos="4248"/>
          <w:tab w:val="left" w:pos="4956"/>
          <w:tab w:val="left" w:pos="5664"/>
          <w:tab w:val="left" w:pos="6372"/>
          <w:tab w:val="left" w:pos="7125"/>
        </w:tabs>
        <w:jc w:val="both"/>
        <w:rPr>
          <w:rFonts w:eastAsia="Arial Unicode MS"/>
          <w:lang w:val="es-MX"/>
        </w:rPr>
      </w:pPr>
    </w:p>
    <w:p w14:paraId="30F8D459" w14:textId="08246BC7" w:rsidR="001631D6" w:rsidRPr="00784E80" w:rsidRDefault="00F15FBA" w:rsidP="00401DE3">
      <w:pPr>
        <w:jc w:val="right"/>
        <w:outlineLvl w:val="0"/>
        <w:rPr>
          <w:lang w:val="es-PE"/>
        </w:rPr>
      </w:pPr>
      <w:r w:rsidRPr="00784E80">
        <w:rPr>
          <w:lang w:val="es-PE"/>
        </w:rPr>
        <w:t xml:space="preserve">Lima, </w:t>
      </w:r>
      <w:r w:rsidR="00465FB3" w:rsidRPr="00784E80">
        <w:rPr>
          <w:lang w:val="es-PE"/>
        </w:rPr>
        <w:t>10</w:t>
      </w:r>
      <w:r w:rsidR="00447D8A" w:rsidRPr="00784E80">
        <w:rPr>
          <w:lang w:val="es-PE"/>
        </w:rPr>
        <w:t xml:space="preserve"> </w:t>
      </w:r>
      <w:r w:rsidR="00F62606" w:rsidRPr="00784E80">
        <w:t>d</w:t>
      </w:r>
      <w:proofErr w:type="spellStart"/>
      <w:r w:rsidRPr="00784E80">
        <w:rPr>
          <w:lang w:val="es-PE"/>
        </w:rPr>
        <w:t>e</w:t>
      </w:r>
      <w:proofErr w:type="spellEnd"/>
      <w:r w:rsidR="00642D5C" w:rsidRPr="00784E80">
        <w:rPr>
          <w:lang w:val="es-PE"/>
        </w:rPr>
        <w:t xml:space="preserve"> </w:t>
      </w:r>
      <w:r w:rsidR="00465FB3" w:rsidRPr="00784E80">
        <w:rPr>
          <w:lang w:val="es-PE"/>
        </w:rPr>
        <w:t>enero</w:t>
      </w:r>
      <w:r w:rsidR="001631D6" w:rsidRPr="00784E80">
        <w:rPr>
          <w:lang w:val="es-PE"/>
        </w:rPr>
        <w:t xml:space="preserve"> </w:t>
      </w:r>
      <w:r w:rsidRPr="00784E80">
        <w:rPr>
          <w:lang w:val="es-PE"/>
        </w:rPr>
        <w:t>de 20</w:t>
      </w:r>
      <w:r w:rsidR="001631D6" w:rsidRPr="00784E80">
        <w:rPr>
          <w:lang w:val="es-PE"/>
        </w:rPr>
        <w:t>2</w:t>
      </w:r>
      <w:r w:rsidR="00465FB3" w:rsidRPr="00784E80">
        <w:rPr>
          <w:lang w:val="es-PE"/>
        </w:rPr>
        <w:t>2</w:t>
      </w:r>
    </w:p>
    <w:p w14:paraId="37DB6607" w14:textId="77777777" w:rsidR="00C01AB2" w:rsidRPr="00784E80" w:rsidRDefault="00C01AB2" w:rsidP="00B5211F"/>
    <w:p w14:paraId="358BC1AC" w14:textId="77777777" w:rsidR="00A16B63" w:rsidRPr="00784E80" w:rsidRDefault="00A16B63" w:rsidP="00A16B63">
      <w:pPr>
        <w:jc w:val="both"/>
        <w:rPr>
          <w:b/>
          <w:bCs/>
          <w:i/>
          <w:iCs/>
        </w:rPr>
      </w:pPr>
      <w:r w:rsidRPr="00784E80">
        <w:rPr>
          <w:b/>
          <w:bCs/>
          <w:i/>
          <w:iCs/>
        </w:rPr>
        <w:t>La Secretaría Técnica certifica que la presente resolución, al haber sido emitida por el Órgano Resolutivo Unipersonal, cuenta con el voto del vocal cuyo nombre figura al final del presente documento.</w:t>
      </w:r>
    </w:p>
    <w:p w14:paraId="1D118CB2" w14:textId="0B6E2748" w:rsidR="00431C1C" w:rsidRPr="00784E80" w:rsidRDefault="00431C1C" w:rsidP="00431C1C">
      <w:pPr>
        <w:jc w:val="both"/>
        <w:rPr>
          <w:b/>
          <w:bCs/>
          <w:i/>
          <w:iCs/>
        </w:rPr>
      </w:pPr>
    </w:p>
    <w:p w14:paraId="0DEAE9EC" w14:textId="74FC3756" w:rsidR="00431C1C" w:rsidRPr="00784E80" w:rsidRDefault="00465FB3" w:rsidP="00431C1C">
      <w:pPr>
        <w:spacing w:line="360" w:lineRule="auto"/>
        <w:jc w:val="center"/>
        <w:rPr>
          <w:b/>
          <w:bCs/>
        </w:rPr>
      </w:pPr>
      <w:r w:rsidRPr="00784E80">
        <w:rPr>
          <w:b/>
          <w:bCs/>
        </w:rPr>
        <w:t xml:space="preserve">Rolando Eyzaguirre </w:t>
      </w:r>
      <w:proofErr w:type="spellStart"/>
      <w:r w:rsidRPr="00784E80">
        <w:rPr>
          <w:b/>
          <w:bCs/>
        </w:rPr>
        <w:t>Maccan</w:t>
      </w:r>
      <w:proofErr w:type="spellEnd"/>
      <w:r w:rsidRPr="00784E80">
        <w:rPr>
          <w:b/>
          <w:bCs/>
        </w:rPr>
        <w:t xml:space="preserve"> </w:t>
      </w:r>
      <w:r w:rsidR="00431C1C" w:rsidRPr="00784E80">
        <w:rPr>
          <w:b/>
          <w:bCs/>
        </w:rPr>
        <w:t>– Vocal</w:t>
      </w:r>
    </w:p>
    <w:p w14:paraId="0DA96C46" w14:textId="77777777" w:rsidR="001631D6" w:rsidRPr="005458A5" w:rsidRDefault="001631D6" w:rsidP="00F15FBA">
      <w:pPr>
        <w:jc w:val="both"/>
        <w:rPr>
          <w:lang w:val="es-PE"/>
        </w:rPr>
      </w:pPr>
    </w:p>
    <w:p w14:paraId="22C77427" w14:textId="77777777" w:rsidR="00F15FBA" w:rsidRPr="00431C1C" w:rsidRDefault="00F15FBA" w:rsidP="00F15FBA">
      <w:pPr>
        <w:rPr>
          <w:sz w:val="23"/>
          <w:szCs w:val="23"/>
        </w:rPr>
      </w:pPr>
    </w:p>
    <w:p w14:paraId="58BFC23A" w14:textId="77777777" w:rsidR="00F15FBA" w:rsidRPr="00431C1C" w:rsidRDefault="00F15FBA" w:rsidP="00F15FBA">
      <w:pPr>
        <w:rPr>
          <w:sz w:val="23"/>
          <w:szCs w:val="23"/>
        </w:rPr>
      </w:pPr>
    </w:p>
    <w:p w14:paraId="164CAA9F" w14:textId="77777777" w:rsidR="00696C75" w:rsidRPr="00431C1C" w:rsidRDefault="00696C75">
      <w:pPr>
        <w:rPr>
          <w:sz w:val="23"/>
          <w:szCs w:val="23"/>
        </w:rPr>
      </w:pPr>
    </w:p>
    <w:sectPr w:rsidR="00696C75" w:rsidRPr="00431C1C" w:rsidSect="00696C75">
      <w:headerReference w:type="default" r:id="rId10"/>
      <w:footerReference w:type="default" r:id="rId11"/>
      <w:pgSz w:w="11907" w:h="16840" w:code="9"/>
      <w:pgMar w:top="1985" w:right="1418" w:bottom="1418"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3A533B4" w14:textId="77777777" w:rsidR="001A0773" w:rsidRDefault="001A0773" w:rsidP="005F148C">
      <w:r>
        <w:separator/>
      </w:r>
    </w:p>
  </w:endnote>
  <w:endnote w:type="continuationSeparator" w:id="0">
    <w:p w14:paraId="5D7891F0" w14:textId="77777777" w:rsidR="001A0773" w:rsidRDefault="001A0773" w:rsidP="005F148C">
      <w:r>
        <w:continuationSeparator/>
      </w:r>
    </w:p>
  </w:endnote>
  <w:endnote w:type="continuationNotice" w:id="1">
    <w:p w14:paraId="4B75B557" w14:textId="77777777" w:rsidR="00652FC8" w:rsidRDefault="00652FC8"/>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00"/>
    <w:family w:val="roman"/>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18"/>
        <w:szCs w:val="18"/>
      </w:rPr>
      <w:id w:val="1679697348"/>
      <w:docPartObj>
        <w:docPartGallery w:val="Page Numbers (Bottom of Page)"/>
        <w:docPartUnique/>
      </w:docPartObj>
    </w:sdtPr>
    <w:sdtContent>
      <w:sdt>
        <w:sdtPr>
          <w:rPr>
            <w:sz w:val="18"/>
            <w:szCs w:val="18"/>
          </w:rPr>
          <w:id w:val="-1769616900"/>
          <w:docPartObj>
            <w:docPartGallery w:val="Page Numbers (Top of Page)"/>
            <w:docPartUnique/>
          </w:docPartObj>
        </w:sdtPr>
        <w:sdtContent>
          <w:p w14:paraId="01AF7AB7" w14:textId="530997BF" w:rsidR="001631D6" w:rsidRPr="001631D6" w:rsidRDefault="001631D6">
            <w:pPr>
              <w:pStyle w:val="Footer"/>
              <w:jc w:val="right"/>
              <w:rPr>
                <w:sz w:val="18"/>
                <w:szCs w:val="18"/>
              </w:rPr>
            </w:pPr>
            <w:r w:rsidRPr="00045C71">
              <w:rPr>
                <w:sz w:val="20"/>
                <w:szCs w:val="20"/>
              </w:rPr>
              <w:t>Página</w:t>
            </w:r>
            <w:r w:rsidRPr="001F1C40">
              <w:rPr>
                <w:sz w:val="18"/>
                <w:szCs w:val="18"/>
              </w:rPr>
              <w:t xml:space="preserve"> </w:t>
            </w:r>
            <w:r w:rsidRPr="001F1C40">
              <w:rPr>
                <w:b/>
                <w:bCs/>
                <w:sz w:val="18"/>
                <w:szCs w:val="18"/>
              </w:rPr>
              <w:fldChar w:fldCharType="begin"/>
            </w:r>
            <w:r w:rsidRPr="001F1C40">
              <w:rPr>
                <w:b/>
                <w:bCs/>
                <w:sz w:val="18"/>
                <w:szCs w:val="18"/>
              </w:rPr>
              <w:instrText>PAGE</w:instrText>
            </w:r>
            <w:r w:rsidRPr="001F1C40">
              <w:rPr>
                <w:b/>
                <w:bCs/>
                <w:sz w:val="18"/>
                <w:szCs w:val="18"/>
              </w:rPr>
              <w:fldChar w:fldCharType="separate"/>
            </w:r>
            <w:r w:rsidRPr="001F1C40">
              <w:rPr>
                <w:b/>
                <w:bCs/>
                <w:sz w:val="18"/>
                <w:szCs w:val="18"/>
              </w:rPr>
              <w:t>2</w:t>
            </w:r>
            <w:r w:rsidRPr="001F1C40">
              <w:rPr>
                <w:b/>
                <w:bCs/>
                <w:sz w:val="18"/>
                <w:szCs w:val="18"/>
              </w:rPr>
              <w:fldChar w:fldCharType="end"/>
            </w:r>
            <w:r w:rsidRPr="001F1C40">
              <w:rPr>
                <w:sz w:val="18"/>
                <w:szCs w:val="18"/>
              </w:rPr>
              <w:t xml:space="preserve"> de </w:t>
            </w:r>
            <w:r w:rsidRPr="001F1C40">
              <w:rPr>
                <w:b/>
                <w:bCs/>
                <w:sz w:val="18"/>
                <w:szCs w:val="18"/>
              </w:rPr>
              <w:fldChar w:fldCharType="begin"/>
            </w:r>
            <w:r w:rsidRPr="001F1C40">
              <w:rPr>
                <w:b/>
                <w:bCs/>
                <w:sz w:val="18"/>
                <w:szCs w:val="18"/>
              </w:rPr>
              <w:instrText>NUMPAGES</w:instrText>
            </w:r>
            <w:r w:rsidRPr="001F1C40">
              <w:rPr>
                <w:b/>
                <w:bCs/>
                <w:sz w:val="18"/>
                <w:szCs w:val="18"/>
              </w:rPr>
              <w:fldChar w:fldCharType="separate"/>
            </w:r>
            <w:r w:rsidRPr="001F1C40">
              <w:rPr>
                <w:b/>
                <w:bCs/>
                <w:sz w:val="18"/>
                <w:szCs w:val="18"/>
              </w:rPr>
              <w:t>2</w:t>
            </w:r>
            <w:r w:rsidRPr="001F1C40">
              <w:rPr>
                <w:b/>
                <w:bCs/>
                <w:sz w:val="18"/>
                <w:szCs w:val="18"/>
              </w:rPr>
              <w:fldChar w:fldCharType="end"/>
            </w:r>
          </w:p>
        </w:sdtContent>
      </w:sdt>
    </w:sdtContent>
  </w:sdt>
  <w:p w14:paraId="5E55DA88" w14:textId="77777777" w:rsidR="001631D6" w:rsidRDefault="001631D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6978C55" w14:textId="77777777" w:rsidR="001A0773" w:rsidRDefault="001A0773" w:rsidP="005F148C">
      <w:r>
        <w:separator/>
      </w:r>
    </w:p>
  </w:footnote>
  <w:footnote w:type="continuationSeparator" w:id="0">
    <w:p w14:paraId="3E56A4F6" w14:textId="77777777" w:rsidR="001A0773" w:rsidRDefault="001A0773" w:rsidP="005F148C">
      <w:r>
        <w:continuationSeparator/>
      </w:r>
    </w:p>
  </w:footnote>
  <w:footnote w:type="continuationNotice" w:id="1">
    <w:p w14:paraId="258EDDE4" w14:textId="77777777" w:rsidR="00652FC8" w:rsidRDefault="00652FC8"/>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38E125" w14:textId="2F2F027B" w:rsidR="001631D6" w:rsidRDefault="001631D6">
    <w:pPr>
      <w:pStyle w:val="Header"/>
    </w:pPr>
    <w:r>
      <w:rPr>
        <w:noProof/>
      </w:rPr>
      <w:drawing>
        <wp:inline distT="0" distB="0" distL="0" distR="0" wp14:anchorId="2EECEDB8" wp14:editId="52687486">
          <wp:extent cx="2095500" cy="709671"/>
          <wp:effectExtent l="0" t="0" r="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
                  <a:srcRect t="19452" b="20309"/>
                  <a:stretch/>
                </pic:blipFill>
                <pic:spPr bwMode="auto">
                  <a:xfrm>
                    <a:off x="0" y="0"/>
                    <a:ext cx="2134010" cy="722713"/>
                  </a:xfrm>
                  <a:prstGeom prst="rect">
                    <a:avLst/>
                  </a:prstGeom>
                  <a:ln>
                    <a:noFill/>
                  </a:ln>
                  <a:extLst>
                    <a:ext uri="{53640926-AAD7-44D8-BBD7-CCE9431645EC}">
                      <a14:shadowObscured xmlns:a14="http://schemas.microsoft.com/office/drawing/2010/main"/>
                    </a:ext>
                  </a:extLst>
                </pic:spPr>
              </pic:pic>
            </a:graphicData>
          </a:graphic>
        </wp:inline>
      </w:drawing>
    </w:r>
  </w:p>
  <w:p w14:paraId="322E2FE4" w14:textId="77777777" w:rsidR="001631D6" w:rsidRDefault="001631D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BF21D7"/>
    <w:multiLevelType w:val="hybridMultilevel"/>
    <w:tmpl w:val="5E8CA37A"/>
    <w:lvl w:ilvl="0" w:tplc="2D662614">
      <w:start w:val="1"/>
      <w:numFmt w:val="lowerLetter"/>
      <w:lvlText w:val="%1)"/>
      <w:lvlJc w:val="left"/>
      <w:pPr>
        <w:ind w:left="720" w:hanging="360"/>
      </w:pPr>
      <w:rPr>
        <w:rFonts w:ascii="Times New Roman" w:eastAsiaTheme="minorHAnsi" w:hAnsi="Times New Roman" w:cs="Times New Roman"/>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 w15:restartNumberingAfterBreak="0">
    <w:nsid w:val="06E82461"/>
    <w:multiLevelType w:val="hybridMultilevel"/>
    <w:tmpl w:val="B554D746"/>
    <w:lvl w:ilvl="0" w:tplc="7F14B150">
      <w:start w:val="1"/>
      <w:numFmt w:val="lowerRoman"/>
      <w:lvlText w:val="%1)"/>
      <w:lvlJc w:val="left"/>
      <w:pPr>
        <w:ind w:left="1080" w:hanging="72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2" w15:restartNumberingAfterBreak="0">
    <w:nsid w:val="0C3E6839"/>
    <w:multiLevelType w:val="hybridMultilevel"/>
    <w:tmpl w:val="E6B4266C"/>
    <w:lvl w:ilvl="0" w:tplc="BD20F32E">
      <w:start w:val="1"/>
      <w:numFmt w:val="bullet"/>
      <w:lvlText w:val="-"/>
      <w:lvlJc w:val="left"/>
      <w:pPr>
        <w:ind w:left="720" w:hanging="360"/>
      </w:pPr>
      <w:rPr>
        <w:rFonts w:ascii="Times New Roman" w:eastAsiaTheme="minorHAnsi" w:hAnsi="Times New Roman" w:cs="Times New Roman"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3" w15:restartNumberingAfterBreak="0">
    <w:nsid w:val="1C162AD0"/>
    <w:multiLevelType w:val="hybridMultilevel"/>
    <w:tmpl w:val="629C5632"/>
    <w:lvl w:ilvl="0" w:tplc="8EF8314A">
      <w:start w:val="1"/>
      <w:numFmt w:val="lowerRoman"/>
      <w:lvlText w:val="(%1)"/>
      <w:lvlJc w:val="left"/>
      <w:pPr>
        <w:ind w:left="1080" w:hanging="72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4" w15:restartNumberingAfterBreak="0">
    <w:nsid w:val="23DC7456"/>
    <w:multiLevelType w:val="hybridMultilevel"/>
    <w:tmpl w:val="725C9C0A"/>
    <w:lvl w:ilvl="0" w:tplc="280A0011">
      <w:start w:val="1"/>
      <w:numFmt w:val="decimal"/>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5" w15:restartNumberingAfterBreak="0">
    <w:nsid w:val="35A37979"/>
    <w:multiLevelType w:val="hybridMultilevel"/>
    <w:tmpl w:val="F07EB022"/>
    <w:lvl w:ilvl="0" w:tplc="647ED092">
      <w:start w:val="1"/>
      <w:numFmt w:val="lowerRoman"/>
      <w:lvlText w:val="(%1)"/>
      <w:lvlJc w:val="left"/>
      <w:pPr>
        <w:ind w:left="1080" w:hanging="72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15:restartNumberingAfterBreak="0">
    <w:nsid w:val="4AD1752B"/>
    <w:multiLevelType w:val="multilevel"/>
    <w:tmpl w:val="9CD8AB76"/>
    <w:lvl w:ilvl="0">
      <w:start w:val="6"/>
      <w:numFmt w:val="decimal"/>
      <w:lvlText w:val="%1."/>
      <w:lvlJc w:val="left"/>
      <w:pPr>
        <w:ind w:left="390" w:hanging="39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7" w15:restartNumberingAfterBreak="0">
    <w:nsid w:val="6C7A50F3"/>
    <w:multiLevelType w:val="hybridMultilevel"/>
    <w:tmpl w:val="19DA20C4"/>
    <w:lvl w:ilvl="0" w:tplc="2E6413E8">
      <w:numFmt w:val="bullet"/>
      <w:lvlText w:val="-"/>
      <w:lvlJc w:val="left"/>
      <w:pPr>
        <w:ind w:left="720" w:hanging="360"/>
      </w:pPr>
      <w:rPr>
        <w:rFonts w:ascii="Times New Roman" w:eastAsiaTheme="minorHAnsi" w:hAnsi="Times New Roman" w:cs="Times New Roman" w:hint="default"/>
      </w:rPr>
    </w:lvl>
    <w:lvl w:ilvl="1" w:tplc="280A0003">
      <w:start w:val="1"/>
      <w:numFmt w:val="bullet"/>
      <w:lvlText w:val="o"/>
      <w:lvlJc w:val="left"/>
      <w:pPr>
        <w:ind w:left="1440" w:hanging="360"/>
      </w:pPr>
      <w:rPr>
        <w:rFonts w:ascii="Courier New" w:hAnsi="Courier New" w:cs="Courier New" w:hint="default"/>
      </w:rPr>
    </w:lvl>
    <w:lvl w:ilvl="2" w:tplc="280A0005">
      <w:start w:val="1"/>
      <w:numFmt w:val="bullet"/>
      <w:lvlText w:val=""/>
      <w:lvlJc w:val="left"/>
      <w:pPr>
        <w:ind w:left="2160" w:hanging="360"/>
      </w:pPr>
      <w:rPr>
        <w:rFonts w:ascii="Wingdings" w:hAnsi="Wingdings" w:hint="default"/>
      </w:rPr>
    </w:lvl>
    <w:lvl w:ilvl="3" w:tplc="280A0001">
      <w:start w:val="1"/>
      <w:numFmt w:val="bullet"/>
      <w:lvlText w:val=""/>
      <w:lvlJc w:val="left"/>
      <w:pPr>
        <w:ind w:left="2880" w:hanging="360"/>
      </w:pPr>
      <w:rPr>
        <w:rFonts w:ascii="Symbol" w:hAnsi="Symbol" w:hint="default"/>
      </w:rPr>
    </w:lvl>
    <w:lvl w:ilvl="4" w:tplc="280A0003">
      <w:start w:val="1"/>
      <w:numFmt w:val="bullet"/>
      <w:lvlText w:val="o"/>
      <w:lvlJc w:val="left"/>
      <w:pPr>
        <w:ind w:left="3600" w:hanging="360"/>
      </w:pPr>
      <w:rPr>
        <w:rFonts w:ascii="Courier New" w:hAnsi="Courier New" w:cs="Courier New" w:hint="default"/>
      </w:rPr>
    </w:lvl>
    <w:lvl w:ilvl="5" w:tplc="280A0005">
      <w:start w:val="1"/>
      <w:numFmt w:val="bullet"/>
      <w:lvlText w:val=""/>
      <w:lvlJc w:val="left"/>
      <w:pPr>
        <w:ind w:left="4320" w:hanging="360"/>
      </w:pPr>
      <w:rPr>
        <w:rFonts w:ascii="Wingdings" w:hAnsi="Wingdings" w:hint="default"/>
      </w:rPr>
    </w:lvl>
    <w:lvl w:ilvl="6" w:tplc="280A0001">
      <w:start w:val="1"/>
      <w:numFmt w:val="bullet"/>
      <w:lvlText w:val=""/>
      <w:lvlJc w:val="left"/>
      <w:pPr>
        <w:ind w:left="5040" w:hanging="360"/>
      </w:pPr>
      <w:rPr>
        <w:rFonts w:ascii="Symbol" w:hAnsi="Symbol" w:hint="default"/>
      </w:rPr>
    </w:lvl>
    <w:lvl w:ilvl="7" w:tplc="280A0003">
      <w:start w:val="1"/>
      <w:numFmt w:val="bullet"/>
      <w:lvlText w:val="o"/>
      <w:lvlJc w:val="left"/>
      <w:pPr>
        <w:ind w:left="5760" w:hanging="360"/>
      </w:pPr>
      <w:rPr>
        <w:rFonts w:ascii="Courier New" w:hAnsi="Courier New" w:cs="Courier New" w:hint="default"/>
      </w:rPr>
    </w:lvl>
    <w:lvl w:ilvl="8" w:tplc="280A0005">
      <w:start w:val="1"/>
      <w:numFmt w:val="bullet"/>
      <w:lvlText w:val=""/>
      <w:lvlJc w:val="left"/>
      <w:pPr>
        <w:ind w:left="6480" w:hanging="360"/>
      </w:pPr>
      <w:rPr>
        <w:rFonts w:ascii="Wingdings" w:hAnsi="Wingdings" w:hint="default"/>
      </w:rPr>
    </w:lvl>
  </w:abstractNum>
  <w:abstractNum w:abstractNumId="8" w15:restartNumberingAfterBreak="0">
    <w:nsid w:val="6E5B6544"/>
    <w:multiLevelType w:val="hybridMultilevel"/>
    <w:tmpl w:val="7980BE00"/>
    <w:lvl w:ilvl="0" w:tplc="C4A0C4CE">
      <w:start w:val="1"/>
      <w:numFmt w:val="bullet"/>
      <w:lvlText w:val=""/>
      <w:lvlJc w:val="left"/>
      <w:pPr>
        <w:tabs>
          <w:tab w:val="num" w:pos="720"/>
        </w:tabs>
        <w:ind w:left="720" w:hanging="360"/>
      </w:pPr>
      <w:rPr>
        <w:rFonts w:ascii="Wingdings" w:hAnsi="Wingdings" w:hint="default"/>
      </w:rPr>
    </w:lvl>
    <w:lvl w:ilvl="1" w:tplc="080A0003">
      <w:start w:val="1"/>
      <w:numFmt w:val="bullet"/>
      <w:lvlText w:val="o"/>
      <w:lvlJc w:val="left"/>
      <w:pPr>
        <w:tabs>
          <w:tab w:val="num" w:pos="1440"/>
        </w:tabs>
        <w:ind w:left="1440" w:hanging="360"/>
      </w:pPr>
      <w:rPr>
        <w:rFonts w:ascii="Courier New" w:hAnsi="Courier New" w:cs="Courier New" w:hint="default"/>
      </w:rPr>
    </w:lvl>
    <w:lvl w:ilvl="2" w:tplc="080A0005">
      <w:start w:val="1"/>
      <w:numFmt w:val="bullet"/>
      <w:lvlText w:val=""/>
      <w:lvlJc w:val="left"/>
      <w:pPr>
        <w:tabs>
          <w:tab w:val="num" w:pos="2160"/>
        </w:tabs>
        <w:ind w:left="2160" w:hanging="360"/>
      </w:pPr>
      <w:rPr>
        <w:rFonts w:ascii="Wingdings" w:hAnsi="Wingdings" w:hint="default"/>
      </w:rPr>
    </w:lvl>
    <w:lvl w:ilvl="3" w:tplc="080A0001">
      <w:start w:val="1"/>
      <w:numFmt w:val="bullet"/>
      <w:lvlText w:val=""/>
      <w:lvlJc w:val="left"/>
      <w:pPr>
        <w:tabs>
          <w:tab w:val="num" w:pos="2880"/>
        </w:tabs>
        <w:ind w:left="2880" w:hanging="360"/>
      </w:pPr>
      <w:rPr>
        <w:rFonts w:ascii="Symbol" w:hAnsi="Symbol" w:hint="default"/>
      </w:rPr>
    </w:lvl>
    <w:lvl w:ilvl="4" w:tplc="080A0003">
      <w:start w:val="1"/>
      <w:numFmt w:val="bullet"/>
      <w:lvlText w:val="o"/>
      <w:lvlJc w:val="left"/>
      <w:pPr>
        <w:tabs>
          <w:tab w:val="num" w:pos="3600"/>
        </w:tabs>
        <w:ind w:left="3600" w:hanging="360"/>
      </w:pPr>
      <w:rPr>
        <w:rFonts w:ascii="Courier New" w:hAnsi="Courier New" w:cs="Courier New" w:hint="default"/>
      </w:rPr>
    </w:lvl>
    <w:lvl w:ilvl="5" w:tplc="080A0005">
      <w:start w:val="1"/>
      <w:numFmt w:val="bullet"/>
      <w:lvlText w:val=""/>
      <w:lvlJc w:val="left"/>
      <w:pPr>
        <w:tabs>
          <w:tab w:val="num" w:pos="4320"/>
        </w:tabs>
        <w:ind w:left="4320" w:hanging="360"/>
      </w:pPr>
      <w:rPr>
        <w:rFonts w:ascii="Wingdings" w:hAnsi="Wingdings" w:hint="default"/>
      </w:rPr>
    </w:lvl>
    <w:lvl w:ilvl="6" w:tplc="080A0001">
      <w:start w:val="1"/>
      <w:numFmt w:val="bullet"/>
      <w:lvlText w:val=""/>
      <w:lvlJc w:val="left"/>
      <w:pPr>
        <w:tabs>
          <w:tab w:val="num" w:pos="5040"/>
        </w:tabs>
        <w:ind w:left="5040" w:hanging="360"/>
      </w:pPr>
      <w:rPr>
        <w:rFonts w:ascii="Symbol" w:hAnsi="Symbol" w:hint="default"/>
      </w:rPr>
    </w:lvl>
    <w:lvl w:ilvl="7" w:tplc="080A0003">
      <w:start w:val="1"/>
      <w:numFmt w:val="bullet"/>
      <w:lvlText w:val="o"/>
      <w:lvlJc w:val="left"/>
      <w:pPr>
        <w:tabs>
          <w:tab w:val="num" w:pos="5760"/>
        </w:tabs>
        <w:ind w:left="5760" w:hanging="360"/>
      </w:pPr>
      <w:rPr>
        <w:rFonts w:ascii="Courier New" w:hAnsi="Courier New" w:cs="Courier New" w:hint="default"/>
      </w:rPr>
    </w:lvl>
    <w:lvl w:ilvl="8" w:tplc="080A0005">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76741F7E"/>
    <w:multiLevelType w:val="hybridMultilevel"/>
    <w:tmpl w:val="65B8D46A"/>
    <w:lvl w:ilvl="0" w:tplc="280A0017">
      <w:start w:val="1"/>
      <w:numFmt w:val="lowerLetter"/>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0" w15:restartNumberingAfterBreak="0">
    <w:nsid w:val="7676708B"/>
    <w:multiLevelType w:val="hybridMultilevel"/>
    <w:tmpl w:val="8A708CDE"/>
    <w:lvl w:ilvl="0" w:tplc="280A000F">
      <w:start w:val="1"/>
      <w:numFmt w:val="decimal"/>
      <w:lvlText w:val="%1."/>
      <w:lvlJc w:val="left"/>
      <w:pPr>
        <w:ind w:left="360" w:hanging="360"/>
      </w:pPr>
      <w:rPr>
        <w:rFonts w:hint="default"/>
      </w:rPr>
    </w:lvl>
    <w:lvl w:ilvl="1" w:tplc="280A0019" w:tentative="1">
      <w:start w:val="1"/>
      <w:numFmt w:val="lowerLetter"/>
      <w:lvlText w:val="%2."/>
      <w:lvlJc w:val="left"/>
      <w:pPr>
        <w:ind w:left="1080" w:hanging="360"/>
      </w:pPr>
    </w:lvl>
    <w:lvl w:ilvl="2" w:tplc="280A001B" w:tentative="1">
      <w:start w:val="1"/>
      <w:numFmt w:val="lowerRoman"/>
      <w:lvlText w:val="%3."/>
      <w:lvlJc w:val="right"/>
      <w:pPr>
        <w:ind w:left="1800" w:hanging="180"/>
      </w:pPr>
    </w:lvl>
    <w:lvl w:ilvl="3" w:tplc="280A000F" w:tentative="1">
      <w:start w:val="1"/>
      <w:numFmt w:val="decimal"/>
      <w:lvlText w:val="%4."/>
      <w:lvlJc w:val="left"/>
      <w:pPr>
        <w:ind w:left="2520" w:hanging="360"/>
      </w:pPr>
    </w:lvl>
    <w:lvl w:ilvl="4" w:tplc="280A0019" w:tentative="1">
      <w:start w:val="1"/>
      <w:numFmt w:val="lowerLetter"/>
      <w:lvlText w:val="%5."/>
      <w:lvlJc w:val="left"/>
      <w:pPr>
        <w:ind w:left="3240" w:hanging="360"/>
      </w:pPr>
    </w:lvl>
    <w:lvl w:ilvl="5" w:tplc="280A001B" w:tentative="1">
      <w:start w:val="1"/>
      <w:numFmt w:val="lowerRoman"/>
      <w:lvlText w:val="%6."/>
      <w:lvlJc w:val="right"/>
      <w:pPr>
        <w:ind w:left="3960" w:hanging="180"/>
      </w:pPr>
    </w:lvl>
    <w:lvl w:ilvl="6" w:tplc="280A000F" w:tentative="1">
      <w:start w:val="1"/>
      <w:numFmt w:val="decimal"/>
      <w:lvlText w:val="%7."/>
      <w:lvlJc w:val="left"/>
      <w:pPr>
        <w:ind w:left="4680" w:hanging="360"/>
      </w:pPr>
    </w:lvl>
    <w:lvl w:ilvl="7" w:tplc="280A0019" w:tentative="1">
      <w:start w:val="1"/>
      <w:numFmt w:val="lowerLetter"/>
      <w:lvlText w:val="%8."/>
      <w:lvlJc w:val="left"/>
      <w:pPr>
        <w:ind w:left="5400" w:hanging="360"/>
      </w:pPr>
    </w:lvl>
    <w:lvl w:ilvl="8" w:tplc="280A001B" w:tentative="1">
      <w:start w:val="1"/>
      <w:numFmt w:val="lowerRoman"/>
      <w:lvlText w:val="%9."/>
      <w:lvlJc w:val="right"/>
      <w:pPr>
        <w:ind w:left="6120" w:hanging="180"/>
      </w:pPr>
    </w:lvl>
  </w:abstractNum>
  <w:num w:numId="1" w16cid:durableId="1462531320">
    <w:abstractNumId w:val="0"/>
  </w:num>
  <w:num w:numId="2" w16cid:durableId="1517769073">
    <w:abstractNumId w:val="7"/>
  </w:num>
  <w:num w:numId="3" w16cid:durableId="1147016294">
    <w:abstractNumId w:val="1"/>
  </w:num>
  <w:num w:numId="4" w16cid:durableId="2137017471">
    <w:abstractNumId w:val="10"/>
  </w:num>
  <w:num w:numId="5" w16cid:durableId="367725557">
    <w:abstractNumId w:val="8"/>
  </w:num>
  <w:num w:numId="6" w16cid:durableId="191890654">
    <w:abstractNumId w:val="5"/>
  </w:num>
  <w:num w:numId="7" w16cid:durableId="711616363">
    <w:abstractNumId w:val="6"/>
  </w:num>
  <w:num w:numId="8" w16cid:durableId="851064749">
    <w:abstractNumId w:val="9"/>
  </w:num>
  <w:num w:numId="9" w16cid:durableId="579097392">
    <w:abstractNumId w:val="4"/>
  </w:num>
  <w:num w:numId="10" w16cid:durableId="1609702829">
    <w:abstractNumId w:val="2"/>
  </w:num>
  <w:num w:numId="11" w16cid:durableId="685866569">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15FBA"/>
    <w:rsid w:val="00007872"/>
    <w:rsid w:val="0001004C"/>
    <w:rsid w:val="000100D3"/>
    <w:rsid w:val="00011C00"/>
    <w:rsid w:val="000155B3"/>
    <w:rsid w:val="00020318"/>
    <w:rsid w:val="000219B0"/>
    <w:rsid w:val="00024CD3"/>
    <w:rsid w:val="00026017"/>
    <w:rsid w:val="00032526"/>
    <w:rsid w:val="00035CCC"/>
    <w:rsid w:val="00045C71"/>
    <w:rsid w:val="00046046"/>
    <w:rsid w:val="00052190"/>
    <w:rsid w:val="00060B02"/>
    <w:rsid w:val="00084E51"/>
    <w:rsid w:val="00087C49"/>
    <w:rsid w:val="00090B7C"/>
    <w:rsid w:val="00094DDA"/>
    <w:rsid w:val="000A6362"/>
    <w:rsid w:val="000B2E0B"/>
    <w:rsid w:val="000C443A"/>
    <w:rsid w:val="000D0AE4"/>
    <w:rsid w:val="000D2700"/>
    <w:rsid w:val="000D2873"/>
    <w:rsid w:val="000D588E"/>
    <w:rsid w:val="000E4EC3"/>
    <w:rsid w:val="000F11A9"/>
    <w:rsid w:val="000F2C43"/>
    <w:rsid w:val="000F71B9"/>
    <w:rsid w:val="00103188"/>
    <w:rsid w:val="00112332"/>
    <w:rsid w:val="00116B06"/>
    <w:rsid w:val="00131FAD"/>
    <w:rsid w:val="001338D3"/>
    <w:rsid w:val="00135A6B"/>
    <w:rsid w:val="00140C67"/>
    <w:rsid w:val="00144FD6"/>
    <w:rsid w:val="001454A5"/>
    <w:rsid w:val="00160F6F"/>
    <w:rsid w:val="001631D6"/>
    <w:rsid w:val="00165D20"/>
    <w:rsid w:val="00180103"/>
    <w:rsid w:val="001824DC"/>
    <w:rsid w:val="0019100A"/>
    <w:rsid w:val="00195646"/>
    <w:rsid w:val="001A0773"/>
    <w:rsid w:val="001A2C59"/>
    <w:rsid w:val="001A3593"/>
    <w:rsid w:val="001A6663"/>
    <w:rsid w:val="001B5AC4"/>
    <w:rsid w:val="001B6607"/>
    <w:rsid w:val="001C2B16"/>
    <w:rsid w:val="001D01FD"/>
    <w:rsid w:val="001E1429"/>
    <w:rsid w:val="001E3693"/>
    <w:rsid w:val="001E6B7D"/>
    <w:rsid w:val="001F004E"/>
    <w:rsid w:val="001F1C40"/>
    <w:rsid w:val="001F545A"/>
    <w:rsid w:val="0020442B"/>
    <w:rsid w:val="00204652"/>
    <w:rsid w:val="002065BC"/>
    <w:rsid w:val="00213531"/>
    <w:rsid w:val="00233ED8"/>
    <w:rsid w:val="002370F4"/>
    <w:rsid w:val="00253FC9"/>
    <w:rsid w:val="00270FE8"/>
    <w:rsid w:val="00281026"/>
    <w:rsid w:val="00281D46"/>
    <w:rsid w:val="002916FB"/>
    <w:rsid w:val="00291A5D"/>
    <w:rsid w:val="00295A4E"/>
    <w:rsid w:val="002A07EA"/>
    <w:rsid w:val="002A2188"/>
    <w:rsid w:val="002A76BF"/>
    <w:rsid w:val="002B14D5"/>
    <w:rsid w:val="002B3752"/>
    <w:rsid w:val="002B4642"/>
    <w:rsid w:val="002C34D3"/>
    <w:rsid w:val="002C5AB4"/>
    <w:rsid w:val="002D3B64"/>
    <w:rsid w:val="002E35A4"/>
    <w:rsid w:val="002E708C"/>
    <w:rsid w:val="002F04C6"/>
    <w:rsid w:val="00304A8F"/>
    <w:rsid w:val="00316A1B"/>
    <w:rsid w:val="0032570B"/>
    <w:rsid w:val="0032619A"/>
    <w:rsid w:val="00330027"/>
    <w:rsid w:val="00330DA1"/>
    <w:rsid w:val="003361A7"/>
    <w:rsid w:val="00345711"/>
    <w:rsid w:val="00346A0A"/>
    <w:rsid w:val="00377224"/>
    <w:rsid w:val="003838E2"/>
    <w:rsid w:val="00387D41"/>
    <w:rsid w:val="00395B94"/>
    <w:rsid w:val="003977C8"/>
    <w:rsid w:val="003A7726"/>
    <w:rsid w:val="003B46E3"/>
    <w:rsid w:val="003B4770"/>
    <w:rsid w:val="003B5737"/>
    <w:rsid w:val="003D02CA"/>
    <w:rsid w:val="003D5224"/>
    <w:rsid w:val="003E0C15"/>
    <w:rsid w:val="003E140C"/>
    <w:rsid w:val="003E4270"/>
    <w:rsid w:val="003E6BA6"/>
    <w:rsid w:val="003F6113"/>
    <w:rsid w:val="0040198F"/>
    <w:rsid w:val="00401DE3"/>
    <w:rsid w:val="00417664"/>
    <w:rsid w:val="00417E23"/>
    <w:rsid w:val="004248A1"/>
    <w:rsid w:val="00431C1C"/>
    <w:rsid w:val="00447D8A"/>
    <w:rsid w:val="00455A27"/>
    <w:rsid w:val="0046281D"/>
    <w:rsid w:val="00465FB3"/>
    <w:rsid w:val="00467825"/>
    <w:rsid w:val="00477D05"/>
    <w:rsid w:val="00481EC6"/>
    <w:rsid w:val="004832BF"/>
    <w:rsid w:val="004854D9"/>
    <w:rsid w:val="004950BD"/>
    <w:rsid w:val="00497FEF"/>
    <w:rsid w:val="004A0B68"/>
    <w:rsid w:val="004A5CF8"/>
    <w:rsid w:val="004A5F55"/>
    <w:rsid w:val="004B1DA9"/>
    <w:rsid w:val="004B40BC"/>
    <w:rsid w:val="004E50D6"/>
    <w:rsid w:val="004E6F23"/>
    <w:rsid w:val="004F1C73"/>
    <w:rsid w:val="004F639E"/>
    <w:rsid w:val="005033C0"/>
    <w:rsid w:val="0051559A"/>
    <w:rsid w:val="00516549"/>
    <w:rsid w:val="005204A7"/>
    <w:rsid w:val="00531FBE"/>
    <w:rsid w:val="005458A5"/>
    <w:rsid w:val="0057606C"/>
    <w:rsid w:val="005768AD"/>
    <w:rsid w:val="00576CFD"/>
    <w:rsid w:val="00577AEB"/>
    <w:rsid w:val="0058358B"/>
    <w:rsid w:val="005C5922"/>
    <w:rsid w:val="005D0FF2"/>
    <w:rsid w:val="005D1408"/>
    <w:rsid w:val="005D1456"/>
    <w:rsid w:val="005D380C"/>
    <w:rsid w:val="005D3AFA"/>
    <w:rsid w:val="005E0FE6"/>
    <w:rsid w:val="005F1349"/>
    <w:rsid w:val="005F148C"/>
    <w:rsid w:val="006024A3"/>
    <w:rsid w:val="00632AD1"/>
    <w:rsid w:val="00642D5C"/>
    <w:rsid w:val="00647AEE"/>
    <w:rsid w:val="00651449"/>
    <w:rsid w:val="00652FC8"/>
    <w:rsid w:val="00680271"/>
    <w:rsid w:val="00690E6E"/>
    <w:rsid w:val="00691CFB"/>
    <w:rsid w:val="0069382D"/>
    <w:rsid w:val="00696C75"/>
    <w:rsid w:val="006A1077"/>
    <w:rsid w:val="006B5A92"/>
    <w:rsid w:val="006B6FAF"/>
    <w:rsid w:val="006B75CA"/>
    <w:rsid w:val="006D33B8"/>
    <w:rsid w:val="006F0762"/>
    <w:rsid w:val="006F4138"/>
    <w:rsid w:val="00711B04"/>
    <w:rsid w:val="007224F7"/>
    <w:rsid w:val="00734447"/>
    <w:rsid w:val="0073577C"/>
    <w:rsid w:val="00742D07"/>
    <w:rsid w:val="007474DB"/>
    <w:rsid w:val="00755439"/>
    <w:rsid w:val="007555C4"/>
    <w:rsid w:val="00782489"/>
    <w:rsid w:val="00784E80"/>
    <w:rsid w:val="007906A4"/>
    <w:rsid w:val="00791676"/>
    <w:rsid w:val="00793F6A"/>
    <w:rsid w:val="0079483C"/>
    <w:rsid w:val="007A01AE"/>
    <w:rsid w:val="007A0AA7"/>
    <w:rsid w:val="007A3050"/>
    <w:rsid w:val="007B23C0"/>
    <w:rsid w:val="007B49ED"/>
    <w:rsid w:val="007B7EE4"/>
    <w:rsid w:val="007C2FC5"/>
    <w:rsid w:val="007C3730"/>
    <w:rsid w:val="007D353F"/>
    <w:rsid w:val="007E0D5E"/>
    <w:rsid w:val="00834B23"/>
    <w:rsid w:val="00834DFE"/>
    <w:rsid w:val="00835D6A"/>
    <w:rsid w:val="00852F98"/>
    <w:rsid w:val="00856A62"/>
    <w:rsid w:val="00864800"/>
    <w:rsid w:val="00865B73"/>
    <w:rsid w:val="00866E41"/>
    <w:rsid w:val="00881041"/>
    <w:rsid w:val="00892A1F"/>
    <w:rsid w:val="008930FB"/>
    <w:rsid w:val="008956D2"/>
    <w:rsid w:val="00895FF5"/>
    <w:rsid w:val="008A1DAB"/>
    <w:rsid w:val="008A67AB"/>
    <w:rsid w:val="008B3BD3"/>
    <w:rsid w:val="008D0547"/>
    <w:rsid w:val="008D570E"/>
    <w:rsid w:val="008D6252"/>
    <w:rsid w:val="0091111A"/>
    <w:rsid w:val="009205B4"/>
    <w:rsid w:val="0092266A"/>
    <w:rsid w:val="00923C62"/>
    <w:rsid w:val="009262B6"/>
    <w:rsid w:val="00934888"/>
    <w:rsid w:val="0096041F"/>
    <w:rsid w:val="00961E21"/>
    <w:rsid w:val="0096583D"/>
    <w:rsid w:val="00970D50"/>
    <w:rsid w:val="009767BB"/>
    <w:rsid w:val="00977F56"/>
    <w:rsid w:val="00991382"/>
    <w:rsid w:val="009A5E32"/>
    <w:rsid w:val="009A7580"/>
    <w:rsid w:val="009B3934"/>
    <w:rsid w:val="009C28AE"/>
    <w:rsid w:val="009C4314"/>
    <w:rsid w:val="009C4A1C"/>
    <w:rsid w:val="009C7D74"/>
    <w:rsid w:val="009E061C"/>
    <w:rsid w:val="009E109A"/>
    <w:rsid w:val="009F7900"/>
    <w:rsid w:val="00A14315"/>
    <w:rsid w:val="00A16B63"/>
    <w:rsid w:val="00A223FC"/>
    <w:rsid w:val="00A23563"/>
    <w:rsid w:val="00A428F9"/>
    <w:rsid w:val="00A435C1"/>
    <w:rsid w:val="00A5165F"/>
    <w:rsid w:val="00A53DA1"/>
    <w:rsid w:val="00A5654F"/>
    <w:rsid w:val="00A650CA"/>
    <w:rsid w:val="00A75F0C"/>
    <w:rsid w:val="00A80BAD"/>
    <w:rsid w:val="00A827BD"/>
    <w:rsid w:val="00A9337A"/>
    <w:rsid w:val="00AC68FA"/>
    <w:rsid w:val="00AC7D5A"/>
    <w:rsid w:val="00AE33DC"/>
    <w:rsid w:val="00AE40BA"/>
    <w:rsid w:val="00AF1407"/>
    <w:rsid w:val="00B04114"/>
    <w:rsid w:val="00B158E7"/>
    <w:rsid w:val="00B17F4D"/>
    <w:rsid w:val="00B23D15"/>
    <w:rsid w:val="00B255AA"/>
    <w:rsid w:val="00B37C91"/>
    <w:rsid w:val="00B5211F"/>
    <w:rsid w:val="00B60E25"/>
    <w:rsid w:val="00B679B0"/>
    <w:rsid w:val="00B773DA"/>
    <w:rsid w:val="00B84B2B"/>
    <w:rsid w:val="00B84F66"/>
    <w:rsid w:val="00BA4554"/>
    <w:rsid w:val="00BA4F2C"/>
    <w:rsid w:val="00BA6133"/>
    <w:rsid w:val="00BB360E"/>
    <w:rsid w:val="00BC6134"/>
    <w:rsid w:val="00BC633A"/>
    <w:rsid w:val="00BD0E2D"/>
    <w:rsid w:val="00BD5FD0"/>
    <w:rsid w:val="00BE0D7E"/>
    <w:rsid w:val="00BF0906"/>
    <w:rsid w:val="00C01AB2"/>
    <w:rsid w:val="00C11655"/>
    <w:rsid w:val="00C13467"/>
    <w:rsid w:val="00C168CE"/>
    <w:rsid w:val="00C21994"/>
    <w:rsid w:val="00C27D78"/>
    <w:rsid w:val="00C41210"/>
    <w:rsid w:val="00C50A93"/>
    <w:rsid w:val="00C52AF0"/>
    <w:rsid w:val="00C81329"/>
    <w:rsid w:val="00C82D62"/>
    <w:rsid w:val="00C85630"/>
    <w:rsid w:val="00C94B19"/>
    <w:rsid w:val="00C9752A"/>
    <w:rsid w:val="00CA4FD6"/>
    <w:rsid w:val="00CA5138"/>
    <w:rsid w:val="00CB451A"/>
    <w:rsid w:val="00CB4665"/>
    <w:rsid w:val="00CB7C37"/>
    <w:rsid w:val="00CC7829"/>
    <w:rsid w:val="00CD43B4"/>
    <w:rsid w:val="00CF3742"/>
    <w:rsid w:val="00D128FF"/>
    <w:rsid w:val="00D13168"/>
    <w:rsid w:val="00D15C1E"/>
    <w:rsid w:val="00D61A48"/>
    <w:rsid w:val="00D64C72"/>
    <w:rsid w:val="00D86E87"/>
    <w:rsid w:val="00D9006E"/>
    <w:rsid w:val="00D92FA2"/>
    <w:rsid w:val="00D9684C"/>
    <w:rsid w:val="00DC2118"/>
    <w:rsid w:val="00DC7958"/>
    <w:rsid w:val="00DD248C"/>
    <w:rsid w:val="00DD7C90"/>
    <w:rsid w:val="00DF2A67"/>
    <w:rsid w:val="00E037D6"/>
    <w:rsid w:val="00E06DE2"/>
    <w:rsid w:val="00E138FB"/>
    <w:rsid w:val="00E1668B"/>
    <w:rsid w:val="00E17CD0"/>
    <w:rsid w:val="00E206AF"/>
    <w:rsid w:val="00E21C09"/>
    <w:rsid w:val="00E254BA"/>
    <w:rsid w:val="00E35821"/>
    <w:rsid w:val="00E405EF"/>
    <w:rsid w:val="00E456E5"/>
    <w:rsid w:val="00E57499"/>
    <w:rsid w:val="00E614D6"/>
    <w:rsid w:val="00E67758"/>
    <w:rsid w:val="00E72B86"/>
    <w:rsid w:val="00E81884"/>
    <w:rsid w:val="00E908BC"/>
    <w:rsid w:val="00E91848"/>
    <w:rsid w:val="00E928C6"/>
    <w:rsid w:val="00E92BE9"/>
    <w:rsid w:val="00EA1FBC"/>
    <w:rsid w:val="00EA47FF"/>
    <w:rsid w:val="00EB0F07"/>
    <w:rsid w:val="00EB6D58"/>
    <w:rsid w:val="00EE0371"/>
    <w:rsid w:val="00EE20A1"/>
    <w:rsid w:val="00EE539F"/>
    <w:rsid w:val="00EE5E23"/>
    <w:rsid w:val="00EF4FF0"/>
    <w:rsid w:val="00F0068B"/>
    <w:rsid w:val="00F00797"/>
    <w:rsid w:val="00F029DD"/>
    <w:rsid w:val="00F1075C"/>
    <w:rsid w:val="00F127E6"/>
    <w:rsid w:val="00F1515F"/>
    <w:rsid w:val="00F15FBA"/>
    <w:rsid w:val="00F202DC"/>
    <w:rsid w:val="00F3706B"/>
    <w:rsid w:val="00F42DC6"/>
    <w:rsid w:val="00F46158"/>
    <w:rsid w:val="00F465F7"/>
    <w:rsid w:val="00F50EFD"/>
    <w:rsid w:val="00F5271B"/>
    <w:rsid w:val="00F61F29"/>
    <w:rsid w:val="00F62606"/>
    <w:rsid w:val="00F71D17"/>
    <w:rsid w:val="00F725FB"/>
    <w:rsid w:val="00F74CEA"/>
    <w:rsid w:val="00F802EF"/>
    <w:rsid w:val="00F8472A"/>
    <w:rsid w:val="00F85B78"/>
    <w:rsid w:val="00F92FE2"/>
    <w:rsid w:val="00F97A17"/>
    <w:rsid w:val="00FA4349"/>
    <w:rsid w:val="00FC2FA6"/>
    <w:rsid w:val="00FF2DB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E208CC"/>
  <w15:chartTrackingRefBased/>
  <w15:docId w15:val="{D6D4D1E9-3D8E-4083-B82D-F166CDB185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31FBE"/>
    <w:pPr>
      <w:spacing w:after="0" w:line="240" w:lineRule="auto"/>
    </w:pPr>
    <w:rPr>
      <w:rFonts w:ascii="Times New Roman" w:eastAsia="Times New Roman" w:hAnsi="Times New Roman" w:cs="Times New Roman"/>
      <w:sz w:val="24"/>
      <w:szCs w:val="24"/>
      <w:lang w:val="es-ES" w:eastAsia="es-ES"/>
    </w:rPr>
  </w:style>
  <w:style w:type="paragraph" w:styleId="Heading1">
    <w:name w:val="heading 1"/>
    <w:basedOn w:val="Normal"/>
    <w:next w:val="Normal"/>
    <w:link w:val="Heading1Char"/>
    <w:uiPriority w:val="99"/>
    <w:qFormat/>
    <w:rsid w:val="000219B0"/>
    <w:pPr>
      <w:keepNext/>
      <w:spacing w:before="240" w:after="60"/>
      <w:outlineLvl w:val="0"/>
    </w:pPr>
    <w:rPr>
      <w:rFonts w:ascii="Cambria" w:hAnsi="Cambria"/>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link w:val="TitleChar"/>
    <w:qFormat/>
    <w:rsid w:val="00F15FBA"/>
    <w:pPr>
      <w:jc w:val="center"/>
    </w:pPr>
    <w:rPr>
      <w:b/>
      <w:bCs/>
      <w:lang w:val="es-MX"/>
    </w:rPr>
  </w:style>
  <w:style w:type="character" w:customStyle="1" w:styleId="TitleChar">
    <w:name w:val="Title Char"/>
    <w:basedOn w:val="DefaultParagraphFont"/>
    <w:link w:val="Title"/>
    <w:rsid w:val="00F15FBA"/>
    <w:rPr>
      <w:rFonts w:ascii="Times New Roman" w:eastAsia="Times New Roman" w:hAnsi="Times New Roman" w:cs="Times New Roman"/>
      <w:b/>
      <w:bCs/>
      <w:sz w:val="24"/>
      <w:szCs w:val="24"/>
      <w:lang w:val="es-MX" w:eastAsia="es-ES"/>
    </w:rPr>
  </w:style>
  <w:style w:type="character" w:styleId="Strong">
    <w:name w:val="Strong"/>
    <w:qFormat/>
    <w:rsid w:val="00F15FBA"/>
    <w:rPr>
      <w:b/>
      <w:bCs/>
    </w:rPr>
  </w:style>
  <w:style w:type="paragraph" w:styleId="ListParagraph">
    <w:name w:val="List Paragraph"/>
    <w:aliases w:val="Number List 1"/>
    <w:basedOn w:val="Normal"/>
    <w:link w:val="ListParagraphChar"/>
    <w:uiPriority w:val="34"/>
    <w:qFormat/>
    <w:rsid w:val="00F15FBA"/>
    <w:pPr>
      <w:ind w:left="720"/>
      <w:contextualSpacing/>
    </w:pPr>
  </w:style>
  <w:style w:type="paragraph" w:styleId="NormalWeb">
    <w:name w:val="Normal (Web)"/>
    <w:basedOn w:val="Normal"/>
    <w:uiPriority w:val="99"/>
    <w:unhideWhenUsed/>
    <w:rsid w:val="00F15FBA"/>
    <w:pPr>
      <w:spacing w:before="100" w:beforeAutospacing="1" w:after="100" w:afterAutospacing="1"/>
    </w:pPr>
  </w:style>
  <w:style w:type="paragraph" w:styleId="EndnoteText">
    <w:name w:val="endnote text"/>
    <w:basedOn w:val="Normal"/>
    <w:link w:val="EndnoteTextChar"/>
    <w:uiPriority w:val="99"/>
    <w:semiHidden/>
    <w:unhideWhenUsed/>
    <w:rsid w:val="005F148C"/>
    <w:rPr>
      <w:sz w:val="20"/>
      <w:szCs w:val="20"/>
    </w:rPr>
  </w:style>
  <w:style w:type="character" w:customStyle="1" w:styleId="EndnoteTextChar">
    <w:name w:val="Endnote Text Char"/>
    <w:basedOn w:val="DefaultParagraphFont"/>
    <w:link w:val="EndnoteText"/>
    <w:uiPriority w:val="99"/>
    <w:semiHidden/>
    <w:rsid w:val="005F148C"/>
    <w:rPr>
      <w:rFonts w:ascii="Times New Roman" w:eastAsia="Times New Roman" w:hAnsi="Times New Roman" w:cs="Times New Roman"/>
      <w:sz w:val="20"/>
      <w:szCs w:val="20"/>
      <w:lang w:val="es-ES" w:eastAsia="es-ES"/>
    </w:rPr>
  </w:style>
  <w:style w:type="character" w:styleId="EndnoteReference">
    <w:name w:val="endnote reference"/>
    <w:basedOn w:val="DefaultParagraphFont"/>
    <w:uiPriority w:val="99"/>
    <w:semiHidden/>
    <w:unhideWhenUsed/>
    <w:rsid w:val="005F148C"/>
    <w:rPr>
      <w:vertAlign w:val="superscript"/>
    </w:rPr>
  </w:style>
  <w:style w:type="paragraph" w:styleId="FootnoteText">
    <w:name w:val="footnote text"/>
    <w:basedOn w:val="Normal"/>
    <w:link w:val="FootnoteTextChar"/>
    <w:semiHidden/>
    <w:unhideWhenUsed/>
    <w:rsid w:val="005F148C"/>
    <w:rPr>
      <w:sz w:val="20"/>
      <w:szCs w:val="20"/>
    </w:rPr>
  </w:style>
  <w:style w:type="character" w:customStyle="1" w:styleId="FootnoteTextChar">
    <w:name w:val="Footnote Text Char"/>
    <w:basedOn w:val="DefaultParagraphFont"/>
    <w:link w:val="FootnoteText"/>
    <w:semiHidden/>
    <w:rsid w:val="005F148C"/>
    <w:rPr>
      <w:rFonts w:ascii="Times New Roman" w:eastAsia="Times New Roman" w:hAnsi="Times New Roman" w:cs="Times New Roman"/>
      <w:sz w:val="20"/>
      <w:szCs w:val="20"/>
      <w:lang w:val="es-ES" w:eastAsia="es-ES"/>
    </w:rPr>
  </w:style>
  <w:style w:type="character" w:styleId="FootnoteReference">
    <w:name w:val="footnote reference"/>
    <w:basedOn w:val="DefaultParagraphFont"/>
    <w:semiHidden/>
    <w:unhideWhenUsed/>
    <w:rsid w:val="005F148C"/>
    <w:rPr>
      <w:vertAlign w:val="superscript"/>
    </w:rPr>
  </w:style>
  <w:style w:type="paragraph" w:styleId="Header">
    <w:name w:val="header"/>
    <w:basedOn w:val="Normal"/>
    <w:link w:val="HeaderChar"/>
    <w:uiPriority w:val="99"/>
    <w:unhideWhenUsed/>
    <w:rsid w:val="001631D6"/>
    <w:pPr>
      <w:tabs>
        <w:tab w:val="center" w:pos="4252"/>
        <w:tab w:val="right" w:pos="8504"/>
      </w:tabs>
    </w:pPr>
  </w:style>
  <w:style w:type="character" w:customStyle="1" w:styleId="HeaderChar">
    <w:name w:val="Header Char"/>
    <w:basedOn w:val="DefaultParagraphFont"/>
    <w:link w:val="Header"/>
    <w:uiPriority w:val="99"/>
    <w:rsid w:val="001631D6"/>
    <w:rPr>
      <w:rFonts w:ascii="Times New Roman" w:eastAsia="Times New Roman" w:hAnsi="Times New Roman" w:cs="Times New Roman"/>
      <w:sz w:val="24"/>
      <w:szCs w:val="24"/>
      <w:lang w:val="es-ES" w:eastAsia="es-ES"/>
    </w:rPr>
  </w:style>
  <w:style w:type="paragraph" w:styleId="Footer">
    <w:name w:val="footer"/>
    <w:basedOn w:val="Normal"/>
    <w:link w:val="FooterChar"/>
    <w:uiPriority w:val="99"/>
    <w:unhideWhenUsed/>
    <w:rsid w:val="001631D6"/>
    <w:pPr>
      <w:tabs>
        <w:tab w:val="center" w:pos="4252"/>
        <w:tab w:val="right" w:pos="8504"/>
      </w:tabs>
    </w:pPr>
  </w:style>
  <w:style w:type="character" w:customStyle="1" w:styleId="FooterChar">
    <w:name w:val="Footer Char"/>
    <w:basedOn w:val="DefaultParagraphFont"/>
    <w:link w:val="Footer"/>
    <w:uiPriority w:val="99"/>
    <w:rsid w:val="001631D6"/>
    <w:rPr>
      <w:rFonts w:ascii="Times New Roman" w:eastAsia="Times New Roman" w:hAnsi="Times New Roman" w:cs="Times New Roman"/>
      <w:sz w:val="24"/>
      <w:szCs w:val="24"/>
      <w:lang w:val="es-ES" w:eastAsia="es-ES"/>
    </w:rPr>
  </w:style>
  <w:style w:type="paragraph" w:styleId="NoSpacing">
    <w:name w:val="No Spacing"/>
    <w:uiPriority w:val="1"/>
    <w:qFormat/>
    <w:rsid w:val="003E6BA6"/>
    <w:pPr>
      <w:spacing w:after="0" w:line="240" w:lineRule="auto"/>
    </w:pPr>
    <w:rPr>
      <w:lang w:val="es-PE"/>
    </w:rPr>
  </w:style>
  <w:style w:type="character" w:styleId="Hyperlink">
    <w:name w:val="Hyperlink"/>
    <w:basedOn w:val="DefaultParagraphFont"/>
    <w:uiPriority w:val="99"/>
    <w:unhideWhenUsed/>
    <w:rsid w:val="00F62606"/>
    <w:rPr>
      <w:color w:val="0563C1" w:themeColor="hyperlink"/>
      <w:u w:val="single"/>
    </w:rPr>
  </w:style>
  <w:style w:type="paragraph" w:customStyle="1" w:styleId="paragraph">
    <w:name w:val="paragraph"/>
    <w:basedOn w:val="Normal"/>
    <w:rsid w:val="006024A3"/>
    <w:pPr>
      <w:spacing w:before="100" w:beforeAutospacing="1" w:after="100" w:afterAutospacing="1"/>
    </w:pPr>
    <w:rPr>
      <w:lang w:val="es-MX" w:eastAsia="es-MX"/>
    </w:rPr>
  </w:style>
  <w:style w:type="character" w:customStyle="1" w:styleId="normaltextrun">
    <w:name w:val="normaltextrun"/>
    <w:basedOn w:val="DefaultParagraphFont"/>
    <w:rsid w:val="006024A3"/>
  </w:style>
  <w:style w:type="character" w:customStyle="1" w:styleId="eop">
    <w:name w:val="eop"/>
    <w:basedOn w:val="DefaultParagraphFont"/>
    <w:rsid w:val="006024A3"/>
  </w:style>
  <w:style w:type="character" w:customStyle="1" w:styleId="ListParagraphChar">
    <w:name w:val="List Paragraph Char"/>
    <w:aliases w:val="Number List 1 Char"/>
    <w:link w:val="ListParagraph"/>
    <w:uiPriority w:val="34"/>
    <w:rsid w:val="003A7726"/>
    <w:rPr>
      <w:rFonts w:ascii="Times New Roman" w:eastAsia="Times New Roman" w:hAnsi="Times New Roman" w:cs="Times New Roman"/>
      <w:sz w:val="24"/>
      <w:szCs w:val="24"/>
      <w:lang w:val="es-ES" w:eastAsia="es-ES"/>
    </w:rPr>
  </w:style>
  <w:style w:type="paragraph" w:customStyle="1" w:styleId="Default">
    <w:name w:val="Default"/>
    <w:rsid w:val="00C01AB2"/>
    <w:pPr>
      <w:autoSpaceDE w:val="0"/>
      <w:autoSpaceDN w:val="0"/>
      <w:adjustRightInd w:val="0"/>
      <w:spacing w:after="0" w:line="240" w:lineRule="auto"/>
    </w:pPr>
    <w:rPr>
      <w:rFonts w:ascii="Arial" w:hAnsi="Arial" w:cs="Arial"/>
      <w:color w:val="000000"/>
      <w:sz w:val="24"/>
      <w:szCs w:val="24"/>
      <w:lang w:val="es-PE"/>
    </w:rPr>
  </w:style>
  <w:style w:type="character" w:styleId="UnresolvedMention">
    <w:name w:val="Unresolved Mention"/>
    <w:basedOn w:val="DefaultParagraphFont"/>
    <w:uiPriority w:val="99"/>
    <w:semiHidden/>
    <w:unhideWhenUsed/>
    <w:rsid w:val="00045C71"/>
    <w:rPr>
      <w:color w:val="605E5C"/>
      <w:shd w:val="clear" w:color="auto" w:fill="E1DFDD"/>
    </w:rPr>
  </w:style>
  <w:style w:type="paragraph" w:customStyle="1" w:styleId="xmsonormal">
    <w:name w:val="x_msonormal"/>
    <w:basedOn w:val="Normal"/>
    <w:rsid w:val="003E4270"/>
    <w:rPr>
      <w:rFonts w:ascii="Calibri" w:eastAsiaTheme="minorHAnsi" w:hAnsi="Calibri" w:cs="Calibri"/>
      <w:sz w:val="22"/>
      <w:szCs w:val="22"/>
      <w:lang w:val="es-PE" w:eastAsia="es-PE"/>
    </w:rPr>
  </w:style>
  <w:style w:type="paragraph" w:customStyle="1" w:styleId="parrafo">
    <w:name w:val="parrafo"/>
    <w:basedOn w:val="Normal"/>
    <w:rsid w:val="00FA4349"/>
    <w:pPr>
      <w:snapToGrid w:val="0"/>
      <w:spacing w:before="57" w:after="170"/>
      <w:jc w:val="both"/>
    </w:pPr>
    <w:rPr>
      <w:rFonts w:ascii="Tahoma" w:hAnsi="Tahoma"/>
      <w:sz w:val="18"/>
      <w:szCs w:val="20"/>
      <w:lang w:val="en-US" w:eastAsia="en-US"/>
    </w:rPr>
  </w:style>
  <w:style w:type="character" w:customStyle="1" w:styleId="Heading1Char">
    <w:name w:val="Heading 1 Char"/>
    <w:basedOn w:val="DefaultParagraphFont"/>
    <w:link w:val="Heading1"/>
    <w:uiPriority w:val="99"/>
    <w:rsid w:val="000219B0"/>
    <w:rPr>
      <w:rFonts w:ascii="Cambria" w:eastAsia="Times New Roman" w:hAnsi="Cambria" w:cs="Times New Roman"/>
      <w:b/>
      <w:bCs/>
      <w:kern w:val="32"/>
      <w:sz w:val="32"/>
      <w:szCs w:val="32"/>
      <w:lang w:val="es-ES" w:eastAsia="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380718">
      <w:bodyDiv w:val="1"/>
      <w:marLeft w:val="0"/>
      <w:marRight w:val="0"/>
      <w:marTop w:val="0"/>
      <w:marBottom w:val="0"/>
      <w:divBdr>
        <w:top w:val="none" w:sz="0" w:space="0" w:color="auto"/>
        <w:left w:val="none" w:sz="0" w:space="0" w:color="auto"/>
        <w:bottom w:val="none" w:sz="0" w:space="0" w:color="auto"/>
        <w:right w:val="none" w:sz="0" w:space="0" w:color="auto"/>
      </w:divBdr>
    </w:div>
    <w:div w:id="240677889">
      <w:bodyDiv w:val="1"/>
      <w:marLeft w:val="0"/>
      <w:marRight w:val="0"/>
      <w:marTop w:val="0"/>
      <w:marBottom w:val="0"/>
      <w:divBdr>
        <w:top w:val="none" w:sz="0" w:space="0" w:color="auto"/>
        <w:left w:val="none" w:sz="0" w:space="0" w:color="auto"/>
        <w:bottom w:val="none" w:sz="0" w:space="0" w:color="auto"/>
        <w:right w:val="none" w:sz="0" w:space="0" w:color="auto"/>
      </w:divBdr>
    </w:div>
    <w:div w:id="574901456">
      <w:bodyDiv w:val="1"/>
      <w:marLeft w:val="0"/>
      <w:marRight w:val="0"/>
      <w:marTop w:val="0"/>
      <w:marBottom w:val="0"/>
      <w:divBdr>
        <w:top w:val="none" w:sz="0" w:space="0" w:color="auto"/>
        <w:left w:val="none" w:sz="0" w:space="0" w:color="auto"/>
        <w:bottom w:val="none" w:sz="0" w:space="0" w:color="auto"/>
        <w:right w:val="none" w:sz="0" w:space="0" w:color="auto"/>
      </w:divBdr>
    </w:div>
    <w:div w:id="709308819">
      <w:bodyDiv w:val="1"/>
      <w:marLeft w:val="0"/>
      <w:marRight w:val="0"/>
      <w:marTop w:val="0"/>
      <w:marBottom w:val="0"/>
      <w:divBdr>
        <w:top w:val="none" w:sz="0" w:space="0" w:color="auto"/>
        <w:left w:val="none" w:sz="0" w:space="0" w:color="auto"/>
        <w:bottom w:val="none" w:sz="0" w:space="0" w:color="auto"/>
        <w:right w:val="none" w:sz="0" w:space="0" w:color="auto"/>
      </w:divBdr>
    </w:div>
    <w:div w:id="907570398">
      <w:bodyDiv w:val="1"/>
      <w:marLeft w:val="0"/>
      <w:marRight w:val="0"/>
      <w:marTop w:val="0"/>
      <w:marBottom w:val="0"/>
      <w:divBdr>
        <w:top w:val="none" w:sz="0" w:space="0" w:color="auto"/>
        <w:left w:val="none" w:sz="0" w:space="0" w:color="auto"/>
        <w:bottom w:val="none" w:sz="0" w:space="0" w:color="auto"/>
        <w:right w:val="none" w:sz="0" w:space="0" w:color="auto"/>
      </w:divBdr>
    </w:div>
    <w:div w:id="930041085">
      <w:bodyDiv w:val="1"/>
      <w:marLeft w:val="0"/>
      <w:marRight w:val="0"/>
      <w:marTop w:val="0"/>
      <w:marBottom w:val="0"/>
      <w:divBdr>
        <w:top w:val="none" w:sz="0" w:space="0" w:color="auto"/>
        <w:left w:val="none" w:sz="0" w:space="0" w:color="auto"/>
        <w:bottom w:val="none" w:sz="0" w:space="0" w:color="auto"/>
        <w:right w:val="none" w:sz="0" w:space="0" w:color="auto"/>
      </w:divBdr>
    </w:div>
    <w:div w:id="1157959511">
      <w:bodyDiv w:val="1"/>
      <w:marLeft w:val="0"/>
      <w:marRight w:val="0"/>
      <w:marTop w:val="0"/>
      <w:marBottom w:val="0"/>
      <w:divBdr>
        <w:top w:val="none" w:sz="0" w:space="0" w:color="auto"/>
        <w:left w:val="none" w:sz="0" w:space="0" w:color="auto"/>
        <w:bottom w:val="none" w:sz="0" w:space="0" w:color="auto"/>
        <w:right w:val="none" w:sz="0" w:space="0" w:color="auto"/>
      </w:divBdr>
    </w:div>
    <w:div w:id="1165515311">
      <w:bodyDiv w:val="1"/>
      <w:marLeft w:val="0"/>
      <w:marRight w:val="0"/>
      <w:marTop w:val="0"/>
      <w:marBottom w:val="0"/>
      <w:divBdr>
        <w:top w:val="none" w:sz="0" w:space="0" w:color="auto"/>
        <w:left w:val="none" w:sz="0" w:space="0" w:color="auto"/>
        <w:bottom w:val="none" w:sz="0" w:space="0" w:color="auto"/>
        <w:right w:val="none" w:sz="0" w:space="0" w:color="auto"/>
      </w:divBdr>
    </w:div>
    <w:div w:id="1200899126">
      <w:bodyDiv w:val="1"/>
      <w:marLeft w:val="0"/>
      <w:marRight w:val="0"/>
      <w:marTop w:val="0"/>
      <w:marBottom w:val="0"/>
      <w:divBdr>
        <w:top w:val="none" w:sz="0" w:space="0" w:color="auto"/>
        <w:left w:val="none" w:sz="0" w:space="0" w:color="auto"/>
        <w:bottom w:val="none" w:sz="0" w:space="0" w:color="auto"/>
        <w:right w:val="none" w:sz="0" w:space="0" w:color="auto"/>
      </w:divBdr>
    </w:div>
    <w:div w:id="1302812195">
      <w:bodyDiv w:val="1"/>
      <w:marLeft w:val="0"/>
      <w:marRight w:val="0"/>
      <w:marTop w:val="0"/>
      <w:marBottom w:val="0"/>
      <w:divBdr>
        <w:top w:val="none" w:sz="0" w:space="0" w:color="auto"/>
        <w:left w:val="none" w:sz="0" w:space="0" w:color="auto"/>
        <w:bottom w:val="none" w:sz="0" w:space="0" w:color="auto"/>
        <w:right w:val="none" w:sz="0" w:space="0" w:color="auto"/>
      </w:divBdr>
    </w:div>
    <w:div w:id="1322611969">
      <w:bodyDiv w:val="1"/>
      <w:marLeft w:val="0"/>
      <w:marRight w:val="0"/>
      <w:marTop w:val="0"/>
      <w:marBottom w:val="0"/>
      <w:divBdr>
        <w:top w:val="none" w:sz="0" w:space="0" w:color="auto"/>
        <w:left w:val="none" w:sz="0" w:space="0" w:color="auto"/>
        <w:bottom w:val="none" w:sz="0" w:space="0" w:color="auto"/>
        <w:right w:val="none" w:sz="0" w:space="0" w:color="auto"/>
      </w:divBdr>
    </w:div>
    <w:div w:id="1723089531">
      <w:bodyDiv w:val="1"/>
      <w:marLeft w:val="0"/>
      <w:marRight w:val="0"/>
      <w:marTop w:val="0"/>
      <w:marBottom w:val="0"/>
      <w:divBdr>
        <w:top w:val="none" w:sz="0" w:space="0" w:color="auto"/>
        <w:left w:val="none" w:sz="0" w:space="0" w:color="auto"/>
        <w:bottom w:val="none" w:sz="0" w:space="0" w:color="auto"/>
        <w:right w:val="none" w:sz="0" w:space="0" w:color="auto"/>
      </w:divBdr>
    </w:div>
    <w:div w:id="1752584430">
      <w:bodyDiv w:val="1"/>
      <w:marLeft w:val="0"/>
      <w:marRight w:val="0"/>
      <w:marTop w:val="0"/>
      <w:marBottom w:val="0"/>
      <w:divBdr>
        <w:top w:val="none" w:sz="0" w:space="0" w:color="auto"/>
        <w:left w:val="none" w:sz="0" w:space="0" w:color="auto"/>
        <w:bottom w:val="none" w:sz="0" w:space="0" w:color="auto"/>
        <w:right w:val="none" w:sz="0" w:space="0" w:color="auto"/>
      </w:divBdr>
    </w:div>
    <w:div w:id="1757091945">
      <w:bodyDiv w:val="1"/>
      <w:marLeft w:val="0"/>
      <w:marRight w:val="0"/>
      <w:marTop w:val="0"/>
      <w:marBottom w:val="0"/>
      <w:divBdr>
        <w:top w:val="none" w:sz="0" w:space="0" w:color="auto"/>
        <w:left w:val="none" w:sz="0" w:space="0" w:color="auto"/>
        <w:bottom w:val="none" w:sz="0" w:space="0" w:color="auto"/>
        <w:right w:val="none" w:sz="0" w:space="0" w:color="auto"/>
      </w:divBdr>
    </w:div>
    <w:div w:id="1949115072">
      <w:bodyDiv w:val="1"/>
      <w:marLeft w:val="0"/>
      <w:marRight w:val="0"/>
      <w:marTop w:val="0"/>
      <w:marBottom w:val="0"/>
      <w:divBdr>
        <w:top w:val="none" w:sz="0" w:space="0" w:color="auto"/>
        <w:left w:val="none" w:sz="0" w:space="0" w:color="auto"/>
        <w:bottom w:val="none" w:sz="0" w:space="0" w:color="auto"/>
        <w:right w:val="none" w:sz="0" w:space="0" w:color="auto"/>
      </w:divBdr>
    </w:div>
    <w:div w:id="21098141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defaseg.com.pe/reglamento.html"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customXml" Target="../customXml/item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customXml" Target="../customXml/item3.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1.emf"/><Relationship Id="rId14" Type="http://schemas.openxmlformats.org/officeDocument/2006/relationships/customXml" Target="../customXml/item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o" ma:contentTypeID="0x010100545D86E04ACB2F4ABDD70C7EA6E1BAEC" ma:contentTypeVersion="3" ma:contentTypeDescription="Crear nuevo documento." ma:contentTypeScope="" ma:versionID="094c48e31a7375099fca8c08992da197">
  <xsd:schema xmlns:xsd="http://www.w3.org/2001/XMLSchema" xmlns:xs="http://www.w3.org/2001/XMLSchema" xmlns:p="http://schemas.microsoft.com/office/2006/metadata/properties" xmlns:ns2="7f4123b4-42ec-4ecb-943f-13d24784c64c" targetNamespace="http://schemas.microsoft.com/office/2006/metadata/properties" ma:root="true" ma:fieldsID="d0722e37c5fd2b80a89a602121d423aa" ns2:_="">
    <xsd:import namespace="7f4123b4-42ec-4ecb-943f-13d24784c64c"/>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f4123b4-42ec-4ecb-943f-13d24784c64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1165C6F5-1957-4209-835A-9C1861313F84}">
  <ds:schemaRefs>
    <ds:schemaRef ds:uri="http://schemas.openxmlformats.org/officeDocument/2006/bibliography"/>
  </ds:schemaRefs>
</ds:datastoreItem>
</file>

<file path=customXml/itemProps2.xml><?xml version="1.0" encoding="utf-8"?>
<ds:datastoreItem xmlns:ds="http://schemas.openxmlformats.org/officeDocument/2006/customXml" ds:itemID="{A40291E0-CB69-498E-A66F-04071FD2A290}"/>
</file>

<file path=customXml/itemProps3.xml><?xml version="1.0" encoding="utf-8"?>
<ds:datastoreItem xmlns:ds="http://schemas.openxmlformats.org/officeDocument/2006/customXml" ds:itemID="{48386962-D24C-4349-B50D-904421E8B3D6}"/>
</file>

<file path=customXml/itemProps4.xml><?xml version="1.0" encoding="utf-8"?>
<ds:datastoreItem xmlns:ds="http://schemas.openxmlformats.org/officeDocument/2006/customXml" ds:itemID="{857EE825-9EE1-4CFD-90E4-CB4B47F057FC}"/>
</file>

<file path=docProps/app.xml><?xml version="1.0" encoding="utf-8"?>
<Properties xmlns="http://schemas.openxmlformats.org/officeDocument/2006/extended-properties" xmlns:vt="http://schemas.openxmlformats.org/officeDocument/2006/docPropsVTypes">
  <Template>Normal.dotm</Template>
  <TotalTime>378</TotalTime>
  <Pages>1</Pages>
  <Words>1607</Words>
  <Characters>9166</Characters>
  <Application>Microsoft Office Word</Application>
  <DocSecurity>4</DocSecurity>
  <Lines>76</Lines>
  <Paragraphs>21</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10752</CharactersWithSpaces>
  <SharedDoc>false</SharedDoc>
  <HLinks>
    <vt:vector size="6" baseType="variant">
      <vt:variant>
        <vt:i4>786436</vt:i4>
      </vt:variant>
      <vt:variant>
        <vt:i4>0</vt:i4>
      </vt:variant>
      <vt:variant>
        <vt:i4>0</vt:i4>
      </vt:variant>
      <vt:variant>
        <vt:i4>5</vt:i4>
      </vt:variant>
      <vt:variant>
        <vt:lpwstr>http://www.defaseg.com.pe/reglamento.html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Maria Eugenia Valdez</dc:creator>
  <cp:keywords/>
  <dc:description/>
  <cp:lastModifiedBy>Alicia Martín</cp:lastModifiedBy>
  <cp:revision>194</cp:revision>
  <cp:lastPrinted>2022-01-11T18:26:00Z</cp:lastPrinted>
  <dcterms:created xsi:type="dcterms:W3CDTF">2020-12-18T23:09:00Z</dcterms:created>
  <dcterms:modified xsi:type="dcterms:W3CDTF">2025-03-19T15:23:00Z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0x010100545D86E04ACB2F4ABDD70C7EA6E1BAEC</vt:lpwstr>
  </property>
</Properties>
</file>