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3358C" w:rsidR="00F15FBA" w:rsidP="00F15FBA" w:rsidRDefault="00F15FBA" w14:paraId="6BA6C8A5" w14:textId="11C14F55">
      <w:pPr>
        <w:pStyle w:val="Ttulo"/>
        <w:outlineLvl w:val="0"/>
        <w:rPr>
          <w:lang w:val="es-PE"/>
        </w:rPr>
      </w:pPr>
      <w:r w:rsidRPr="0053358C">
        <w:rPr>
          <w:lang w:val="es-PE"/>
        </w:rPr>
        <w:t xml:space="preserve">RESOLUCIÓN </w:t>
      </w:r>
      <w:proofErr w:type="spellStart"/>
      <w:r w:rsidRPr="0053358C">
        <w:rPr>
          <w:lang w:val="es-PE"/>
        </w:rPr>
        <w:t>N</w:t>
      </w:r>
      <w:r w:rsidRPr="0053358C" w:rsidR="001631D6">
        <w:rPr>
          <w:lang w:val="es-PE"/>
        </w:rPr>
        <w:t>°</w:t>
      </w:r>
      <w:proofErr w:type="spellEnd"/>
      <w:r w:rsidRPr="0053358C" w:rsidR="001631D6">
        <w:rPr>
          <w:lang w:val="es-PE"/>
        </w:rPr>
        <w:t xml:space="preserve"> </w:t>
      </w:r>
      <w:r w:rsidRPr="0053358C" w:rsidR="003E6BA6">
        <w:rPr>
          <w:lang w:val="es-PE"/>
        </w:rPr>
        <w:t>0</w:t>
      </w:r>
      <w:r w:rsidRPr="0053358C" w:rsidR="00EC2694">
        <w:rPr>
          <w:lang w:val="es-PE"/>
        </w:rPr>
        <w:t>10</w:t>
      </w:r>
      <w:r w:rsidRPr="0053358C" w:rsidR="001631D6">
        <w:rPr>
          <w:lang w:val="es-PE"/>
        </w:rPr>
        <w:t>/2</w:t>
      </w:r>
      <w:r w:rsidRPr="0053358C" w:rsidR="00444D29">
        <w:rPr>
          <w:lang w:val="es-PE"/>
        </w:rPr>
        <w:t>2</w:t>
      </w:r>
    </w:p>
    <w:p w:rsidRPr="0053358C" w:rsidR="0093542F" w:rsidP="0093542F" w:rsidRDefault="0093542F" w14:paraId="18B80177" w14:textId="77777777">
      <w:pPr>
        <w:rPr>
          <w:b/>
          <w:bCs/>
          <w:lang w:val="es-PE"/>
        </w:rPr>
      </w:pPr>
    </w:p>
    <w:p w:rsidRPr="0053358C" w:rsidR="00C45FF3" w:rsidP="00C45FF3" w:rsidRDefault="00C45FF3" w14:paraId="26EA1B43" w14:textId="77777777">
      <w:pPr>
        <w:jc w:val="both"/>
        <w:rPr>
          <w:b/>
        </w:rPr>
      </w:pPr>
      <w:r w:rsidRPr="0053358C">
        <w:rPr>
          <w:b/>
        </w:rPr>
        <w:t>VISTOS</w:t>
      </w:r>
    </w:p>
    <w:p w:rsidRPr="0053358C" w:rsidR="00C45FF3" w:rsidP="00C45FF3" w:rsidRDefault="00C45FF3" w14:paraId="7E24A563" w14:textId="77777777">
      <w:pPr>
        <w:jc w:val="both"/>
      </w:pPr>
    </w:p>
    <w:p w:rsidRPr="0053358C" w:rsidR="00C45FF3" w:rsidP="00C45FF3" w:rsidRDefault="00C45FF3" w14:paraId="5EE9D52D" w14:textId="7BA3627C">
      <w:pPr>
        <w:jc w:val="both"/>
      </w:pPr>
      <w:r w:rsidR="00C45FF3">
        <w:rPr/>
        <w:t xml:space="preserve">Que con fecha 23 de setiembre de </w:t>
      </w:r>
      <w:r w:rsidR="00C45FF3">
        <w:rPr/>
        <w:t>2021,</w:t>
      </w:r>
      <w:r w:rsidR="1A5BBDD7">
        <w:rPr/>
        <w:t>...............................</w:t>
      </w:r>
      <w:r w:rsidR="00C45FF3">
        <w:rPr/>
        <w:t xml:space="preserve">, en representación de </w:t>
      </w:r>
      <w:r w:rsidR="09E98340">
        <w:rPr/>
        <w:t>....................................</w:t>
      </w:r>
      <w:r w:rsidR="00C45FF3">
        <w:rPr/>
        <w:t xml:space="preserve"> interpone reclamación ante esta Defensoría del Asegurado (DEFASEG) solicitando que </w:t>
      </w:r>
      <w:r w:rsidR="314FB2C4">
        <w:rPr/>
        <w:t>...................................</w:t>
      </w:r>
      <w:r w:rsidR="00C45FF3">
        <w:rPr/>
        <w:t xml:space="preserve">otorgue cobertura al siniestro ocurrido por el fallecimiento del señor </w:t>
      </w:r>
      <w:r w:rsidR="650E2EA8">
        <w:rPr/>
        <w:t>.........................................</w:t>
      </w:r>
      <w:r w:rsidR="00C45FF3">
        <w:rPr/>
        <w:t>, de acuerdo con las Condiciones Generales y Particulares de las Pólizas de Seguro de Desgravamen contratadas.</w:t>
      </w:r>
    </w:p>
    <w:p w:rsidRPr="0053358C" w:rsidR="00C45FF3" w:rsidP="00C45FF3" w:rsidRDefault="00C45FF3" w14:paraId="4BA41642" w14:textId="77777777">
      <w:pPr>
        <w:ind w:left="708" w:hanging="708"/>
        <w:jc w:val="both"/>
      </w:pPr>
    </w:p>
    <w:p w:rsidRPr="0053358C" w:rsidR="00C45FF3" w:rsidP="00C45FF3" w:rsidRDefault="00C45FF3" w14:paraId="70F6C5EE" w14:textId="77777777">
      <w:pPr>
        <w:ind w:firstLine="1"/>
        <w:jc w:val="both"/>
      </w:pPr>
      <w:r w:rsidRPr="0053358C">
        <w:t xml:space="preserve">Que, la señalada reclamación cumple con las exigencias de materia, cuantía y oportunidad establecidas en el reglamento de la DEFASEG, habiéndose presentado dentro del plazo que corresponde </w:t>
      </w:r>
      <w:proofErr w:type="gramStart"/>
      <w:r w:rsidRPr="0053358C">
        <w:t>de acuerdo a</w:t>
      </w:r>
      <w:proofErr w:type="gramEnd"/>
      <w:r w:rsidRPr="0053358C">
        <w:t xml:space="preserve"> dicho reglamento. </w:t>
      </w:r>
    </w:p>
    <w:p w:rsidRPr="0053358C" w:rsidR="00C45FF3" w:rsidP="00C45FF3" w:rsidRDefault="00C45FF3" w14:paraId="46142123" w14:textId="77777777">
      <w:pPr>
        <w:ind w:firstLine="1"/>
        <w:jc w:val="both"/>
      </w:pPr>
    </w:p>
    <w:p w:rsidRPr="0053358C" w:rsidR="00C45FF3" w:rsidP="00C45FF3" w:rsidRDefault="00C45FF3" w14:paraId="0D48284A" w14:textId="54745F70">
      <w:pPr>
        <w:ind w:firstLine="1"/>
        <w:jc w:val="both"/>
      </w:pPr>
      <w:r w:rsidR="00C45FF3">
        <w:rPr/>
        <w:t xml:space="preserve">Que, habiéndose corrido traslado de la señalada reclamación, </w:t>
      </w:r>
      <w:r w:rsidR="6D951B4C">
        <w:rPr/>
        <w:t>...........................</w:t>
      </w:r>
      <w:r w:rsidR="00C45FF3">
        <w:rPr/>
        <w:t xml:space="preserve"> con fecha 05 de octubre de 2021 ha presentado su contestación a la Reclamación adjuntando la Póliza y los documentos relativos al siniestro.</w:t>
      </w:r>
    </w:p>
    <w:p w:rsidRPr="0053358C" w:rsidR="00C45FF3" w:rsidP="00C45FF3" w:rsidRDefault="00C45FF3" w14:paraId="243E59EE" w14:textId="77777777">
      <w:pPr>
        <w:ind w:left="708" w:hanging="708"/>
        <w:jc w:val="both"/>
      </w:pPr>
    </w:p>
    <w:p w:rsidRPr="0053358C" w:rsidR="00C45FF3" w:rsidP="00C45FF3" w:rsidRDefault="00C45FF3" w14:paraId="070CB809" w14:textId="30110927">
      <w:pPr>
        <w:jc w:val="both"/>
      </w:pPr>
      <w:r w:rsidRPr="0053358C">
        <w:t xml:space="preserve">Que, con fecha 17 de enero de 2022 se realizó la correspondiente audiencia de vista, con la </w:t>
      </w:r>
      <w:r w:rsidR="0053358C">
        <w:t>sola presencia de la reclamante</w:t>
      </w:r>
      <w:r w:rsidRPr="0053358C">
        <w:t>, quien sustent</w:t>
      </w:r>
      <w:r w:rsidR="0053358C">
        <w:t>o</w:t>
      </w:r>
      <w:r w:rsidRPr="0053358C">
        <w:t xml:space="preserve"> </w:t>
      </w:r>
      <w:r w:rsidRPr="0053358C" w:rsidR="0053358C">
        <w:t>su posici</w:t>
      </w:r>
      <w:r w:rsidR="009029DF">
        <w:t>ón</w:t>
      </w:r>
      <w:r w:rsidRPr="0053358C">
        <w:t xml:space="preserve">, absolviendo las preguntas realizadas por el colegiado. Que, al término de la audiencia se otorgó a la asegurada un plazo de cinco (5) días para que presente copia del certificado de defunción del asegurado: Que, así mismo, se otorgó cinco (5) días a la aseguradora para que indique la fecha del último pago que recibió por pago de primas de Desgravamen, tanto de la deuda de la casa como de las tarjetas. Que, habiendo las </w:t>
      </w:r>
      <w:proofErr w:type="gramStart"/>
      <w:r w:rsidRPr="0053358C">
        <w:t>partes</w:t>
      </w:r>
      <w:r w:rsidR="00DB43CB">
        <w:t xml:space="preserve"> </w:t>
      </w:r>
      <w:r w:rsidRPr="0053358C">
        <w:t>cumplido</w:t>
      </w:r>
      <w:proofErr w:type="gramEnd"/>
      <w:r w:rsidRPr="0053358C">
        <w:t xml:space="preserve"> con enviar lo solicitado, ha quedado entonces el expediente a la fecha en condiciones para que este colegiado expida su pronunciamiento.</w:t>
      </w:r>
    </w:p>
    <w:p w:rsidRPr="0053358C" w:rsidR="00C45FF3" w:rsidP="00C45FF3" w:rsidRDefault="00C45FF3" w14:paraId="0DFCEA12" w14:textId="77777777">
      <w:pPr>
        <w:jc w:val="both"/>
      </w:pPr>
    </w:p>
    <w:p w:rsidRPr="0053358C" w:rsidR="00C45FF3" w:rsidP="00C45FF3" w:rsidRDefault="00C45FF3" w14:paraId="3AAC5BE1" w14:textId="7A0A5396">
      <w:pPr>
        <w:jc w:val="both"/>
      </w:pPr>
      <w:r w:rsidR="00C45FF3">
        <w:rPr/>
        <w:t xml:space="preserve">Que la reclamante, </w:t>
      </w:r>
      <w:r w:rsidR="54E89EC5">
        <w:rPr/>
        <w:t>.............................</w:t>
      </w:r>
      <w:r w:rsidR="00C45FF3">
        <w:rPr/>
        <w:t xml:space="preserve">, ex conviviente y madre de la menor </w:t>
      </w:r>
      <w:r w:rsidR="69F8CE49">
        <w:rPr/>
        <w:t>................................</w:t>
      </w:r>
      <w:r w:rsidR="00C45FF3">
        <w:rPr/>
        <w:t xml:space="preserve">, hija y heredera única del fallecido por Covid-19, </w:t>
      </w:r>
      <w:r w:rsidR="091E4D74">
        <w:rPr/>
        <w:t>................................</w:t>
      </w:r>
      <w:r w:rsidR="00C45FF3">
        <w:rPr/>
        <w:t xml:space="preserve">, solicita que </w:t>
      </w:r>
      <w:r w:rsidR="511F7907">
        <w:rPr/>
        <w:t>.........................</w:t>
      </w:r>
      <w:r w:rsidR="00C45FF3">
        <w:rPr/>
        <w:t xml:space="preserve">otorgue la indemnización correspondiente para la cancelación de las deudas que mantenía el asegurado fallecido, con el Banco de Crédito del Perú,  por las siguientes resumidas razones: 1) Que, la reclamante indica que su ex conviviente mantenía deudas con la entidad bancaria, las cuales a pesar de ser convivientes nunca estuvo enterada de las deudas hipotecarias y de la tarjeta obtenidas de manera deshonesta. 2) Que, ahora mediante notificaciones se entera que la propiedad tiene juicios con el BCP; por ese motivo solicitó la activación del Desgravamen al Banco de Crédito que trabaja con </w:t>
      </w:r>
      <w:r w:rsidR="0A31EF91">
        <w:rPr/>
        <w:t>...............................</w:t>
      </w:r>
      <w:r w:rsidR="00C45FF3">
        <w:rPr/>
        <w:t xml:space="preserve"> pero que hasta la fecha el BCP no procede al levantamiento de la hipoteca y </w:t>
      </w:r>
      <w:r w:rsidR="5FABECD3">
        <w:rPr/>
        <w:t>.......................................</w:t>
      </w:r>
      <w:r w:rsidR="00C45FF3">
        <w:rPr/>
        <w:t>respondió con una carta evidenciando su negativa a cubrir con el Desgravamen los tres productos que tenía con el BCP, aduciendo esto:</w:t>
      </w:r>
    </w:p>
    <w:p w:rsidRPr="0053358C" w:rsidR="00C45FF3" w:rsidP="00C45FF3" w:rsidRDefault="00C45FF3" w14:paraId="014D8814" w14:textId="77777777">
      <w:pPr>
        <w:jc w:val="both"/>
      </w:pPr>
    </w:p>
    <w:p w:rsidRPr="0053358C" w:rsidR="00C45FF3" w:rsidP="00C45FF3" w:rsidRDefault="00C45FF3" w14:paraId="166A29BB" w14:textId="442EB5EA">
      <w:pPr>
        <w:jc w:val="both"/>
      </w:pPr>
      <w:r w:rsidR="00C45FF3">
        <w:rPr/>
        <w:t xml:space="preserve">“En base al reclamo presentado ante </w:t>
      </w:r>
      <w:r w:rsidR="079D156C">
        <w:rPr/>
        <w:t>..........</w:t>
      </w:r>
      <w:r w:rsidR="00C45FF3">
        <w:rPr/>
        <w:t>, derivamos la consulta al BCP por los productos personales que mantenía el asegurado con dicha entidad.</w:t>
      </w:r>
    </w:p>
    <w:p w:rsidRPr="0053358C" w:rsidR="00C45FF3" w:rsidP="00C45FF3" w:rsidRDefault="00C45FF3" w14:paraId="01CFA2D6" w14:textId="77777777">
      <w:pPr>
        <w:jc w:val="both"/>
      </w:pPr>
    </w:p>
    <w:p w:rsidRPr="0053358C" w:rsidR="00C45FF3" w:rsidP="00C45FF3" w:rsidRDefault="00C45FF3" w14:paraId="15A697B1" w14:textId="77777777">
      <w:pPr>
        <w:jc w:val="both"/>
      </w:pPr>
      <w:r w:rsidRPr="0053358C">
        <w:t xml:space="preserve">“Nos informan que la tarjeta de crédito </w:t>
      </w:r>
      <w:proofErr w:type="spellStart"/>
      <w:r w:rsidRPr="0053358C">
        <w:t>N°</w:t>
      </w:r>
      <w:proofErr w:type="spellEnd"/>
      <w:r w:rsidRPr="0053358C">
        <w:t xml:space="preserve"> 4634-02xx-xxxx-5029 relacionada a la Póliza 4361 no cuenta con cobertura ya que no se encontraba activa por incumplimiento de pago de primas; adjuntamos la carta que el banco indica haber enviado a los familiares. </w:t>
      </w:r>
      <w:proofErr w:type="gramStart"/>
      <w:r w:rsidRPr="0053358C">
        <w:t>En relación al</w:t>
      </w:r>
      <w:proofErr w:type="gramEnd"/>
      <w:r w:rsidRPr="0053358C">
        <w:t xml:space="preserve"> crédito 100-193-00004955423 nos informan lo siguiente:</w:t>
      </w:r>
    </w:p>
    <w:p w:rsidRPr="0053358C" w:rsidR="00C45FF3" w:rsidP="00C45FF3" w:rsidRDefault="00C45FF3" w14:paraId="33161604" w14:textId="77777777">
      <w:pPr>
        <w:jc w:val="both"/>
      </w:pPr>
    </w:p>
    <w:p w:rsidRPr="0053358C" w:rsidR="00C45FF3" w:rsidP="00C45FF3" w:rsidRDefault="00C45FF3" w14:paraId="71576CD5" w14:textId="77777777">
      <w:pPr>
        <w:jc w:val="both"/>
      </w:pPr>
      <w:r w:rsidRPr="0053358C">
        <w:t>“Con respecto al crédito 100-193-00004955423, este no fue tomado en cuenta ya que presentaba un bloqueo de cobranzas desde el 11/12/2019 (fecha anterior al siniestro)”</w:t>
      </w:r>
    </w:p>
    <w:p w:rsidRPr="0053358C" w:rsidR="00C45FF3" w:rsidP="00C45FF3" w:rsidRDefault="00C45FF3" w14:paraId="41F7139D" w14:textId="77777777">
      <w:pPr>
        <w:jc w:val="both"/>
      </w:pPr>
    </w:p>
    <w:p w:rsidRPr="0053358C" w:rsidR="00C45FF3" w:rsidP="00C45FF3" w:rsidRDefault="00C45FF3" w14:paraId="3EB84361" w14:textId="77777777">
      <w:pPr>
        <w:jc w:val="both"/>
      </w:pPr>
      <w:r w:rsidRPr="0053358C">
        <w:t>“Por lo tanto, al presentar también este producto también incumplimiento de pago, la póliza de desgravamen no se encuentra activa por falta de pago de primas. Tenga en cuenta que la información de las deudas y los pagos de las cuotas y primas nos la envía la entidad financiera”</w:t>
      </w:r>
    </w:p>
    <w:p w:rsidRPr="0053358C" w:rsidR="00C45FF3" w:rsidP="00C45FF3" w:rsidRDefault="00C45FF3" w14:paraId="3DFDB5CF" w14:textId="77777777">
      <w:pPr>
        <w:jc w:val="both"/>
      </w:pPr>
    </w:p>
    <w:p w:rsidRPr="0053358C" w:rsidR="00C45FF3" w:rsidP="00C45FF3" w:rsidRDefault="00C45FF3" w14:paraId="49348A4F" w14:textId="099A21F1">
      <w:pPr>
        <w:jc w:val="both"/>
      </w:pPr>
      <w:r w:rsidR="00C45FF3">
        <w:rPr/>
        <w:t xml:space="preserve">3) Que, sin embargo, su ex conviviente antes de morir acudió al Banco solicitando un refinanciamiento para que pudiera ponerse al día, por lo que el banco accedió solicitándole un abono de S/ 1,500. – soles para darle una ampliación de tiempo, pero el banco prácticamente lo timó y siguió con el proceso y nunca hubo tal ampliación; seguido a eso falleció, pero su hija que es la heredera tiene que vivir este abuso producido por el BCP; para todo esto, su abogado anterior presentó el escrito donde describe el abono que se hizo al BCP antes del fallecimiento, por eso se dirige a la DEFASEG, ya que el BCP asegura que es </w:t>
      </w:r>
      <w:r w:rsidR="0E2CA0A7">
        <w:rPr/>
        <w:t>.................</w:t>
      </w:r>
      <w:r w:rsidR="00C45FF3">
        <w:rPr/>
        <w:t xml:space="preserve"> quien no quiere responsabilizarse o acceder.</w:t>
      </w:r>
    </w:p>
    <w:p w:rsidRPr="0053358C" w:rsidR="00C45FF3" w:rsidP="00C45FF3" w:rsidRDefault="00C45FF3" w14:paraId="7FAAD6CE" w14:textId="77777777">
      <w:pPr>
        <w:jc w:val="both"/>
      </w:pPr>
    </w:p>
    <w:p w:rsidRPr="0053358C" w:rsidR="00C45FF3" w:rsidP="00C45FF3" w:rsidRDefault="00C45FF3" w14:paraId="57FFA26F" w14:textId="4163E8C9">
      <w:pPr>
        <w:jc w:val="both"/>
      </w:pPr>
      <w:r w:rsidR="00C45FF3">
        <w:rPr/>
        <w:t xml:space="preserve">Que, por su parte </w:t>
      </w:r>
      <w:r w:rsidR="7217D210">
        <w:rPr/>
        <w:t>.....................</w:t>
      </w:r>
      <w:r w:rsidR="00C45FF3">
        <w:rPr/>
        <w:t xml:space="preserve">, solicita se declare infundada la reclamación por las siguientes resumidas razones: 1) Que, con fecha 09 de diciembre de 2009, el señor </w:t>
      </w:r>
      <w:r w:rsidR="78F6429C">
        <w:rPr/>
        <w:t>.................</w:t>
      </w:r>
      <w:r w:rsidR="00C45FF3">
        <w:rPr/>
        <w:t xml:space="preserve"> contrató el Crédito Hipotecario </w:t>
      </w:r>
      <w:r w:rsidR="00C45FF3">
        <w:rPr/>
        <w:t>N°</w:t>
      </w:r>
      <w:r w:rsidR="00C45FF3">
        <w:rPr/>
        <w:t xml:space="preserve"> 100-193-508882 con el BCP afiliándose al Seguro de Desgravamen </w:t>
      </w:r>
      <w:r w:rsidR="00C45FF3">
        <w:rPr/>
        <w:t>N°</w:t>
      </w:r>
      <w:r w:rsidR="00C45FF3">
        <w:rPr/>
        <w:t xml:space="preserve"> 139853. 2) Que, con fecha 05 de febrero de 2012, el señor Aguilar contrató la Tarjeta de Crédito </w:t>
      </w:r>
      <w:r w:rsidR="00C45FF3">
        <w:rPr/>
        <w:t>N°</w:t>
      </w:r>
      <w:r w:rsidR="00C45FF3">
        <w:rPr/>
        <w:t xml:space="preserve"> 4634-02XXXX-5029 con el BCP, afiliándose al Seguro de Desgravamen </w:t>
      </w:r>
      <w:r w:rsidR="00C45FF3">
        <w:rPr/>
        <w:t>N°</w:t>
      </w:r>
      <w:r w:rsidR="00C45FF3">
        <w:rPr/>
        <w:t xml:space="preserve"> 4361. 3) Que, posteriormente, la sucesión solicitó al BCP la cobertura del Seguro de Desgravamen 2, por fallecimiento del señor Aguilar ocurrido el 08 de abril de 2021. Que, en respuesta, mediante carta S/N de fecha 31 de mayo de 2021, el BCP rechazó la cobertura del Seguro de Desgravamen debido a que el denunciante había incurrido en una causal de terminación de la cobertura otorgada por la póliza </w:t>
      </w:r>
      <w:r w:rsidR="00C45FF3">
        <w:rPr/>
        <w:t>N°</w:t>
      </w:r>
      <w:r w:rsidR="00C45FF3">
        <w:rPr/>
        <w:t xml:space="preserve"> 4361, en tanto que, a la fecha de ocurrencia del siniestro, la tarjeta de crédito registraba deudas vencidas. 4) Que, posteriormente, con fecha 05 de agosto de 2021, la Sucesión solicitó a </w:t>
      </w:r>
      <w:r w:rsidR="63FD93D6">
        <w:rPr/>
        <w:t>................................</w:t>
      </w:r>
      <w:r w:rsidR="00C45FF3">
        <w:rPr/>
        <w:t xml:space="preserve"> la cobertura de ambos seguros de desgravamen por el fallecimiento del señor Aguilar. 5) Que, así, mediante comunicación electrónica de fecha 21 de setiembre de 2021, </w:t>
      </w:r>
      <w:r w:rsidR="6BB99615">
        <w:rPr/>
        <w:t>.............................</w:t>
      </w:r>
      <w:r w:rsidR="00C45FF3">
        <w:rPr/>
        <w:t xml:space="preserve"> derivó su recamo al BCP. </w:t>
      </w:r>
      <w:r w:rsidR="00C45FF3">
        <w:rPr/>
        <w:t>En razón de</w:t>
      </w:r>
      <w:r w:rsidR="00C45FF3">
        <w:rPr/>
        <w:t xml:space="preserve"> ello, se le comunicó a la sucesión que no era posible otorgar la cobertura de los seguros en mención, toda vez que ambas pólizas estaban fuera de vigencia por haber incurrido en causal de incumplimiento de pago de primas (Seguro de Desgravamen 1).</w:t>
      </w:r>
      <w:r w:rsidR="00C45FF3">
        <w:rPr/>
        <w:t xml:space="preserve"> </w:t>
      </w:r>
      <w:r w:rsidR="00C45FF3">
        <w:rPr/>
        <w:t>Que, cabe resaltar que ambas fechas de cese de pago de primas fueron anteriores a la fecha del siniestro, vale decir, 08 de abril de 2021.</w:t>
      </w:r>
    </w:p>
    <w:p w:rsidRPr="0053358C" w:rsidR="00C45FF3" w:rsidP="00C45FF3" w:rsidRDefault="00C45FF3" w14:paraId="05075112" w14:textId="77777777">
      <w:pPr>
        <w:jc w:val="both"/>
      </w:pPr>
    </w:p>
    <w:p w:rsidRPr="0053358C" w:rsidR="00C45FF3" w:rsidP="00C45FF3" w:rsidRDefault="00C45FF3" w14:paraId="04BDE3BA" w14:textId="77777777">
      <w:pPr>
        <w:jc w:val="both"/>
      </w:pPr>
      <w:r w:rsidRPr="0053358C">
        <w:rPr>
          <w:b/>
        </w:rPr>
        <w:t>CONSIDERANDO</w:t>
      </w:r>
    </w:p>
    <w:p w:rsidRPr="0053358C" w:rsidR="00C45FF3" w:rsidP="00C45FF3" w:rsidRDefault="00C45FF3" w14:paraId="03D6154A" w14:textId="77777777">
      <w:pPr>
        <w:jc w:val="both"/>
      </w:pPr>
    </w:p>
    <w:p w:rsidRPr="0053358C" w:rsidR="00C45FF3" w:rsidP="00C45FF3" w:rsidRDefault="00C45FF3" w14:paraId="46FB6CA2" w14:textId="77777777">
      <w:pPr>
        <w:jc w:val="both"/>
      </w:pPr>
      <w:r w:rsidRPr="0053358C">
        <w:rPr>
          <w:b/>
        </w:rPr>
        <w:t>PRIMERO:</w:t>
      </w:r>
      <w:r w:rsidRPr="0053358C">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53358C" w:rsidR="00C45FF3" w:rsidP="00C45FF3" w:rsidRDefault="00C45FF3" w14:paraId="368357E5" w14:textId="77777777">
      <w:pPr>
        <w:ind w:firstLine="2"/>
        <w:jc w:val="both"/>
      </w:pPr>
      <w:r w:rsidRPr="0053358C">
        <w:rPr>
          <w:b/>
        </w:rPr>
        <w:t>SEGUNDO</w:t>
      </w:r>
      <w:r w:rsidRPr="0053358C">
        <w:t xml:space="preserve">: Que, así mismo, </w:t>
      </w:r>
      <w:proofErr w:type="gramStart"/>
      <w:r w:rsidRPr="0053358C">
        <w:t>de acuerdo a</w:t>
      </w:r>
      <w:proofErr w:type="gramEnd"/>
      <w:r w:rsidRPr="0053358C">
        <w:t xml:space="preserve"> su reglamento la DEFASEG solo es competente para pronunciarse y resolver las reclamaciones indemnizatorias de los asegurados que hubiesen sido sometidas a su conocimiento, sobre la base de la documentación obrante en el </w:t>
      </w:r>
      <w:r w:rsidRPr="0053358C">
        <w:t>correspondiente expediente y con arreglo a derecho, siempre y cuando las señaladas reclamaciones cumplan los requisitos reglamentarios de materia y cuantía.</w:t>
      </w:r>
    </w:p>
    <w:p w:rsidRPr="0053358C" w:rsidR="00C45FF3" w:rsidP="00C45FF3" w:rsidRDefault="00C45FF3" w14:paraId="67CFCC3F" w14:textId="77777777">
      <w:pPr>
        <w:ind w:firstLine="2"/>
        <w:jc w:val="both"/>
      </w:pPr>
    </w:p>
    <w:p w:rsidRPr="0053358C" w:rsidR="00C45FF3" w:rsidP="00C45FF3" w:rsidRDefault="00C45FF3" w14:paraId="29DB87D9" w14:textId="77777777">
      <w:pPr>
        <w:ind w:firstLine="2"/>
        <w:jc w:val="both"/>
      </w:pPr>
      <w:r w:rsidRPr="0053358C">
        <w:rPr>
          <w:b/>
        </w:rPr>
        <w:t xml:space="preserve">TERCERO </w:t>
      </w:r>
      <w:r w:rsidRPr="0053358C">
        <w:t xml:space="preserve">: Que el artículo 1 de la Ley </w:t>
      </w:r>
      <w:proofErr w:type="spellStart"/>
      <w:r w:rsidRPr="0053358C">
        <w:t>N°</w:t>
      </w:r>
      <w:proofErr w:type="spellEnd"/>
      <w:r w:rsidRPr="0053358C">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53358C" w:rsidR="00C45FF3" w:rsidP="00C45FF3" w:rsidRDefault="00C45FF3" w14:paraId="65F74614" w14:textId="77777777">
      <w:pPr>
        <w:ind w:firstLine="2"/>
        <w:jc w:val="both"/>
      </w:pPr>
    </w:p>
    <w:p w:rsidRPr="0053358C" w:rsidR="00C45FF3" w:rsidP="00C45FF3" w:rsidRDefault="00C45FF3" w14:paraId="5A485A96" w14:textId="77777777">
      <w:pPr>
        <w:ind w:firstLine="2"/>
        <w:jc w:val="both"/>
      </w:pPr>
      <w:r w:rsidRPr="0053358C">
        <w:rPr>
          <w:b/>
        </w:rPr>
        <w:t>CUARTO</w:t>
      </w:r>
      <w:r w:rsidRPr="0053358C">
        <w:t>: Que, el artículo 1361 del Código Civil dispone que los contratos sean obligatorios en cuanto se haya expresado en ellos, presumiéndose que lo declarado es lo querido por ambas partes, de manera que la parte que sostenga lo contrario debe probarlo.</w:t>
      </w:r>
    </w:p>
    <w:p w:rsidRPr="0053358C" w:rsidR="00C45FF3" w:rsidP="00C45FF3" w:rsidRDefault="00C45FF3" w14:paraId="24C806DC" w14:textId="77777777">
      <w:pPr>
        <w:ind w:firstLine="2"/>
        <w:jc w:val="both"/>
      </w:pPr>
    </w:p>
    <w:p w:rsidRPr="0053358C" w:rsidR="00C45FF3" w:rsidP="00C45FF3" w:rsidRDefault="00C45FF3" w14:paraId="28BBDBA6" w14:textId="77777777">
      <w:pPr>
        <w:ind w:firstLine="2"/>
        <w:jc w:val="both"/>
      </w:pPr>
      <w:r w:rsidRPr="0053358C">
        <w:rPr>
          <w:b/>
        </w:rPr>
        <w:t>QUINTO:</w:t>
      </w:r>
      <w:r w:rsidRPr="0053358C">
        <w:t xml:space="preserve"> Que, en materia procesal, corresponde a quien invoca hechos probar su existencia, carga procesal a la que se refiere el artículo 196 del Código Procesal Civil, salvo que se acoja a alguna presunción legal de carácter relativo o absoluto.</w:t>
      </w:r>
    </w:p>
    <w:p w:rsidRPr="0053358C" w:rsidR="00C45FF3" w:rsidP="00C45FF3" w:rsidRDefault="00C45FF3" w14:paraId="49E62BD9" w14:textId="77777777">
      <w:pPr>
        <w:ind w:firstLine="2"/>
        <w:jc w:val="both"/>
      </w:pPr>
    </w:p>
    <w:p w:rsidRPr="0053358C" w:rsidR="00C45FF3" w:rsidP="00C45FF3" w:rsidRDefault="00C45FF3" w14:paraId="1E2CF4AF" w14:textId="70A73FA0">
      <w:pPr>
        <w:ind w:firstLine="2"/>
        <w:jc w:val="both"/>
      </w:pPr>
      <w:r w:rsidRPr="155DD431" w:rsidR="00C45FF3">
        <w:rPr>
          <w:b w:val="1"/>
          <w:bCs w:val="1"/>
        </w:rPr>
        <w:t xml:space="preserve">SEXTO: </w:t>
      </w:r>
      <w:r w:rsidR="00C45FF3">
        <w:rPr/>
        <w:t xml:space="preserve">Que, de acuerdo a los términos contenidos en la reclamación, en la contestación a la reclamación y a lo manifestado por las partes en la audiencia de vista, la materia controvertida sometida al conocimiento de este colegiado radica en determinar si el motivo del rechazo del siniestro, expresado por </w:t>
      </w:r>
      <w:r w:rsidR="3E7F2619">
        <w:rPr/>
        <w:t>...........................</w:t>
      </w:r>
      <w:r w:rsidR="00C45FF3">
        <w:rPr/>
        <w:t xml:space="preserve"> en su correo electrónico de fecha 20 de setiembre de 2021, se encuentra sustentado de acuerdo a las Condiciones Generales y Particulares de la Póliza de Seguro de Desgravamen  contratada y a la Le</w:t>
      </w:r>
      <w:r w:rsidR="00C45FF3">
        <w:rPr/>
        <w:t xml:space="preserve">y </w:t>
      </w:r>
      <w:r w:rsidR="00C45FF3">
        <w:rPr/>
        <w:t>N°</w:t>
      </w:r>
      <w:r w:rsidR="00C45FF3">
        <w:rPr/>
        <w:t xml:space="preserve"> 29946, Ley de Contrato de Seguros.</w:t>
      </w:r>
    </w:p>
    <w:p w:rsidRPr="0053358C" w:rsidR="00C45FF3" w:rsidP="00C45FF3" w:rsidRDefault="00C45FF3" w14:paraId="3DB390AD" w14:textId="77777777">
      <w:pPr>
        <w:jc w:val="both"/>
        <w:rPr>
          <w:i/>
        </w:rPr>
      </w:pPr>
    </w:p>
    <w:p w:rsidRPr="0053358C" w:rsidR="00C45FF3" w:rsidP="00C45FF3" w:rsidRDefault="00C45FF3" w14:paraId="2CC2120B" w14:textId="77777777">
      <w:pPr>
        <w:ind w:firstLine="2"/>
        <w:jc w:val="both"/>
      </w:pPr>
      <w:r w:rsidRPr="0053358C">
        <w:rPr>
          <w:b/>
        </w:rPr>
        <w:t>SETIMO</w:t>
      </w:r>
      <w:r w:rsidRPr="0053358C">
        <w:rPr>
          <w:b/>
          <w:u w:val="single"/>
        </w:rPr>
        <w:t>:</w:t>
      </w:r>
      <w:r w:rsidRPr="0053358C">
        <w:t xml:space="preserve"> Que, el rechazo expresado por la aseguradora en su correo </w:t>
      </w:r>
      <w:proofErr w:type="gramStart"/>
      <w:r w:rsidRPr="0053358C">
        <w:t>mencionado,</w:t>
      </w:r>
      <w:proofErr w:type="gramEnd"/>
      <w:r w:rsidRPr="0053358C">
        <w:t xml:space="preserve"> se sustenta en que, a la fecha de fallecimiento del asegurado, los seguros de desgravamen cuyas coberturas son reclamadas ya no se encontraban vigentes, ya que habían caducado por falta de pago de las primas correspondientes. </w:t>
      </w:r>
    </w:p>
    <w:p w:rsidRPr="0053358C" w:rsidR="00C45FF3" w:rsidP="00C45FF3" w:rsidRDefault="00C45FF3" w14:paraId="2C3AF7A1" w14:textId="77777777">
      <w:pPr>
        <w:ind w:firstLine="2"/>
        <w:jc w:val="both"/>
      </w:pPr>
    </w:p>
    <w:p w:rsidRPr="0053358C" w:rsidR="00C45FF3" w:rsidP="00C45FF3" w:rsidRDefault="00C45FF3" w14:paraId="6D3AA7D6" w14:textId="77777777">
      <w:pPr>
        <w:ind w:firstLine="2"/>
        <w:jc w:val="both"/>
      </w:pPr>
      <w:r w:rsidRPr="0053358C">
        <w:rPr>
          <w:b/>
        </w:rPr>
        <w:t xml:space="preserve">OCTAVO: </w:t>
      </w:r>
      <w:r w:rsidRPr="0053358C">
        <w:t xml:space="preserve">Que, en respuesta a lo manifestado por la aseguradora en el Considerando Sétimo, la asegurada considera que la cobertura no debe ser rechazada, </w:t>
      </w:r>
      <w:proofErr w:type="gramStart"/>
      <w:r w:rsidRPr="0053358C">
        <w:t>en razón de</w:t>
      </w:r>
      <w:proofErr w:type="gramEnd"/>
      <w:r w:rsidRPr="0053358C">
        <w:t xml:space="preserve"> que el asegurado, antes de fallecer había acudido al Banco de Crédito solicitando un refinanciamiento para que pudiera ponerse al día, por lo que el Banco accedió, solicitándole un abono de S/ 1,500. - soles, (se adjunta copia del váucher) para darle una ampliación de tiempo, pero el banco no cumplió y siguió con el proceso y nunca hubo la ampliación del plazo.</w:t>
      </w:r>
    </w:p>
    <w:p w:rsidRPr="0053358C" w:rsidR="00C45FF3" w:rsidP="00C45FF3" w:rsidRDefault="00C45FF3" w14:paraId="7E45C076" w14:textId="77777777">
      <w:pPr>
        <w:ind w:firstLine="2"/>
        <w:jc w:val="both"/>
      </w:pPr>
      <w:r w:rsidRPr="0053358C">
        <w:t xml:space="preserve"> </w:t>
      </w:r>
    </w:p>
    <w:p w:rsidRPr="0053358C" w:rsidR="00C45FF3" w:rsidP="00C45FF3" w:rsidRDefault="00C45FF3" w14:paraId="54F57BA8" w14:textId="77777777">
      <w:pPr>
        <w:jc w:val="both"/>
      </w:pPr>
      <w:r w:rsidRPr="0053358C">
        <w:rPr>
          <w:b/>
        </w:rPr>
        <w:t>NOVENO. -</w:t>
      </w:r>
      <w:r w:rsidRPr="0053358C">
        <w:t xml:space="preserve"> Que, </w:t>
      </w:r>
      <w:proofErr w:type="gramStart"/>
      <w:r w:rsidRPr="0053358C">
        <w:t>en relación a</w:t>
      </w:r>
      <w:proofErr w:type="gramEnd"/>
      <w:r w:rsidRPr="0053358C">
        <w:t xml:space="preserve"> lo manifestado por la aseguradora y la reclamante en los Considerandos Sétimo y Octavo, en los escritos adicionales presentados y, del análisis de los documentos que obran en el expediente, este colegiado aprecia lo siguiente:</w:t>
      </w:r>
    </w:p>
    <w:p w:rsidRPr="0053358C" w:rsidR="00C45FF3" w:rsidP="00C45FF3" w:rsidRDefault="00C45FF3" w14:paraId="6895C18F" w14:textId="77777777">
      <w:pPr>
        <w:jc w:val="both"/>
      </w:pPr>
    </w:p>
    <w:p w:rsidRPr="0053358C" w:rsidR="00C45FF3" w:rsidP="00C45FF3" w:rsidRDefault="00C45FF3" w14:paraId="542F6982" w14:textId="77777777">
      <w:pPr>
        <w:pStyle w:val="Prrafodelista"/>
        <w:numPr>
          <w:ilvl w:val="0"/>
          <w:numId w:val="7"/>
        </w:numPr>
        <w:jc w:val="both"/>
      </w:pPr>
      <w:r w:rsidRPr="0053358C">
        <w:t>Que, la reclamante indica que ella no conocía las deudas contraídas por su ex conviviente con el Banco de Crédito.</w:t>
      </w:r>
    </w:p>
    <w:p w:rsidRPr="0053358C" w:rsidR="00C45FF3" w:rsidP="00C45FF3" w:rsidRDefault="00C45FF3" w14:paraId="39EF82E8" w14:textId="77777777">
      <w:pPr>
        <w:pStyle w:val="Prrafodelista"/>
        <w:numPr>
          <w:ilvl w:val="0"/>
          <w:numId w:val="7"/>
        </w:numPr>
        <w:jc w:val="both"/>
      </w:pPr>
      <w:r w:rsidRPr="0053358C">
        <w:t xml:space="preserve">Que, la reclamante manifiesta que el banco de Crédito aceptó una solicitud del asegurado de otorgar un mayor plazo para ponerse al día en sus deudas, a cambio de </w:t>
      </w:r>
      <w:r w:rsidRPr="0053358C">
        <w:t>un abono de S/ 1,500. - soles, el cual realizó y sin embargo el Banco siguió con el proceso, sin respetar el acuerdo</w:t>
      </w:r>
    </w:p>
    <w:p w:rsidRPr="0053358C" w:rsidR="00C45FF3" w:rsidP="00C45FF3" w:rsidRDefault="00C45FF3" w14:paraId="347DE097" w14:textId="77777777">
      <w:pPr>
        <w:pStyle w:val="Prrafodelista"/>
        <w:numPr>
          <w:ilvl w:val="0"/>
          <w:numId w:val="7"/>
        </w:numPr>
        <w:jc w:val="both"/>
      </w:pPr>
      <w:r w:rsidRPr="0053358C">
        <w:t xml:space="preserve">Que, la aseguradora ha rechazado el pago de las coberturas de los Seguros de Desgravamen, aduciendo que las mismas ya no se encontraban vigentes </w:t>
      </w:r>
      <w:proofErr w:type="gramStart"/>
      <w:r w:rsidRPr="0053358C">
        <w:t>en razón de</w:t>
      </w:r>
      <w:proofErr w:type="gramEnd"/>
      <w:r w:rsidRPr="0053358C">
        <w:t xml:space="preserve"> la falta de pago de las primas correspondientes.</w:t>
      </w:r>
    </w:p>
    <w:p w:rsidRPr="0053358C" w:rsidR="00C45FF3" w:rsidP="00C45FF3" w:rsidRDefault="00C45FF3" w14:paraId="5C1DC051" w14:textId="77777777">
      <w:pPr>
        <w:jc w:val="both"/>
      </w:pPr>
    </w:p>
    <w:p w:rsidRPr="0053358C" w:rsidR="00C45FF3" w:rsidP="00C45FF3" w:rsidRDefault="00C45FF3" w14:paraId="7C67DDDB" w14:textId="77777777">
      <w:pPr>
        <w:jc w:val="both"/>
      </w:pPr>
      <w:r w:rsidRPr="0053358C">
        <w:t xml:space="preserve">Que, respecto a lo manifestado por la reclamante en los literales a) y b), es necesario aclarar que dichos argumentos no pueden ser resueltos por la Defensoría del Asegurado </w:t>
      </w:r>
      <w:proofErr w:type="gramStart"/>
      <w:r w:rsidRPr="0053358C">
        <w:t>de acuerdo a</w:t>
      </w:r>
      <w:proofErr w:type="gramEnd"/>
      <w:r w:rsidRPr="0053358C">
        <w:t xml:space="preserve"> su propio reglamento. Sin embargo, pueden ser tratados en otras instancias.</w:t>
      </w:r>
    </w:p>
    <w:p w:rsidRPr="0053358C" w:rsidR="00C45FF3" w:rsidP="00C45FF3" w:rsidRDefault="00C45FF3" w14:paraId="37B7131E" w14:textId="77777777">
      <w:pPr>
        <w:jc w:val="both"/>
      </w:pPr>
    </w:p>
    <w:p w:rsidRPr="0053358C" w:rsidR="00C45FF3" w:rsidP="00C45FF3" w:rsidRDefault="00C45FF3" w14:paraId="056549C8" w14:textId="36517CAE">
      <w:pPr>
        <w:jc w:val="both"/>
      </w:pPr>
      <w:r w:rsidR="00C45FF3">
        <w:rPr/>
        <w:t xml:space="preserve">Que, </w:t>
      </w:r>
      <w:r w:rsidR="00C45FF3">
        <w:rPr/>
        <w:t>en relación a</w:t>
      </w:r>
      <w:r w:rsidR="00C45FF3">
        <w:rPr/>
        <w:t xml:space="preserve"> lo manifestado en el literal c),</w:t>
      </w:r>
      <w:r w:rsidR="1095A1B7">
        <w:rPr/>
        <w:t>.........................</w:t>
      </w:r>
      <w:r w:rsidR="00C45FF3">
        <w:rPr/>
        <w:t xml:space="preserve">en su escrito adicional ha reconocido la cobertura del Seguro de Desgravamen Hipotecario que cubre la deuda de la casa, </w:t>
      </w:r>
      <w:r w:rsidR="00C45FF3">
        <w:rPr/>
        <w:t>en razón de</w:t>
      </w:r>
      <w:r w:rsidR="00C45FF3">
        <w:rPr/>
        <w:t xml:space="preserve"> que, a la fecha de fallecimiento del asegurado, dicha póliza se encontraba al día en el pago de prima correspondiente.</w:t>
      </w:r>
    </w:p>
    <w:p w:rsidRPr="0053358C" w:rsidR="00C45FF3" w:rsidP="00C45FF3" w:rsidRDefault="00C45FF3" w14:paraId="19CC3601" w14:textId="77777777">
      <w:pPr>
        <w:jc w:val="both"/>
      </w:pPr>
    </w:p>
    <w:p w:rsidRPr="0053358C" w:rsidR="00C45FF3" w:rsidP="00C45FF3" w:rsidRDefault="00C45FF3" w14:paraId="4A408E9E" w14:textId="77777777">
      <w:pPr>
        <w:jc w:val="both"/>
      </w:pPr>
      <w:r w:rsidRPr="0053358C">
        <w:t xml:space="preserve">Que, sin embargo, el seguro de Desgravamen de la Tarjeta de Crédito a la fecha del fallecimiento del asegurado ya no se encontraba vigente, </w:t>
      </w:r>
      <w:proofErr w:type="gramStart"/>
      <w:r w:rsidRPr="0053358C">
        <w:t>en razón de</w:t>
      </w:r>
      <w:proofErr w:type="gramEnd"/>
      <w:r w:rsidRPr="0053358C">
        <w:t xml:space="preserve"> que las primas correspondientes no se habían abonado desde el 11 de diciembre de 2019, fecha anterior al fallecimiento del asegurado.</w:t>
      </w:r>
    </w:p>
    <w:p w:rsidRPr="0053358C" w:rsidR="00C45FF3" w:rsidP="00C45FF3" w:rsidRDefault="00C45FF3" w14:paraId="29AC1D77" w14:textId="77777777">
      <w:pPr>
        <w:jc w:val="both"/>
      </w:pPr>
      <w:r w:rsidRPr="0053358C">
        <w:t>Que, en el presente caso, dado que no existe en el expediente documento que pruebe que la aseguradora reclamó el pago de la prima durante 90 días a partir de la fecha de incumplimiento del pago, es de aplicación el artículo 21 de la Ley 29946, que expresa literalmente lo siguiente:</w:t>
      </w:r>
    </w:p>
    <w:p w:rsidRPr="0053358C" w:rsidR="00C45FF3" w:rsidP="00C45FF3" w:rsidRDefault="00C45FF3" w14:paraId="4AF31E72" w14:textId="77777777">
      <w:pPr>
        <w:jc w:val="both"/>
      </w:pPr>
    </w:p>
    <w:p w:rsidRPr="0053358C" w:rsidR="00C45FF3" w:rsidP="00C45FF3" w:rsidRDefault="00C45FF3" w14:paraId="6BE3C870" w14:textId="77777777">
      <w:pPr>
        <w:jc w:val="both"/>
      </w:pPr>
      <w:r w:rsidRPr="0053358C">
        <w:rPr>
          <w:i/>
          <w:iCs/>
        </w:rPr>
        <w:t>“Si el asegurador no reclama el pago de la prima dentro de los noventa (90) días siguientes al vencimiento del plazo, se entiende que el contrato queda extinguido</w:t>
      </w:r>
      <w:r w:rsidRPr="0053358C">
        <w:t>”</w:t>
      </w:r>
    </w:p>
    <w:p w:rsidRPr="0053358C" w:rsidR="00C45FF3" w:rsidP="00C45FF3" w:rsidRDefault="00C45FF3" w14:paraId="1C8D6667" w14:textId="77777777">
      <w:pPr>
        <w:jc w:val="both"/>
        <w:rPr>
          <w:bCs/>
          <w:iCs/>
        </w:rPr>
      </w:pPr>
    </w:p>
    <w:p w:rsidRPr="0053358C" w:rsidR="00C45FF3" w:rsidP="00C45FF3" w:rsidRDefault="00C45FF3" w14:paraId="779E3EAD" w14:textId="77777777">
      <w:pPr>
        <w:jc w:val="both"/>
      </w:pPr>
      <w:r w:rsidRPr="0053358C">
        <w:t>Que, en consecuencia, esta Defensoría del Asegurado concluye su apreciación razonada y conjunta al amparo de lo establecido en su Reglamento, por lo que</w:t>
      </w:r>
    </w:p>
    <w:p w:rsidRPr="0053358C" w:rsidR="00C45FF3" w:rsidP="00C45FF3" w:rsidRDefault="00C45FF3" w14:paraId="0CD77B12" w14:textId="77777777">
      <w:pPr>
        <w:jc w:val="both"/>
      </w:pPr>
    </w:p>
    <w:p w:rsidRPr="0053358C" w:rsidR="00C45FF3" w:rsidP="00C45FF3" w:rsidRDefault="00C45FF3" w14:paraId="41991DB5" w14:textId="77777777">
      <w:pPr>
        <w:jc w:val="both"/>
      </w:pPr>
      <w:r w:rsidRPr="0053358C">
        <w:t>Resuelve</w:t>
      </w:r>
    </w:p>
    <w:p w:rsidRPr="0053358C" w:rsidR="00C45FF3" w:rsidP="00C45FF3" w:rsidRDefault="00C45FF3" w14:paraId="2A157D20" w14:textId="77777777">
      <w:pPr>
        <w:jc w:val="both"/>
      </w:pPr>
    </w:p>
    <w:p w:rsidRPr="0053358C" w:rsidR="00C45FF3" w:rsidP="00C45FF3" w:rsidRDefault="00C45FF3" w14:paraId="156DFC56" w14:textId="22509119">
      <w:pPr>
        <w:jc w:val="both"/>
      </w:pPr>
      <w:r w:rsidR="00C45FF3">
        <w:rPr/>
        <w:t xml:space="preserve">Declarar </w:t>
      </w:r>
      <w:r w:rsidRPr="155DD431" w:rsidR="00C45FF3">
        <w:rPr>
          <w:b w:val="1"/>
          <w:bCs w:val="1"/>
        </w:rPr>
        <w:t>INFUNDADA</w:t>
      </w:r>
      <w:r w:rsidR="00C45FF3">
        <w:rPr/>
        <w:t xml:space="preserve"> la reclamación interpuesta por </w:t>
      </w:r>
      <w:r w:rsidR="4238CEB6">
        <w:rPr/>
        <w:t>.............................................</w:t>
      </w:r>
      <w:r w:rsidR="00C45FF3">
        <w:rPr/>
        <w:t xml:space="preserve"> contra</w:t>
      </w:r>
      <w:r w:rsidR="6D8B9814">
        <w:rPr/>
        <w:t>......................................</w:t>
      </w:r>
      <w:r w:rsidR="00C45FF3">
        <w:rPr/>
        <w:t xml:space="preserve">, </w:t>
      </w:r>
      <w:r w:rsidR="00C45FF3">
        <w:rPr/>
        <w:t>en relación a</w:t>
      </w:r>
      <w:r w:rsidR="00C45FF3">
        <w:rPr/>
        <w:t xml:space="preserve"> la cobertura de Desgravamen de la tarjeta de Crédito, dejando a salvo el derecho de la reclamante a recurrir a las instancias que considere pertinentes.</w:t>
      </w:r>
    </w:p>
    <w:p w:rsidRPr="0053358C" w:rsidR="001631D6" w:rsidP="00F202DC" w:rsidRDefault="00F15FBA" w14:paraId="48C7895B" w14:textId="34E5C062">
      <w:pPr>
        <w:jc w:val="right"/>
        <w:outlineLvl w:val="0"/>
        <w:rPr>
          <w:lang w:val="es-PE"/>
        </w:rPr>
      </w:pPr>
      <w:r w:rsidRPr="0053358C">
        <w:rPr>
          <w:lang w:val="es-PE"/>
        </w:rPr>
        <w:t xml:space="preserve">Lima, </w:t>
      </w:r>
      <w:r w:rsidRPr="0053358C" w:rsidR="00C45FF3">
        <w:t>03</w:t>
      </w:r>
      <w:r w:rsidRPr="0053358C" w:rsidR="00195646">
        <w:t xml:space="preserve"> </w:t>
      </w:r>
      <w:r w:rsidRPr="0053358C">
        <w:rPr>
          <w:lang w:val="es-PE"/>
        </w:rPr>
        <w:t>de</w:t>
      </w:r>
      <w:r w:rsidRPr="0053358C" w:rsidR="001631D6">
        <w:rPr>
          <w:lang w:val="es-PE"/>
        </w:rPr>
        <w:t xml:space="preserve"> </w:t>
      </w:r>
      <w:r w:rsidRPr="0053358C" w:rsidR="00C45FF3">
        <w:rPr>
          <w:lang w:val="es-PE"/>
        </w:rPr>
        <w:t>febrero</w:t>
      </w:r>
      <w:r w:rsidRPr="0053358C" w:rsidR="001631D6">
        <w:rPr>
          <w:lang w:val="es-PE"/>
        </w:rPr>
        <w:t xml:space="preserve"> </w:t>
      </w:r>
      <w:r w:rsidRPr="0053358C">
        <w:rPr>
          <w:lang w:val="es-PE"/>
        </w:rPr>
        <w:t>de 20</w:t>
      </w:r>
      <w:r w:rsidRPr="0053358C" w:rsidR="001631D6">
        <w:rPr>
          <w:lang w:val="es-PE"/>
        </w:rPr>
        <w:t>2</w:t>
      </w:r>
      <w:r w:rsidRPr="0053358C" w:rsidR="00444D29">
        <w:rPr>
          <w:lang w:val="es-PE"/>
        </w:rPr>
        <w:t>2</w:t>
      </w:r>
    </w:p>
    <w:p w:rsidRPr="0053358C" w:rsidR="00F202DC" w:rsidP="001631D6" w:rsidRDefault="00F202DC" w14:paraId="55EA6443" w14:textId="77777777">
      <w:pPr>
        <w:jc w:val="both"/>
      </w:pPr>
    </w:p>
    <w:p w:rsidRPr="0053358C" w:rsidR="001631D6" w:rsidP="001631D6" w:rsidRDefault="001631D6" w14:paraId="54F717D9" w14:textId="77777777">
      <w:pPr>
        <w:jc w:val="both"/>
        <w:rPr>
          <w:b/>
          <w:bCs/>
          <w:i/>
          <w:iCs/>
          <w:lang w:val="es-ES_tradnl"/>
        </w:rPr>
      </w:pPr>
      <w:r w:rsidRPr="0053358C">
        <w:rPr>
          <w:b/>
          <w:bCs/>
          <w:i/>
          <w:iCs/>
          <w:lang w:val="es-ES_tradnl"/>
        </w:rPr>
        <w:t>La Secretaría Técnica certifica que la presente resolución cuenta con el voto de los vocales cuyos nombres figuran en el presente documento.</w:t>
      </w:r>
    </w:p>
    <w:p w:rsidRPr="0053358C" w:rsidR="001631D6" w:rsidP="001631D6" w:rsidRDefault="001631D6" w14:paraId="265ABE8B" w14:textId="77777777">
      <w:pPr>
        <w:jc w:val="both"/>
        <w:rPr>
          <w:b/>
          <w:bCs/>
          <w:i/>
          <w:iCs/>
          <w:lang w:val="es-ES_tradnl"/>
        </w:rPr>
      </w:pPr>
    </w:p>
    <w:p w:rsidRPr="0053358C" w:rsidR="001631D6" w:rsidP="001631D6" w:rsidRDefault="001631D6" w14:paraId="024CA4C1" w14:textId="77777777">
      <w:pPr>
        <w:jc w:val="both"/>
        <w:rPr>
          <w:b/>
          <w:bCs/>
          <w:i/>
          <w:iCs/>
          <w:lang w:val="es-ES_tradnl"/>
        </w:rPr>
      </w:pPr>
    </w:p>
    <w:p w:rsidRPr="0053358C" w:rsidR="003E6BA6" w:rsidP="003E6BA6" w:rsidRDefault="003E6BA6" w14:paraId="7E9839D4" w14:textId="5DB01808">
      <w:pPr>
        <w:spacing w:line="360" w:lineRule="auto"/>
        <w:jc w:val="center"/>
        <w:rPr>
          <w:b/>
          <w:bCs/>
        </w:rPr>
      </w:pPr>
      <w:r w:rsidRPr="0053358C">
        <w:rPr>
          <w:b/>
          <w:bCs/>
        </w:rPr>
        <w:t xml:space="preserve">María Eugenia Valdez Fernández Baca – </w:t>
      </w:r>
      <w:proofErr w:type="gramStart"/>
      <w:r w:rsidRPr="0053358C">
        <w:rPr>
          <w:b/>
          <w:bCs/>
        </w:rPr>
        <w:t>Presidente</w:t>
      </w:r>
      <w:proofErr w:type="gramEnd"/>
    </w:p>
    <w:p w:rsidRPr="0053358C" w:rsidR="001631D6" w:rsidP="001631D6" w:rsidRDefault="001631D6" w14:paraId="515933D0" w14:textId="5FD7ECBB">
      <w:pPr>
        <w:spacing w:line="360" w:lineRule="auto"/>
        <w:jc w:val="center"/>
        <w:rPr>
          <w:b/>
          <w:bCs/>
        </w:rPr>
      </w:pPr>
      <w:r w:rsidRPr="0053358C">
        <w:rPr>
          <w:b/>
          <w:bCs/>
        </w:rPr>
        <w:t xml:space="preserve">Rolando Eyzaguirre </w:t>
      </w:r>
      <w:proofErr w:type="spellStart"/>
      <w:r w:rsidRPr="0053358C">
        <w:rPr>
          <w:b/>
          <w:bCs/>
        </w:rPr>
        <w:t>Maccan</w:t>
      </w:r>
      <w:proofErr w:type="spellEnd"/>
      <w:r w:rsidRPr="0053358C">
        <w:rPr>
          <w:b/>
          <w:bCs/>
        </w:rPr>
        <w:t xml:space="preserve"> – </w:t>
      </w:r>
      <w:r w:rsidRPr="0053358C" w:rsidR="003E6BA6">
        <w:rPr>
          <w:b/>
          <w:bCs/>
        </w:rPr>
        <w:t>Vocal</w:t>
      </w:r>
    </w:p>
    <w:p w:rsidRPr="0053358C" w:rsidR="001631D6" w:rsidP="001631D6" w:rsidRDefault="001631D6" w14:paraId="44059E74" w14:textId="419A9DDE">
      <w:pPr>
        <w:spacing w:line="360" w:lineRule="auto"/>
        <w:jc w:val="center"/>
        <w:rPr>
          <w:b/>
          <w:bCs/>
        </w:rPr>
      </w:pPr>
      <w:r w:rsidRPr="0053358C">
        <w:rPr>
          <w:b/>
          <w:bCs/>
        </w:rPr>
        <w:t xml:space="preserve">Gonzalo Abad del Busto </w:t>
      </w:r>
      <w:r w:rsidRPr="0053358C" w:rsidR="00916337">
        <w:rPr>
          <w:b/>
          <w:bCs/>
        </w:rPr>
        <w:t>–</w:t>
      </w:r>
      <w:r w:rsidRPr="0053358C">
        <w:rPr>
          <w:b/>
          <w:bCs/>
        </w:rPr>
        <w:t xml:space="preserve"> Vocal</w:t>
      </w:r>
    </w:p>
    <w:p w:rsidRPr="0053358C" w:rsidR="00916337" w:rsidP="001631D6" w:rsidRDefault="00916337" w14:paraId="53DACFCC" w14:textId="63A72829">
      <w:pPr>
        <w:spacing w:line="360" w:lineRule="auto"/>
        <w:jc w:val="center"/>
        <w:rPr>
          <w:b/>
          <w:bCs/>
        </w:rPr>
      </w:pPr>
    </w:p>
    <w:p w:rsidRPr="0053358C" w:rsidR="00916337" w:rsidP="00916337" w:rsidRDefault="00916337" w14:paraId="65007ADD" w14:textId="77777777">
      <w:pPr>
        <w:jc w:val="center"/>
        <w:outlineLvl w:val="0"/>
        <w:rPr>
          <w:b/>
          <w:u w:val="single"/>
        </w:rPr>
      </w:pPr>
      <w:r w:rsidRPr="0053358C">
        <w:rPr>
          <w:b/>
          <w:u w:val="single"/>
        </w:rPr>
        <w:t>VOTO EN DISCORDIA DEL VOCAL MARCO ANTONIO ORTEGA PIANA</w:t>
      </w:r>
    </w:p>
    <w:p w:rsidRPr="0053358C" w:rsidR="00916337" w:rsidP="00916337" w:rsidRDefault="00916337" w14:paraId="5E766911" w14:textId="77777777">
      <w:pPr>
        <w:jc w:val="center"/>
        <w:outlineLvl w:val="0"/>
        <w:rPr>
          <w:b/>
          <w:u w:val="single"/>
        </w:rPr>
      </w:pPr>
    </w:p>
    <w:p w:rsidRPr="0053358C" w:rsidR="00916337" w:rsidP="00916337" w:rsidRDefault="00916337" w14:paraId="7FA9A9E2" w14:textId="77777777">
      <w:pPr>
        <w:jc w:val="center"/>
        <w:outlineLvl w:val="0"/>
        <w:rPr>
          <w:b/>
          <w:u w:val="single"/>
        </w:rPr>
      </w:pPr>
    </w:p>
    <w:p w:rsidRPr="0053358C" w:rsidR="00916337" w:rsidP="00916337" w:rsidRDefault="00916337" w14:paraId="2AE734D8" w14:textId="77777777">
      <w:pPr>
        <w:jc w:val="both"/>
        <w:outlineLvl w:val="0"/>
      </w:pPr>
      <w:r w:rsidRPr="0053358C">
        <w:t>El vocal que suscribe deja constancia de lo siguiente:</w:t>
      </w:r>
    </w:p>
    <w:p w:rsidRPr="0053358C" w:rsidR="00916337" w:rsidP="00916337" w:rsidRDefault="00916337" w14:paraId="02E3121F" w14:textId="77777777">
      <w:pPr>
        <w:jc w:val="both"/>
        <w:outlineLvl w:val="0"/>
      </w:pPr>
    </w:p>
    <w:p w:rsidRPr="0053358C" w:rsidR="00916337" w:rsidP="00916337" w:rsidRDefault="00916337" w14:paraId="5C3AE5F5" w14:textId="77777777">
      <w:pPr>
        <w:jc w:val="both"/>
        <w:outlineLvl w:val="0"/>
        <w:rPr>
          <w:b/>
          <w:bCs/>
        </w:rPr>
      </w:pPr>
      <w:r w:rsidRPr="0053358C">
        <w:rPr>
          <w:b/>
          <w:bCs/>
        </w:rPr>
        <w:t>CONSIDERANDO:</w:t>
      </w:r>
    </w:p>
    <w:p w:rsidRPr="0053358C" w:rsidR="00916337" w:rsidP="00916337" w:rsidRDefault="00916337" w14:paraId="5A94D8C6" w14:textId="77777777">
      <w:pPr>
        <w:jc w:val="both"/>
        <w:outlineLvl w:val="0"/>
      </w:pPr>
    </w:p>
    <w:p w:rsidRPr="0053358C" w:rsidR="00916337" w:rsidP="00916337" w:rsidRDefault="00916337" w14:paraId="1B4CFC93" w14:textId="77777777">
      <w:pPr>
        <w:pStyle w:val="Prrafodelista"/>
        <w:numPr>
          <w:ilvl w:val="0"/>
          <w:numId w:val="8"/>
        </w:numPr>
        <w:ind w:left="709" w:hanging="709"/>
        <w:jc w:val="both"/>
        <w:outlineLvl w:val="0"/>
      </w:pPr>
      <w:r w:rsidRPr="0053358C">
        <w:t xml:space="preserve">Tratándose de los hechos señalados en la resolución aprobada por mayoría, el vocal que suscribe el presente voto estima que la sola circunstancia de no haberse pagado la prima por determinado período es insuficiente </w:t>
      </w:r>
      <w:r w:rsidRPr="0053358C">
        <w:rPr>
          <w:i/>
          <w:iCs/>
        </w:rPr>
        <w:t xml:space="preserve">per se </w:t>
      </w:r>
      <w:r w:rsidRPr="0053358C">
        <w:t>para concluir que el contrato de seguro quedó extinguido, esto es, que quedó automáticamente resuelto por falta de pago, conforme a lo regulado en el último párrafo del artículo 21 de la Ley Nro. 29946 – Ley del Contrato de Seguro.</w:t>
      </w:r>
    </w:p>
    <w:p w:rsidRPr="0053358C" w:rsidR="00916337" w:rsidP="00916337" w:rsidRDefault="00916337" w14:paraId="7382424E" w14:textId="77777777">
      <w:pPr>
        <w:pStyle w:val="Prrafodelista"/>
        <w:ind w:left="709"/>
        <w:jc w:val="both"/>
        <w:outlineLvl w:val="0"/>
      </w:pPr>
    </w:p>
    <w:p w:rsidRPr="0053358C" w:rsidR="00916337" w:rsidP="00916337" w:rsidRDefault="00916337" w14:paraId="67369F4C" w14:textId="77777777">
      <w:pPr>
        <w:pStyle w:val="Prrafodelista"/>
        <w:numPr>
          <w:ilvl w:val="0"/>
          <w:numId w:val="8"/>
        </w:numPr>
        <w:ind w:left="709" w:hanging="709"/>
        <w:jc w:val="both"/>
        <w:outlineLvl w:val="0"/>
      </w:pPr>
      <w:r w:rsidRPr="0053358C">
        <w:t xml:space="preserve">La denominada “extinción” del contrato de seguro está regulada en la Ley Nro. 29946 – Ley del Contrato de Seguro (en lo sucesivo LCS) en el mismo artículo que la suspensión de cobertura.  En efecto, el artículo 21 de la señalada ley, regula en un único texto las figuras de suspensión de cobertura, </w:t>
      </w:r>
      <w:proofErr w:type="gramStart"/>
      <w:r w:rsidRPr="0053358C">
        <w:t>resolución contractual y extinción contractual</w:t>
      </w:r>
      <w:proofErr w:type="gramEnd"/>
      <w:r w:rsidRPr="0053358C">
        <w:t>, disponiendo lo siguiente:</w:t>
      </w:r>
    </w:p>
    <w:p w:rsidRPr="0053358C" w:rsidR="00916337" w:rsidP="00916337" w:rsidRDefault="00916337" w14:paraId="358A1548" w14:textId="77777777">
      <w:pPr>
        <w:jc w:val="both"/>
        <w:outlineLvl w:val="0"/>
      </w:pPr>
    </w:p>
    <w:p w:rsidRPr="0053358C" w:rsidR="00916337" w:rsidP="00916337" w:rsidRDefault="00916337" w14:paraId="0D5F2980" w14:textId="77777777">
      <w:pPr>
        <w:tabs>
          <w:tab w:val="left" w:pos="1416"/>
          <w:tab w:val="left" w:pos="2160"/>
          <w:tab w:val="left" w:pos="3540"/>
          <w:tab w:val="left" w:pos="4248"/>
          <w:tab w:val="left" w:pos="4956"/>
          <w:tab w:val="left" w:pos="5664"/>
          <w:tab w:val="left" w:pos="6372"/>
          <w:tab w:val="left" w:pos="7125"/>
        </w:tabs>
        <w:ind w:left="1418"/>
        <w:jc w:val="both"/>
        <w:rPr>
          <w:i/>
        </w:rPr>
      </w:pPr>
      <w:r w:rsidRPr="0053358C">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53358C" w:rsidR="00916337" w:rsidP="00916337" w:rsidRDefault="00916337" w14:paraId="16C7CBC6"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53358C" w:rsidR="00916337" w:rsidP="00916337" w:rsidRDefault="00916337" w14:paraId="09E12E38" w14:textId="77777777">
      <w:pPr>
        <w:tabs>
          <w:tab w:val="left" w:pos="1416"/>
          <w:tab w:val="left" w:pos="2160"/>
          <w:tab w:val="left" w:pos="3540"/>
          <w:tab w:val="left" w:pos="4248"/>
          <w:tab w:val="left" w:pos="4956"/>
          <w:tab w:val="left" w:pos="5664"/>
          <w:tab w:val="left" w:pos="6372"/>
          <w:tab w:val="left" w:pos="7125"/>
        </w:tabs>
        <w:ind w:left="1418"/>
        <w:jc w:val="both"/>
        <w:rPr>
          <w:i/>
        </w:rPr>
      </w:pPr>
      <w:r w:rsidRPr="0053358C">
        <w:rPr>
          <w:i/>
        </w:rPr>
        <w:t>La suspensión de cobertura no es aplicable en los casos en que el contratante ha pagado, proporcionalmente, una prima igual o mayor al período corrido del contrato.</w:t>
      </w:r>
    </w:p>
    <w:p w:rsidRPr="0053358C" w:rsidR="00916337" w:rsidP="00916337" w:rsidRDefault="00916337" w14:paraId="1EB6D22B"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53358C" w:rsidR="00916337" w:rsidP="00916337" w:rsidRDefault="00916337" w14:paraId="66A97B75" w14:textId="77777777">
      <w:pPr>
        <w:tabs>
          <w:tab w:val="left" w:pos="1416"/>
          <w:tab w:val="left" w:pos="2160"/>
          <w:tab w:val="left" w:pos="3540"/>
          <w:tab w:val="left" w:pos="4248"/>
          <w:tab w:val="left" w:pos="4956"/>
          <w:tab w:val="left" w:pos="5664"/>
          <w:tab w:val="left" w:pos="6372"/>
          <w:tab w:val="left" w:pos="7125"/>
        </w:tabs>
        <w:ind w:left="1418"/>
        <w:jc w:val="both"/>
        <w:rPr>
          <w:i/>
        </w:rPr>
      </w:pPr>
      <w:r w:rsidRPr="0053358C">
        <w:rPr>
          <w:i/>
        </w:rPr>
        <w:t>Si el asegurador no reclama el pago de la prima dentro de los noventa (90) días siguientes al vencimiento del plazo, se entiende que el contrato queda extinguido.”</w:t>
      </w:r>
    </w:p>
    <w:p w:rsidRPr="0053358C" w:rsidR="00916337" w:rsidP="00916337" w:rsidRDefault="00916337" w14:paraId="0EF22E6B"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53358C" w:rsidR="00916337" w:rsidP="00916337" w:rsidRDefault="00916337" w14:paraId="7BEB7C75" w14:textId="77777777">
      <w:pPr>
        <w:pStyle w:val="Prrafodelista"/>
        <w:numPr>
          <w:ilvl w:val="0"/>
          <w:numId w:val="8"/>
        </w:numPr>
        <w:tabs>
          <w:tab w:val="left" w:pos="709"/>
          <w:tab w:val="left" w:pos="1416"/>
          <w:tab w:val="left" w:pos="2160"/>
          <w:tab w:val="left" w:pos="3540"/>
          <w:tab w:val="left" w:pos="4248"/>
          <w:tab w:val="left" w:pos="4956"/>
          <w:tab w:val="left" w:pos="5664"/>
          <w:tab w:val="left" w:pos="6372"/>
          <w:tab w:val="left" w:pos="7125"/>
        </w:tabs>
        <w:ind w:left="709" w:hanging="709"/>
        <w:jc w:val="both"/>
      </w:pPr>
      <w:r w:rsidRPr="0053358C">
        <w:t>Por su parte, el Reglamento de Pago de Primas de Pólizas de Seguro, aprobado mediante Resolución SBS Nro. 3198-2013, regula de manera separada el régimen de la suspensión de cobertura (conforme a lo señalado anteriormente) y el de la extinción, disponiendo en su artículo 11 lo siguiente, tratándose de este último:</w:t>
      </w:r>
    </w:p>
    <w:p w:rsidRPr="0053358C" w:rsidR="00916337" w:rsidP="00916337" w:rsidRDefault="00916337" w14:paraId="1412A08C"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53358C" w:rsidR="00916337" w:rsidP="00916337" w:rsidRDefault="00916337" w14:paraId="29A5E112" w14:textId="77777777">
      <w:pPr>
        <w:tabs>
          <w:tab w:val="left" w:pos="1418"/>
          <w:tab w:val="left" w:pos="2160"/>
          <w:tab w:val="left" w:pos="3540"/>
          <w:tab w:val="left" w:pos="4248"/>
          <w:tab w:val="left" w:pos="4956"/>
          <w:tab w:val="left" w:pos="5664"/>
          <w:tab w:val="left" w:pos="6372"/>
          <w:tab w:val="left" w:pos="7125"/>
        </w:tabs>
        <w:ind w:left="1418"/>
        <w:jc w:val="both"/>
        <w:rPr>
          <w:i/>
        </w:rPr>
      </w:pPr>
      <w:r w:rsidRPr="0053358C">
        <w:rPr>
          <w:i/>
        </w:rPr>
        <w:t xml:space="preserve">“Si la empresa no reclama el pago de la prima dentro de los noventa (90) días siguientes al vencimiento del plazo, se entiende que el contrato queda extinguido y tiene derecho al cobro de la prima devengada. Para dichos </w:t>
      </w:r>
      <w:r w:rsidRPr="0053358C">
        <w:rPr>
          <w:i/>
        </w:rPr>
        <w:t>efectos, dicho plazo corresponderá al de vencimiento de pago de prima, establecido en el contrato y en el convenio de pago.</w:t>
      </w:r>
    </w:p>
    <w:p w:rsidRPr="0053358C" w:rsidR="00916337" w:rsidP="00916337" w:rsidRDefault="00916337" w14:paraId="5BB82A95" w14:textId="77777777">
      <w:pPr>
        <w:tabs>
          <w:tab w:val="left" w:pos="0"/>
          <w:tab w:val="left" w:pos="1418"/>
          <w:tab w:val="left" w:pos="2160"/>
          <w:tab w:val="left" w:pos="3540"/>
          <w:tab w:val="left" w:pos="4248"/>
          <w:tab w:val="left" w:pos="4956"/>
          <w:tab w:val="left" w:pos="5664"/>
          <w:tab w:val="left" w:pos="6372"/>
          <w:tab w:val="left" w:pos="7125"/>
        </w:tabs>
        <w:ind w:left="1418"/>
        <w:jc w:val="both"/>
        <w:rPr>
          <w:i/>
        </w:rPr>
      </w:pPr>
      <w:r w:rsidRPr="0053358C">
        <w:rPr>
          <w:i/>
        </w:rPr>
        <w:t>Se entiende por reclamo del pago de primas, el inicio de un proceso judicial o arbitral de cobranza de pago de primas, por parte de la empresa”.</w:t>
      </w:r>
    </w:p>
    <w:p w:rsidRPr="0053358C" w:rsidR="00916337" w:rsidP="00916337" w:rsidRDefault="00916337" w14:paraId="43467510"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53358C" w:rsidR="00916337" w:rsidP="00916337" w:rsidRDefault="00916337" w14:paraId="0105C5FA" w14:textId="77777777">
      <w:pPr>
        <w:tabs>
          <w:tab w:val="left" w:pos="709"/>
          <w:tab w:val="left" w:pos="1416"/>
          <w:tab w:val="left" w:pos="2160"/>
          <w:tab w:val="left" w:pos="3540"/>
          <w:tab w:val="left" w:pos="4248"/>
          <w:tab w:val="left" w:pos="4956"/>
          <w:tab w:val="left" w:pos="5664"/>
          <w:tab w:val="left" w:pos="6372"/>
          <w:tab w:val="left" w:pos="7125"/>
        </w:tabs>
        <w:ind w:left="709" w:hanging="709"/>
        <w:jc w:val="both"/>
      </w:pPr>
      <w:r w:rsidRPr="0053358C">
        <w:tab/>
      </w:r>
      <w:r w:rsidRPr="0053358C">
        <w:t>Conforme se aprecia, más allá de reiterar lo señalado en el último párrafo del artículo 21 de la LCS, la norma bajo comentario no enuncia ni desarrolla la manera en que opera dicha “extinción”, una extinción que no es sino jurídicamente una resolución, derivada a su vez por falta de pago de la prima, esto es, por incumplimiento de obligaciones.</w:t>
      </w:r>
    </w:p>
    <w:p w:rsidRPr="0053358C" w:rsidR="00916337" w:rsidP="00916337" w:rsidRDefault="00916337" w14:paraId="5588AF28"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53358C" w:rsidR="00916337" w:rsidP="00916337" w:rsidRDefault="00916337" w14:paraId="77B4793B"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De las normas reproducidas puede destacarse, al menos preliminarmente (por ello el uso de ciertos condicionales), lo siguiente: (i) La suspensión no opera por el solo hecho de la falta de pago de la prima sino que requiere de una comunicación previa, sujeta a ciertos requisitos de fondo y forma, (</w:t>
      </w:r>
      <w:proofErr w:type="spellStart"/>
      <w:r w:rsidRPr="0053358C">
        <w:t>ii</w:t>
      </w:r>
      <w:proofErr w:type="spellEnd"/>
      <w:r w:rsidRPr="0053358C">
        <w:t>) la suspensión opera automáticamente transcurridos treinta (30) días desde que se remite la comunicación referida anteriormente, (</w:t>
      </w:r>
      <w:proofErr w:type="spellStart"/>
      <w:r w:rsidRPr="0053358C">
        <w:t>iii</w:t>
      </w:r>
      <w:proofErr w:type="spellEnd"/>
      <w:r w:rsidRPr="0053358C">
        <w:t>) la extinción, por el contrario, sí operaría por sí misma, demandando de dos requisitos: que el contratante no haya pagado la prima y que la aseguradora no haya reclamado el pago que le es debido, y (</w:t>
      </w:r>
      <w:proofErr w:type="spellStart"/>
      <w:r w:rsidRPr="0053358C">
        <w:t>iv</w:t>
      </w:r>
      <w:proofErr w:type="spellEnd"/>
      <w:r w:rsidRPr="0053358C">
        <w:t>) la extinción no presupondría suspensión, a diferencia de la resolución regulada expresamente por falta de pago (artículo 23 de la LCS).</w:t>
      </w:r>
    </w:p>
    <w:p w:rsidRPr="0053358C" w:rsidR="00916337" w:rsidP="00916337" w:rsidRDefault="00916337" w14:paraId="619BC0B8"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53358C" w:rsidR="00916337" w:rsidP="00916337" w:rsidRDefault="00916337" w14:paraId="2F3D4F73"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Conforme al señalado régimen normativo, puede asumirse que la extinción sería una situación jurídica que se genera cuando ambas partes (de allí la necesaria concurrencia de las inacciones del contratante y de la aseguradora) han perdido interés en el vínculo contractual, lo cual explica que ni el contratante pague ni la aseguradora requiera el pago de la prima adeudada; empero, también debe destacarse que, mientras no se produzca la señalada extinción, el respectivo contrato de seguro se mantiene vigente, siendo que la manera de afectar su eficacia sería mediante el régimen de suspensión de cobertura referido anteriormente.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53358C" w:rsidR="00916337" w:rsidP="00916337" w:rsidRDefault="00916337" w14:paraId="5E1DCB3D" w14:textId="77777777">
      <w:pPr>
        <w:pStyle w:val="Prrafodelista"/>
      </w:pPr>
    </w:p>
    <w:p w:rsidRPr="0053358C" w:rsidR="00916337" w:rsidP="00916337" w:rsidRDefault="00916337" w14:paraId="380AC28B"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Sin embargo, a juicio del suscrito, se generan ciertas dudas sobre los señalados requisitos para que opere la extinción del seguro, tal como se propone en la resolución aprobada por mayoría.</w:t>
      </w:r>
    </w:p>
    <w:p w:rsidRPr="0053358C" w:rsidR="00916337" w:rsidP="00916337" w:rsidRDefault="00916337" w14:paraId="0FD6311B" w14:textId="77777777">
      <w:pPr>
        <w:pStyle w:val="Prrafodelista"/>
      </w:pPr>
    </w:p>
    <w:p w:rsidRPr="0053358C" w:rsidR="00916337" w:rsidP="00916337" w:rsidRDefault="00916337" w14:paraId="27268DC9"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roofErr w:type="gramStart"/>
      <w:r w:rsidRPr="0053358C">
        <w:t>De acuerdo al</w:t>
      </w:r>
      <w:proofErr w:type="gramEnd"/>
      <w:r w:rsidRPr="0053358C">
        <w:t xml:space="preserve"> artículo 21 de la LCS, para que opere la suspensión de cobertura se requiere que transcurran treinta (30) días desde la fecha de vencimiento de pago de la prima (o de una cuota de la misma si hubiese sido fraccionada) y que, en dicho plazo, la aseguradora haya cumplido con informar al asegurado sobre ese incumplimiento y sus consecuencias, así como sobre la fecha límite de pago para impedir que opere la suspensión de cobertura.</w:t>
      </w:r>
    </w:p>
    <w:p w:rsidRPr="0053358C" w:rsidR="00916337" w:rsidP="00916337" w:rsidRDefault="00916337" w14:paraId="0D1A1B9C"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53358C" w:rsidR="00916337" w:rsidP="00916337" w:rsidRDefault="00916337" w14:paraId="3DA1DD01"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53358C">
        <w:t xml:space="preserve">Dado que la extinción contractual está regulada en el mismo artículo legal sobre la suspensión de cobertura debida a la falta de pago de la prima, a </w:t>
      </w:r>
      <w:proofErr w:type="gramStart"/>
      <w:r w:rsidRPr="0053358C">
        <w:t>continuación</w:t>
      </w:r>
      <w:proofErr w:type="gramEnd"/>
      <w:r w:rsidRPr="0053358C">
        <w:t xml:space="preserve"> suya </w:t>
      </w:r>
      <w:r w:rsidRPr="0053358C">
        <w:t xml:space="preserve">para ser más precisos, la duda surge en torno a si la extinción del contrato de seguro se produce aun cuando la cobertura no se encontrase previamente suspendida.  El origen de esa duda gira en torno a los propios alcances de la LCS, pues habiéndose establecido determinados requisitos para que opere la suspensión de cobertura (comunicación, con indicación de consecuencias por la falta de pago y del plazo para esto último), lo que no afecta la vigencia del contrato, llama la atención que no se contemplen por lo menos los mismos requisitos cuando se trata de generar una situación más gravosa, como es la extinción del contrato de seguro.  Y es que sería suficiente, literalmente, que la aseguradora no haya demandado el pago de las primas (en la vía judicial o arbitral) y que el contratante, el asegurado, no las haya pagado para que el contrato quede extinguido </w:t>
      </w:r>
      <w:r w:rsidRPr="0053358C">
        <w:rPr>
          <w:i/>
        </w:rPr>
        <w:t>per se</w:t>
      </w:r>
      <w:r w:rsidRPr="0053358C">
        <w:t>, sin necesidad de comunicación alguna, por el simple transcurso del tiempo, de manera automática.</w:t>
      </w:r>
    </w:p>
    <w:p w:rsidRPr="0053358C" w:rsidR="00916337" w:rsidP="00916337" w:rsidRDefault="00916337" w14:paraId="05A84516"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53358C" w:rsidR="00916337" w:rsidP="00916337" w:rsidRDefault="00916337" w14:paraId="236F08AD"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53358C">
        <w:t xml:space="preserve">Es esta grave consecuencia para el interés del asegurado la que obliga, a juicio del suscrito, a reevaluar si la extinción del contrato de seguro puede generarse sin que haya mediado una suspensión previa de cobertura, sin que haya mediado una previa comunicación o advertencia, dado que se está ante una consecuencia del incumplimiento de una obligación de pago.  Resultaría extraño que una ley que es particularmente tuitiva, y que cautela especialmente los derechos del asegurado, requiera finalmente en los hechos menos trámites y requisitos para extinguir el contrato de seguro que los exigidos para suspender la cobertura </w:t>
      </w:r>
      <w:proofErr w:type="gramStart"/>
      <w:r w:rsidRPr="0053358C">
        <w:t>del mismo</w:t>
      </w:r>
      <w:proofErr w:type="gramEnd"/>
      <w:r w:rsidRPr="0053358C">
        <w:t>, o para resolverlo, cuando la causal o hecho generador es finalmente el mismo:  falta de pago de la prima.  La interpretación adoptada por el colegiado en mayoría admite dicha inconsistencia, sustentándose en el texto mismo de la norma y en la circunstancia que la extinción es tratada de manera separada (que no es lo mismo que independiente) en el Reglamento de Pago de Primas de Pólizas de Seguro, aprobado mediante Resolución SBS Nro. 3198-2013.</w:t>
      </w:r>
    </w:p>
    <w:p w:rsidRPr="0053358C" w:rsidR="00916337" w:rsidP="00916337" w:rsidRDefault="00916337" w14:paraId="75ACAAB6"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53358C" w:rsidR="00916337" w:rsidP="00916337" w:rsidRDefault="00916337" w14:paraId="7C1E0E76"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53358C">
        <w:t>Se trata, en consecuencia, de determinar, si nos quedamos en una interpretación literal, textual, de la ley, o si postulamos una distinta, incorporando otros conceptos en el análisis correspondiente, de manera que sea contextual.</w:t>
      </w:r>
    </w:p>
    <w:p w:rsidRPr="0053358C" w:rsidR="00916337" w:rsidP="00916337" w:rsidRDefault="00916337" w14:paraId="281DB8EF" w14:textId="77777777">
      <w:pPr>
        <w:tabs>
          <w:tab w:val="left" w:pos="0"/>
          <w:tab w:val="left" w:pos="709"/>
          <w:tab w:val="left" w:pos="2160"/>
          <w:tab w:val="left" w:pos="3540"/>
          <w:tab w:val="left" w:pos="4248"/>
          <w:tab w:val="left" w:pos="4956"/>
          <w:tab w:val="left" w:pos="5664"/>
          <w:tab w:val="left" w:pos="6372"/>
          <w:tab w:val="left" w:pos="7125"/>
        </w:tabs>
        <w:jc w:val="both"/>
      </w:pPr>
    </w:p>
    <w:p w:rsidRPr="0053358C" w:rsidR="00916337" w:rsidP="00916337" w:rsidRDefault="00916337" w14:paraId="174C6A3D"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 xml:space="preserve">Si partimos de la premisa que el legislador ha concebido mecanismos en la LCS para evitar que el asegurado sea finalmente sorprendido por una suspensión de cobertura o una resolución por incumplimiento que operen automáticamente, por la sola circunstancia de haberse producido sus respectivos supuestos de hecho (como sí era posible en el régimen legal anterior a la vigencia de la LCS), deberíamos también concluir que la extinción del contrato de seguro no debería operar automáticamente por el solo hecho del transcurso del tiempo sin que haya sido pagada la prima correspondiente.  Si bien la extinción del contrato de seguro es una sanción a la inacción de ambas partes contratantes, ante lo que el legislador entiende que es una mutua falta de interés de continuar vinculadas por el contrato de seguro, no es menos cierto que el asegurado debería representarse ciertamente esa situación y, la mejor manera de ello, es cuando la aseguradora se dirige a él para expresarle que ante la falta de pago de la prima se derivarán determinadas consecuencias jurídicas: en primer lugar, la suspensión de cobertura (a los treinta días) y, en segundo lugar, un eventual fenecimiento del seguro, sea por resolución (a iniciativa de la aseguradora, de conformidad con el artículo 23 de la LCS: a los treinta días desde que se comunica </w:t>
      </w:r>
      <w:r w:rsidRPr="0053358C">
        <w:t>la voluntad de proceder a la resolución) o sea por extinción del vínculo contractual (en la medida que ambas partes mantengan una inacción respecto al pago debido, por el plazo de 90 días desde el vencimiento de la obligación de pago).</w:t>
      </w:r>
    </w:p>
    <w:p w:rsidRPr="0053358C" w:rsidR="00916337" w:rsidP="00916337" w:rsidRDefault="00916337" w14:paraId="69946F96"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53358C" w:rsidR="00916337" w:rsidP="00916337" w:rsidRDefault="00916337" w14:paraId="7E89CDFE"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Conforme a la propuesta interpretativa precedente, en el escenario hipotético necesario que la cobertura hubiese sido finalmente suspendida, el contrato se extinguiría automáticamente noventa (90) días después del vencimiento de la prima. En ese escenario, se está a que, no habiéndose pagado oportunamente la prima de seguro, la aseguradora ha cuidado de comunicar ese incumplimiento al asegurado, así como sobre sus consecuencias (suspensión de cobertura y ulterior resolución o extinción, de ser el caso) y el plazo que tiene para pagar, y aun así el plazo ha vencido sin que se haya pagado la prima. En ese escenario de suspensión, la aseguradora puede optar entre resolver el contrato (para cuyo efecto comunicará sobre su decisión al contratante y/o asegurado, con treinta días de antelación), o demandar el pago de las primas en la vía correspondiente.  Pero en el caso que la aseguradora incurriese en inacción (ni resuelve el contrato ni demanda el pago de la prima), y el contratante no pagase la prima para reactivar la cobertura, el contrato quedará indudablemente extinguido luego de transcurridos noventa (90) días desde el vencimiento de la prima.  Tratándose de la falta de pago de la prima, la inacción en cuestión se hace extensiva al asegurado y/o al beneficiario (artículo 17 de la LCS: responsabilidad solidaria respecto al pago de la prima pendiente).</w:t>
      </w:r>
    </w:p>
    <w:p w:rsidRPr="0053358C" w:rsidR="00916337" w:rsidP="00916337" w:rsidRDefault="00916337" w14:paraId="07B076D3"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53358C" w:rsidR="00916337" w:rsidP="00916337" w:rsidRDefault="00916337" w14:paraId="17CB1F59"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 xml:space="preserve">Empero, si no hubiese habido comunicación de suspensión, no resultaría procedente que, en general, opere la resolución del contrato por falta de pago, llámese resolución en sentido estricto (artículo 23 de la LCS) o, en sentido amplio (artículo 21, </w:t>
      </w:r>
      <w:r w:rsidRPr="0053358C">
        <w:rPr>
          <w:i/>
          <w:iCs/>
        </w:rPr>
        <w:t xml:space="preserve">in fine, </w:t>
      </w:r>
      <w:r w:rsidRPr="0053358C">
        <w:t xml:space="preserve">de la LCS, en concordancia con la definición general de resolución contenida en el artículo 1371 del Código Civil).  Y es que no se puede obviar que el hecho generador de la “extinción” es una falta de pago, por lo que dicha resolución es remedial, ante la patología de falta de pago de la prima, siendo que la LCS regula que, en ese escenario, no hay resolución por automatismo, por el solo hecho, debe haber necesariamente comunicación, en este caso, el preaviso de consecuencias legales referido anteriormente. </w:t>
      </w:r>
    </w:p>
    <w:p w:rsidRPr="0053358C" w:rsidR="00916337" w:rsidP="00916337" w:rsidRDefault="00916337" w14:paraId="667E50A1" w14:textId="77777777">
      <w:pPr>
        <w:pStyle w:val="Prrafodelista"/>
      </w:pPr>
    </w:p>
    <w:p w:rsidRPr="0053358C" w:rsidR="00916337" w:rsidP="00916337" w:rsidRDefault="00916337" w14:paraId="16E80C47"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El suscrito reconoce que, en términos textuales, la LCS no asocia la extinción del contrato con la suspensión de la cobertura, pero no puede obviar que ambas figuras  están reguladas en un mismo artículo legal  (lo cual tiene prevalencia jerárquica sobre cualquier otra norma de inferior categoría, con mayor razón frente a simples oficios o comunicados que hubiese podido expedir la SBS sobre la materia) y, sobre todo, de manera fundamental y conforme se ha destacado, al hecho cierto que el legislador ha suprimido los regímenes de ineficacia (provisoria o definitiva) automática, por lo que el contratante y/o el asegurado deben ser previa y expresamente informados sobre el cese total o parcial de los efectos contractuales.  Se trata, en consecuencia, de una interpretación sustentada en una lectura sistemática y finalista de la LCS, en la propia hermenéutica jurídica.</w:t>
      </w:r>
    </w:p>
    <w:p w:rsidRPr="0053358C" w:rsidR="00916337" w:rsidP="00916337" w:rsidRDefault="00916337" w14:paraId="5F2BC6D3" w14:textId="77777777">
      <w:pPr>
        <w:tabs>
          <w:tab w:val="left" w:pos="0"/>
          <w:tab w:val="left" w:pos="709"/>
          <w:tab w:val="left" w:pos="2160"/>
          <w:tab w:val="left" w:pos="3540"/>
          <w:tab w:val="left" w:pos="4248"/>
          <w:tab w:val="left" w:pos="4956"/>
          <w:tab w:val="left" w:pos="5664"/>
          <w:tab w:val="left" w:pos="6372"/>
          <w:tab w:val="left" w:pos="7125"/>
        </w:tabs>
        <w:jc w:val="both"/>
      </w:pPr>
    </w:p>
    <w:p w:rsidRPr="0053358C" w:rsidR="00916337" w:rsidP="00916337" w:rsidRDefault="00916337" w14:paraId="2D776DFC"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 xml:space="preserve">En consecuencia, la extinción del contrato no se produce por el solo hecho objetivo que durante el plazo legal correspondiente no se pagó la prima, ni se exigió su pago siguiéndose un proceso de cobranza, conforme lo remarca el artículo 11 del </w:t>
      </w:r>
      <w:r w:rsidRPr="0053358C">
        <w:t>Reglamento de Pago de Primas de Pólizas de Seguro, aprobado mediante Resolución SBS Nro. 3198-2013.  Se requiere de algo más, para que opere esa extinción, esa resolución contractual.  Empero, el suscrito no deja de reconocer que el tema no es pacífico, permite postular interpretaciones, siendo que ha optado finalmente por una de ellas por las razones expuestas, haciendo prevalecer lo contextual sobre lo textual.</w:t>
      </w:r>
    </w:p>
    <w:p w:rsidRPr="0053358C" w:rsidR="00916337" w:rsidP="00916337" w:rsidRDefault="00916337" w14:paraId="59C33483" w14:textId="77777777">
      <w:pPr>
        <w:pStyle w:val="Prrafodelista"/>
      </w:pPr>
    </w:p>
    <w:p w:rsidRPr="0053358C" w:rsidR="00916337" w:rsidP="00916337" w:rsidRDefault="00916337" w14:paraId="30C268DF" w14:textId="77777777">
      <w:pPr>
        <w:pStyle w:val="Prrafodelista"/>
        <w:numPr>
          <w:ilvl w:val="0"/>
          <w:numId w:val="8"/>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53358C">
        <w:t xml:space="preserve">La parte final del artículo 21 de la LCS consagra finalmente lo que bien podría calificarse como un régimen de resolución </w:t>
      </w:r>
      <w:r w:rsidRPr="0053358C">
        <w:rPr>
          <w:i/>
        </w:rPr>
        <w:t>ex lege</w:t>
      </w:r>
      <w:r w:rsidRPr="0053358C">
        <w:t xml:space="preserve"> </w:t>
      </w:r>
      <w:proofErr w:type="gramStart"/>
      <w:r w:rsidRPr="0053358C">
        <w:t>en razón de</w:t>
      </w:r>
      <w:proofErr w:type="gramEnd"/>
      <w:r w:rsidRPr="0053358C">
        <w:t xml:space="preserve"> que ambas partes habrían evidenciado una pérdida de interés en la subsistencia de la relación contractual, empero, debe recordarse que la LCS es tuitiva respecto del asegurado, habiendo suprimido las ineficacias automáticas por falta de pago.</w:t>
      </w:r>
    </w:p>
    <w:p w:rsidRPr="0053358C" w:rsidR="00916337" w:rsidP="00916337" w:rsidRDefault="00916337" w14:paraId="2D3E0057" w14:textId="77777777">
      <w:pPr>
        <w:pStyle w:val="Prrafodelista"/>
      </w:pPr>
    </w:p>
    <w:p w:rsidRPr="0053358C" w:rsidR="00916337" w:rsidP="00916337" w:rsidRDefault="00916337" w14:paraId="3E9FCE77"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53358C">
        <w:t xml:space="preserve">Encontrándonos ante una resolución </w:t>
      </w:r>
      <w:r w:rsidRPr="0053358C">
        <w:rPr>
          <w:i/>
        </w:rPr>
        <w:t>ex lege</w:t>
      </w:r>
      <w:r w:rsidRPr="0053358C">
        <w:t>, y sobre la base que en Derecho lo concluyente son los contenidos antes que las denominaciones, bien podríamos sostener que el régimen de extinción contractual bajo comentario no es sino uno de resolución semiautomática, dado que no opera inmediatamente (como sí era posible conforme al régimen regulado en el artículo 330 de la Ley Nro. 26702 y en el artículo 8 del Reglamento de Pago de Primas de Pólizas de Seguro, aprobado por Resolución SBS Nro. 225-2008) por la falta de pago, sino de manera diferida previa actuación de la aseguradora al activar el régimen de suspensión de cobertura.</w:t>
      </w:r>
    </w:p>
    <w:p w:rsidRPr="0053358C" w:rsidR="00916337" w:rsidP="00916337" w:rsidRDefault="00916337" w14:paraId="13C0824D" w14:textId="77777777">
      <w:pPr>
        <w:jc w:val="both"/>
      </w:pPr>
    </w:p>
    <w:p w:rsidRPr="0053358C" w:rsidR="00916337" w:rsidP="00916337" w:rsidRDefault="00916337" w14:paraId="5B5379FF" w14:textId="77777777">
      <w:pPr>
        <w:ind w:left="709"/>
        <w:jc w:val="both"/>
      </w:pPr>
      <w:r w:rsidRPr="0053358C">
        <w:t>En consecuencia, el asegurado debe ser informado oportunamente (y el canal para ello es la comunicación sobre suspensión) para que no sea sorprendido por la extinción, por la resolución, del vínculo contractual, de allí la relevancia del aviso que debe enviar la aseguradora cuando la prima adeudada no ha sido pagada oportunamente.</w:t>
      </w:r>
    </w:p>
    <w:p w:rsidRPr="0053358C" w:rsidR="00916337" w:rsidP="00916337" w:rsidRDefault="00916337" w14:paraId="2C7C040E" w14:textId="77777777">
      <w:pPr>
        <w:suppressAutoHyphens/>
        <w:jc w:val="both"/>
      </w:pPr>
    </w:p>
    <w:p w:rsidRPr="0053358C" w:rsidR="00916337" w:rsidP="00916337" w:rsidRDefault="00916337" w14:paraId="2CB44D73" w14:textId="77777777">
      <w:pPr>
        <w:pStyle w:val="Prrafodelista"/>
        <w:numPr>
          <w:ilvl w:val="0"/>
          <w:numId w:val="8"/>
        </w:numPr>
        <w:tabs>
          <w:tab w:val="left" w:pos="709"/>
        </w:tabs>
        <w:suppressAutoHyphens/>
        <w:ind w:left="709" w:hanging="709"/>
        <w:jc w:val="both"/>
      </w:pPr>
      <w:r w:rsidRPr="0053358C">
        <w:t xml:space="preserve">Dos consideraciones finales.  La primera de ellas, si bien una interpretación del efecto automático de la “extinción” del contrato de seguro, sin necesidad de comunicación alguna, puede ser muy conveniente desde un punto de vista operativo tratándose de </w:t>
      </w:r>
      <w:proofErr w:type="spellStart"/>
      <w:r w:rsidRPr="0053358C">
        <w:t>microseguros</w:t>
      </w:r>
      <w:proofErr w:type="spellEnd"/>
      <w:r w:rsidRPr="0053358C">
        <w:t xml:space="preserve">, lo cierto es que la norma legal no se refiere sólo a dicha clase de negocios, sino que aplicaría a cualquier contrato de seguro, independientemente de su dimensión, de la prima comprometida, por lo que no correspondiendo distinguir donde la ley no distingue, la comunicación referida debería generarse siempre, cuyo costo es finalmente trasladable.  La segunda de </w:t>
      </w:r>
      <w:proofErr w:type="gramStart"/>
      <w:r w:rsidRPr="0053358C">
        <w:t>ellas,</w:t>
      </w:r>
      <w:proofErr w:type="gramEnd"/>
      <w:r w:rsidRPr="0053358C">
        <w:t xml:space="preserve"> radica en que la actividad de interpretación legal no está reservada únicamente cuando un texto legal no es pretendidamente claro, preciso, conciso o suficiente.  La interpretación no es otra cosa que una atribución de significados y para ello se puede recurrir a múltiples principios y metodologías, siendo que la postulada en el presente voto destaca no sólo lo sistemático sino lo finalista, que son criterios interpretativos que el colegiado de la DEFASEG ha aplicado en otros casos, como ocurre tratándose de las pólizas grupales, cuando ha interpretado que el rechazo no sólo debe ser comunicado al contratante sino al asegurado mismo, o en cuanto los presupuestos para que opere el “siniestro consentido”, que demanda no sólo de un contrato válido sino que, además, la solicitud de cobertura sea respecto de un riesgo aceptado por la aseguradora, etc.  </w:t>
      </w:r>
      <w:r w:rsidRPr="0053358C">
        <w:t>Como bien manifiesta reconocida doctrina</w:t>
      </w:r>
      <w:r w:rsidRPr="0053358C">
        <w:rPr>
          <w:rStyle w:val="Refdenotaalpie"/>
        </w:rPr>
        <w:footnoteReference w:id="1"/>
      </w:r>
      <w:r w:rsidRPr="0053358C">
        <w:t xml:space="preserve">, y para ello se remite al origen del brocardo </w:t>
      </w:r>
      <w:r w:rsidRPr="0053358C">
        <w:rPr>
          <w:i/>
        </w:rPr>
        <w:t xml:space="preserve">“In </w:t>
      </w:r>
      <w:proofErr w:type="spellStart"/>
      <w:r w:rsidRPr="0053358C">
        <w:rPr>
          <w:i/>
        </w:rPr>
        <w:t>claris</w:t>
      </w:r>
      <w:proofErr w:type="spellEnd"/>
      <w:r w:rsidRPr="0053358C">
        <w:rPr>
          <w:i/>
        </w:rPr>
        <w:t xml:space="preserve"> non </w:t>
      </w:r>
      <w:proofErr w:type="spellStart"/>
      <w:r w:rsidRPr="0053358C">
        <w:rPr>
          <w:i/>
        </w:rPr>
        <w:t>fit</w:t>
      </w:r>
      <w:proofErr w:type="spellEnd"/>
      <w:r w:rsidRPr="0053358C">
        <w:rPr>
          <w:i/>
        </w:rPr>
        <w:t xml:space="preserve"> </w:t>
      </w:r>
      <w:proofErr w:type="spellStart"/>
      <w:r w:rsidRPr="0053358C">
        <w:rPr>
          <w:i/>
        </w:rPr>
        <w:t>interpretatio</w:t>
      </w:r>
      <w:proofErr w:type="spellEnd"/>
      <w:r w:rsidRPr="0053358C">
        <w:rPr>
          <w:i/>
        </w:rPr>
        <w:t>”</w:t>
      </w:r>
      <w:r w:rsidRPr="0053358C">
        <w:t>, lo cierto es que:</w:t>
      </w:r>
    </w:p>
    <w:p w:rsidRPr="0053358C" w:rsidR="00916337" w:rsidP="00916337" w:rsidRDefault="00916337" w14:paraId="1C0C0FBE" w14:textId="77777777">
      <w:pPr>
        <w:jc w:val="both"/>
      </w:pPr>
    </w:p>
    <w:p w:rsidRPr="0053358C" w:rsidR="00916337" w:rsidP="00916337" w:rsidRDefault="00916337" w14:paraId="15C4B322" w14:textId="77777777">
      <w:pPr>
        <w:ind w:left="708"/>
        <w:jc w:val="both"/>
      </w:pPr>
      <w:r w:rsidRPr="0053358C">
        <w:rPr>
          <w:i/>
        </w:rPr>
        <w:t xml:space="preserve">“Hoy, por tanto, </w:t>
      </w:r>
      <w:r w:rsidRPr="0053358C">
        <w:t xml:space="preserve">“in </w:t>
      </w:r>
      <w:proofErr w:type="spellStart"/>
      <w:r w:rsidRPr="0053358C">
        <w:t>claris</w:t>
      </w:r>
      <w:proofErr w:type="spellEnd"/>
      <w:r w:rsidRPr="0053358C">
        <w:t xml:space="preserve"> non </w:t>
      </w:r>
      <w:proofErr w:type="spellStart"/>
      <w:r w:rsidRPr="0053358C">
        <w:t>fit</w:t>
      </w:r>
      <w:proofErr w:type="spellEnd"/>
      <w:r w:rsidRPr="0053358C">
        <w:t xml:space="preserve"> </w:t>
      </w:r>
      <w:proofErr w:type="spellStart"/>
      <w:r w:rsidRPr="0053358C">
        <w:t>interpretatio</w:t>
      </w:r>
      <w:proofErr w:type="spellEnd"/>
      <w:r w:rsidRPr="0053358C">
        <w:t>”</w:t>
      </w:r>
      <w:r w:rsidRPr="0053358C">
        <w:rPr>
          <w:i/>
        </w:rPr>
        <w:t xml:space="preserve"> es la expresión de una directiva metodológica; y </w:t>
      </w:r>
      <w:r w:rsidRPr="0053358C">
        <w:rPr>
          <w:b/>
          <w:i/>
          <w:u w:val="single"/>
        </w:rPr>
        <w:t>no ha de entenderse como la expresión de una denegación del hecho de que las actividades de interpretación (en sentido lato) son necesarias para el uso del discurso legislativo, sea cual fuere la claridad de su formulación</w:t>
      </w:r>
      <w:r w:rsidRPr="0053358C">
        <w:rPr>
          <w:i/>
        </w:rPr>
        <w:t>”.</w:t>
      </w:r>
      <w:r w:rsidRPr="0053358C">
        <w:t xml:space="preserve"> (Lo destacado y subrayado es nuestro).</w:t>
      </w:r>
    </w:p>
    <w:p w:rsidRPr="0053358C" w:rsidR="00916337" w:rsidP="00916337" w:rsidRDefault="00916337" w14:paraId="3618E14A" w14:textId="77777777">
      <w:pPr>
        <w:ind w:left="708"/>
        <w:jc w:val="both"/>
      </w:pPr>
    </w:p>
    <w:p w:rsidRPr="0053358C" w:rsidR="00916337" w:rsidP="00916337" w:rsidRDefault="00916337" w14:paraId="7387A7BA" w14:textId="77777777">
      <w:pPr>
        <w:ind w:left="709"/>
        <w:jc w:val="both"/>
      </w:pPr>
      <w:r w:rsidRPr="0053358C">
        <w:t>Conforme a lo anterior, no hay impedimento conceptual para que, más allá de las palabras empleadas en una fórmula legal, que es un tema de lenguaje legislativo que no es necesariamente coincidente con el jurídico</w:t>
      </w:r>
      <w:r w:rsidRPr="0053358C">
        <w:rPr>
          <w:rStyle w:val="Refdenotaalpie"/>
        </w:rPr>
        <w:footnoteReference w:id="2"/>
      </w:r>
      <w:r w:rsidRPr="0053358C">
        <w:t xml:space="preserve">, por más que sean claras, puede interpretarse dicha fórmula en función a criterios integrativos y/o correctivos, de manera que la unidad legislativa sea coherente internamente, aunque ello signifique dejar eventualmente de lado la letra para apreciar lo que hay detrás de la expresión, del texto, destacándose el contexto.  Conforme a ello, no se trata de generar una interpretación que adquiera una tónica </w:t>
      </w:r>
      <w:r w:rsidRPr="0053358C">
        <w:rPr>
          <w:i/>
        </w:rPr>
        <w:t xml:space="preserve">“de lege </w:t>
      </w:r>
      <w:proofErr w:type="spellStart"/>
      <w:r w:rsidRPr="0053358C">
        <w:rPr>
          <w:i/>
        </w:rPr>
        <w:t>ferenda</w:t>
      </w:r>
      <w:proofErr w:type="spellEnd"/>
      <w:r w:rsidRPr="0053358C">
        <w:rPr>
          <w:i/>
        </w:rPr>
        <w:t>”</w:t>
      </w:r>
      <w:r w:rsidRPr="0053358C">
        <w:t xml:space="preserve"> sino una que es efectivamente una interpretación </w:t>
      </w:r>
      <w:r w:rsidRPr="0053358C">
        <w:rPr>
          <w:i/>
        </w:rPr>
        <w:t>“de lege lata”,</w:t>
      </w:r>
      <w:r w:rsidRPr="0053358C">
        <w:t xml:space="preserve"> considerando la innegable voluntad legislativa de suprimir ineficacias contractuales automáticas por falta de pago de la prima, por estimarlas afectantes del interés de la parte débil en la relación de seguros, el asegurado, según ya ha sido expuesto precedentemente, de manera que se recurre a criterios que se extienden a la orientación misma de la LCS, tomada sistemáticamente, como unidad legislativa.  En cualquier caso, se justifica plenamente la necesidad de una precisión legislativa sobre la materia.</w:t>
      </w:r>
    </w:p>
    <w:p w:rsidRPr="0053358C" w:rsidR="00916337" w:rsidP="00916337" w:rsidRDefault="00916337" w14:paraId="363A6E3A" w14:textId="77777777">
      <w:pPr>
        <w:jc w:val="both"/>
      </w:pPr>
    </w:p>
    <w:p w:rsidRPr="0053358C" w:rsidR="00916337" w:rsidP="00916337" w:rsidRDefault="00916337" w14:paraId="7AA37105" w14:textId="77777777">
      <w:pPr>
        <w:jc w:val="both"/>
      </w:pPr>
      <w:r w:rsidRPr="0053358C">
        <w:t>Por lo expuesto:</w:t>
      </w:r>
    </w:p>
    <w:p w:rsidRPr="0053358C" w:rsidR="00916337" w:rsidP="00916337" w:rsidRDefault="00916337" w14:paraId="6B33D7BB" w14:textId="77777777">
      <w:pPr>
        <w:jc w:val="both"/>
      </w:pPr>
    </w:p>
    <w:p w:rsidRPr="0053358C" w:rsidR="00916337" w:rsidP="00916337" w:rsidRDefault="00916337" w14:paraId="3EE81825" w14:textId="77777777">
      <w:pPr>
        <w:jc w:val="both"/>
      </w:pPr>
      <w:r w:rsidRPr="0053358C">
        <w:t xml:space="preserve">No habiendo demostrado la aseguradora que de manera oportuna, adecuada y suficiente informó al asegurado de una eventual suspensión de cobertura por falta de pago de las primas del seguro de desgravamen de tarjeta de crédito y, de una sobreviniente extinción o </w:t>
      </w:r>
      <w:r w:rsidRPr="0053358C">
        <w:t>resolución lata del contrato de seguro, el vocal que suscribe vota en el sentido que corresponde</w:t>
      </w:r>
      <w:r w:rsidRPr="0053358C">
        <w:rPr>
          <w:bCs/>
        </w:rPr>
        <w:t xml:space="preserve"> d</w:t>
      </w:r>
      <w:r w:rsidRPr="0053358C">
        <w:rPr>
          <w:rFonts w:eastAsia="Arial Unicode MS"/>
          <w:bCs/>
        </w:rPr>
        <w:t xml:space="preserve">eclarar </w:t>
      </w:r>
      <w:r w:rsidRPr="0053358C">
        <w:rPr>
          <w:bCs/>
        </w:rPr>
        <w:t>FUNDADA la reclamación interpuesta.</w:t>
      </w:r>
    </w:p>
    <w:p w:rsidRPr="0053358C" w:rsidR="00916337" w:rsidP="001631D6" w:rsidRDefault="00916337" w14:paraId="1EBC96EC" w14:textId="5B92513A">
      <w:pPr>
        <w:spacing w:line="360" w:lineRule="auto"/>
        <w:jc w:val="center"/>
      </w:pPr>
    </w:p>
    <w:p w:rsidR="00D62160" w:rsidP="00D62160" w:rsidRDefault="00D62160" w14:paraId="73C90538" w14:textId="77777777">
      <w:pPr>
        <w:jc w:val="both"/>
        <w:rPr>
          <w:b/>
          <w:bCs/>
          <w:i/>
          <w:iCs/>
          <w:sz w:val="23"/>
          <w:szCs w:val="23"/>
          <w:lang w:val="es-ES_tradnl"/>
        </w:rPr>
      </w:pPr>
      <w:r w:rsidRPr="00A83AB8">
        <w:rPr>
          <w:b/>
          <w:bCs/>
          <w:i/>
          <w:iCs/>
          <w:sz w:val="23"/>
          <w:szCs w:val="23"/>
          <w:lang w:val="es-ES_tradnl"/>
        </w:rPr>
        <w:t xml:space="preserve">La Secretaría Técnica certifica </w:t>
      </w:r>
      <w:r>
        <w:rPr>
          <w:b/>
          <w:bCs/>
          <w:i/>
          <w:iCs/>
          <w:sz w:val="23"/>
          <w:szCs w:val="23"/>
          <w:lang w:val="es-ES_tradnl"/>
        </w:rPr>
        <w:t>el voto del vocal cuyo nombre figura a continuación.</w:t>
      </w:r>
    </w:p>
    <w:p w:rsidRPr="00D62160" w:rsidR="00E42BD6" w:rsidP="00E42BD6" w:rsidRDefault="00E42BD6" w14:paraId="28B400C3" w14:textId="77777777">
      <w:pPr>
        <w:jc w:val="both"/>
        <w:rPr>
          <w:b/>
          <w:bCs/>
          <w:i/>
          <w:iCs/>
          <w:lang w:val="es-ES_tradnl"/>
        </w:rPr>
      </w:pPr>
    </w:p>
    <w:p w:rsidRPr="0053358C" w:rsidR="00E42BD6" w:rsidP="00E42BD6" w:rsidRDefault="00E42BD6" w14:paraId="1C8DF60F" w14:textId="77777777">
      <w:pPr>
        <w:spacing w:line="360" w:lineRule="auto"/>
        <w:jc w:val="center"/>
        <w:rPr>
          <w:b/>
          <w:bCs/>
        </w:rPr>
      </w:pPr>
      <w:r w:rsidRPr="0053358C">
        <w:rPr>
          <w:b/>
          <w:bCs/>
        </w:rPr>
        <w:t>Marco Antonio Ortega Piana – Vocal</w:t>
      </w:r>
    </w:p>
    <w:p w:rsidRPr="00916337" w:rsidR="00916337" w:rsidP="001631D6" w:rsidRDefault="00916337" w14:paraId="1742F25E" w14:textId="77777777">
      <w:pPr>
        <w:spacing w:line="360" w:lineRule="auto"/>
        <w:jc w:val="center"/>
      </w:pP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0320F1"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20F1" w:rsidP="005F148C" w:rsidRDefault="000320F1" w14:paraId="2853FC3F" w14:textId="77777777">
      <w:r>
        <w:separator/>
      </w:r>
    </w:p>
  </w:endnote>
  <w:endnote w:type="continuationSeparator" w:id="0">
    <w:p w:rsidR="000320F1" w:rsidP="005F148C" w:rsidRDefault="000320F1" w14:paraId="7026502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20F1" w:rsidP="005F148C" w:rsidRDefault="000320F1" w14:paraId="73D7AB05" w14:textId="77777777">
      <w:r>
        <w:separator/>
      </w:r>
    </w:p>
  </w:footnote>
  <w:footnote w:type="continuationSeparator" w:id="0">
    <w:p w:rsidR="000320F1" w:rsidP="005F148C" w:rsidRDefault="000320F1" w14:paraId="3B1B0042" w14:textId="77777777">
      <w:r>
        <w:continuationSeparator/>
      </w:r>
    </w:p>
  </w:footnote>
  <w:footnote w:id="1">
    <w:p w:rsidRPr="003E7475" w:rsidR="00916337" w:rsidP="00916337" w:rsidRDefault="00916337" w14:paraId="68F31CFB" w14:textId="77777777">
      <w:pPr>
        <w:pStyle w:val="Textonotapie"/>
        <w:jc w:val="both"/>
        <w:rPr>
          <w:rFonts w:ascii="Arial" w:hAnsi="Arial" w:cs="Arial"/>
          <w:sz w:val="18"/>
          <w:szCs w:val="18"/>
          <w:lang w:val="es-PE"/>
        </w:rPr>
      </w:pPr>
      <w:r w:rsidRPr="003E7475">
        <w:rPr>
          <w:rStyle w:val="Refdenotaalpie"/>
          <w:rFonts w:ascii="Arial" w:hAnsi="Arial" w:cs="Arial"/>
          <w:sz w:val="18"/>
          <w:szCs w:val="18"/>
        </w:rPr>
        <w:footnoteRef/>
      </w:r>
      <w:r w:rsidRPr="003E7475">
        <w:rPr>
          <w:rFonts w:ascii="Arial" w:hAnsi="Arial" w:cs="Arial"/>
          <w:sz w:val="18"/>
          <w:szCs w:val="18"/>
        </w:rPr>
        <w:t xml:space="preserve"> </w:t>
      </w:r>
      <w:r w:rsidRPr="003E7475">
        <w:rPr>
          <w:rFonts w:ascii="Arial" w:hAnsi="Arial" w:cs="Arial"/>
          <w:sz w:val="18"/>
          <w:szCs w:val="18"/>
          <w:lang w:val="es-PE"/>
        </w:rPr>
        <w:t>TARELLO, Giovanni.  La interpretación de la ley.  Palestra Editores, Lima, 2015, pág. 57.</w:t>
      </w:r>
    </w:p>
  </w:footnote>
  <w:footnote w:id="2">
    <w:p w:rsidRPr="00091A63" w:rsidR="00916337" w:rsidP="00916337" w:rsidRDefault="00916337" w14:paraId="51ABA558" w14:textId="77777777">
      <w:pPr>
        <w:jc w:val="both"/>
        <w:rPr>
          <w:rFonts w:ascii="Arial" w:hAnsi="Arial" w:cs="Arial"/>
          <w:sz w:val="18"/>
          <w:szCs w:val="18"/>
        </w:rPr>
      </w:pPr>
      <w:r w:rsidRPr="00091A63">
        <w:rPr>
          <w:rStyle w:val="Refdenotaalpie"/>
          <w:rFonts w:ascii="Arial" w:hAnsi="Arial" w:cs="Arial"/>
          <w:sz w:val="18"/>
          <w:szCs w:val="18"/>
        </w:rPr>
        <w:footnoteRef/>
      </w:r>
      <w:r w:rsidRPr="00091A63">
        <w:rPr>
          <w:rFonts w:ascii="Arial" w:hAnsi="Arial" w:cs="Arial"/>
          <w:sz w:val="18"/>
          <w:szCs w:val="18"/>
        </w:rPr>
        <w:t xml:space="preserve"> ALTERINI, Jorge Horacio, CORNA, Pablo María, ANGELANI, Elsa Beatriz y VÁSQUEZ, Gabriela Alejandra. Teoría General de las Ineficacias, La Ley S.A., Buenos Aires, 2000, págs. 1 a 7.</w:t>
      </w:r>
      <w:r>
        <w:rPr>
          <w:rFonts w:ascii="Arial" w:hAnsi="Arial" w:cs="Arial"/>
          <w:sz w:val="18"/>
          <w:szCs w:val="18"/>
        </w:rPr>
        <w:t xml:space="preserve">  El autor refiere a la coexistencia de</w:t>
      </w:r>
      <w:r w:rsidRPr="00091A63">
        <w:rPr>
          <w:rFonts w:ascii="Arial" w:hAnsi="Arial" w:cs="Arial"/>
          <w:sz w:val="18"/>
          <w:szCs w:val="18"/>
        </w:rPr>
        <w:t xml:space="preserve"> los lenguajes com</w:t>
      </w:r>
      <w:r>
        <w:rPr>
          <w:rFonts w:ascii="Arial" w:hAnsi="Arial" w:cs="Arial"/>
          <w:sz w:val="18"/>
          <w:szCs w:val="18"/>
        </w:rPr>
        <w:t>ún</w:t>
      </w:r>
      <w:r w:rsidRPr="00091A63">
        <w:rPr>
          <w:rFonts w:ascii="Arial" w:hAnsi="Arial" w:cs="Arial"/>
          <w:sz w:val="18"/>
          <w:szCs w:val="18"/>
        </w:rPr>
        <w:t>, académico</w:t>
      </w:r>
      <w:r>
        <w:rPr>
          <w:rFonts w:ascii="Arial" w:hAnsi="Arial" w:cs="Arial"/>
          <w:sz w:val="18"/>
          <w:szCs w:val="18"/>
        </w:rPr>
        <w:t xml:space="preserve"> (en este caso, jurídico)</w:t>
      </w:r>
      <w:r w:rsidRPr="00091A63">
        <w:rPr>
          <w:rFonts w:ascii="Arial" w:hAnsi="Arial" w:cs="Arial"/>
          <w:sz w:val="18"/>
          <w:szCs w:val="18"/>
        </w:rPr>
        <w:t xml:space="preserve"> y legislativo</w:t>
      </w:r>
      <w:r>
        <w:rPr>
          <w:rFonts w:ascii="Arial" w:hAnsi="Arial" w:cs="Arial"/>
          <w:sz w:val="18"/>
          <w:szCs w:val="18"/>
        </w:rPr>
        <w:t>, que</w:t>
      </w:r>
      <w:r w:rsidRPr="00091A63">
        <w:rPr>
          <w:rFonts w:ascii="Arial" w:hAnsi="Arial" w:cs="Arial"/>
          <w:sz w:val="18"/>
          <w:szCs w:val="18"/>
        </w:rPr>
        <w:t xml:space="preserve"> no son necesariamente coincidentes.</w:t>
      </w:r>
      <w:r>
        <w:rPr>
          <w:rFonts w:ascii="Arial" w:hAnsi="Arial" w:cs="Arial"/>
          <w:sz w:val="18"/>
          <w:szCs w:val="18"/>
        </w:rPr>
        <w:t xml:space="preserve">  </w:t>
      </w:r>
      <w:r w:rsidRPr="00091A63">
        <w:rPr>
          <w:rFonts w:ascii="Arial" w:hAnsi="Arial" w:cs="Arial"/>
          <w:sz w:val="18"/>
          <w:szCs w:val="18"/>
        </w:rPr>
        <w:t xml:space="preserve">El lenguaje común es simplemente el cotidiano, comprensible para las mayorías, para todos los miembros de una colectividad.  El lenguaje académico corresponde a una aspiración de mayor precisión, es técnico para los fines de la ciencia jurídica, en consecuencia, no es comprensible necesariamente para todos.  Y el lenguaje legislativo tiene alcances especiales, debe ser comprensible en general, pero tampoco debe alejarse de la rigurosidad jurídica.  </w:t>
      </w:r>
      <w:r>
        <w:rPr>
          <w:rFonts w:ascii="Arial" w:hAnsi="Arial" w:cs="Arial"/>
          <w:sz w:val="18"/>
          <w:szCs w:val="18"/>
        </w:rPr>
        <w:t xml:space="preserve">  </w:t>
      </w:r>
      <w:r w:rsidRPr="00091A63">
        <w:rPr>
          <w:rFonts w:ascii="Arial" w:hAnsi="Arial" w:cs="Arial"/>
          <w:sz w:val="18"/>
          <w:szCs w:val="18"/>
        </w:rPr>
        <w:t>El problema es que muchas veces lo legislativo lo leemos como si fuese un lenguaje académico, y no es así definitivamente; el lenguaje legislativo debería estar más identificado con el cotidiano, salvo en aquellos aspectos en que resulte indispensable la precisión académica.  Por ello, creemos firmemente que el lenguaje legislativo debe ser sencillo y comprensible, ajeno a interpretaciones sutiles</w:t>
      </w:r>
      <w:r>
        <w:rPr>
          <w:rFonts w:ascii="Arial" w:hAnsi="Arial" w:cs="Arial"/>
          <w:sz w:val="18"/>
          <w:szCs w:val="18"/>
        </w:rPr>
        <w:t xml:space="preserve"> o desnaturalizando el contexto legal.  La extinción de un contrato, conforme a ello, es simplemente una caducidad, una desaparición de la relación contractual, y al provenir de una causa posterior a su celebración, es una resolución, lo afirme o no la LCS, una resolución por falta de pago de la prima.  Entonces, </w:t>
      </w:r>
      <w:proofErr w:type="gramStart"/>
      <w:r>
        <w:rPr>
          <w:rFonts w:ascii="Arial" w:hAnsi="Arial" w:cs="Arial"/>
          <w:sz w:val="18"/>
          <w:szCs w:val="18"/>
        </w:rPr>
        <w:t>siendo</w:t>
      </w:r>
      <w:proofErr w:type="gramEnd"/>
      <w:r>
        <w:rPr>
          <w:rFonts w:ascii="Arial" w:hAnsi="Arial" w:cs="Arial"/>
          <w:sz w:val="18"/>
          <w:szCs w:val="18"/>
        </w:rPr>
        <w:t xml:space="preserve"> así las cosas, ¿es razonable que por la misma razón -falta de pago de la prima-, coexistan dos remedios distintos o es uno solo en el fondo?, ¿puede el deudor que incumple sus obligaciones acogerse a la resolución, o ello es algo conceptualmente privativo del acreedor, dado que es el afectado por el incumplimiento?, siendo esto último, ¿no debería comunicar lo que decida sobre la subsistencia del vínculo?</w:t>
      </w:r>
    </w:p>
    <w:p w:rsidRPr="00091A63" w:rsidR="00916337" w:rsidP="00916337" w:rsidRDefault="00916337" w14:paraId="40F30AD8" w14:textId="77777777">
      <w:pPr>
        <w:jc w:val="both"/>
        <w:rPr>
          <w:rFonts w:ascii="Arial" w:hAnsi="Arial" w:cs="Arial"/>
          <w:sz w:val="18"/>
          <w:szCs w:val="18"/>
        </w:rPr>
      </w:pPr>
    </w:p>
    <w:p w:rsidRPr="00091A63" w:rsidR="00916337" w:rsidP="00916337" w:rsidRDefault="00916337" w14:paraId="46F3CD32" w14:textId="77777777">
      <w:pPr>
        <w:jc w:val="both"/>
        <w:rPr>
          <w:rFonts w:ascii="Arial" w:hAnsi="Arial" w:cs="Arial"/>
          <w:sz w:val="18"/>
          <w:szCs w:val="18"/>
        </w:rPr>
      </w:pPr>
    </w:p>
    <w:p w:rsidRPr="00091A63" w:rsidR="00916337" w:rsidP="00916337" w:rsidRDefault="00916337" w14:paraId="1213D102" w14:textId="77777777">
      <w:pPr>
        <w:pStyle w:val="Textonotapie"/>
        <w:rPr>
          <w:lang w:val="es-P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4DDA"/>
    <w:rsid w:val="000D2700"/>
    <w:rsid w:val="00103188"/>
    <w:rsid w:val="00131FAD"/>
    <w:rsid w:val="00140C67"/>
    <w:rsid w:val="001631D6"/>
    <w:rsid w:val="00195646"/>
    <w:rsid w:val="001A3593"/>
    <w:rsid w:val="001B6607"/>
    <w:rsid w:val="001C2B16"/>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977C8"/>
    <w:rsid w:val="003B46E3"/>
    <w:rsid w:val="003B4770"/>
    <w:rsid w:val="003B5737"/>
    <w:rsid w:val="003E6BA6"/>
    <w:rsid w:val="003F48E1"/>
    <w:rsid w:val="00417664"/>
    <w:rsid w:val="00417E23"/>
    <w:rsid w:val="004419E4"/>
    <w:rsid w:val="00444D29"/>
    <w:rsid w:val="00467825"/>
    <w:rsid w:val="00477D05"/>
    <w:rsid w:val="004854D9"/>
    <w:rsid w:val="00491944"/>
    <w:rsid w:val="004E50D6"/>
    <w:rsid w:val="00506323"/>
    <w:rsid w:val="00516549"/>
    <w:rsid w:val="00531FBE"/>
    <w:rsid w:val="0053358C"/>
    <w:rsid w:val="0058358B"/>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D353F"/>
    <w:rsid w:val="00834DFE"/>
    <w:rsid w:val="00835D6A"/>
    <w:rsid w:val="00864800"/>
    <w:rsid w:val="00865B73"/>
    <w:rsid w:val="00892A1F"/>
    <w:rsid w:val="008930FB"/>
    <w:rsid w:val="00895FF5"/>
    <w:rsid w:val="008A1DAB"/>
    <w:rsid w:val="008A67AB"/>
    <w:rsid w:val="008D0547"/>
    <w:rsid w:val="009029DF"/>
    <w:rsid w:val="00916337"/>
    <w:rsid w:val="0092266A"/>
    <w:rsid w:val="00934888"/>
    <w:rsid w:val="0093542F"/>
    <w:rsid w:val="009767BB"/>
    <w:rsid w:val="00977F56"/>
    <w:rsid w:val="009A7580"/>
    <w:rsid w:val="009B3934"/>
    <w:rsid w:val="009C28AE"/>
    <w:rsid w:val="009C4A1C"/>
    <w:rsid w:val="00A14315"/>
    <w:rsid w:val="00A223FC"/>
    <w:rsid w:val="00A26BA7"/>
    <w:rsid w:val="00A433D8"/>
    <w:rsid w:val="00A54A78"/>
    <w:rsid w:val="00A663A2"/>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C04395"/>
    <w:rsid w:val="00C11655"/>
    <w:rsid w:val="00C21994"/>
    <w:rsid w:val="00C45FF3"/>
    <w:rsid w:val="00C71B0D"/>
    <w:rsid w:val="00C85630"/>
    <w:rsid w:val="00CA4FD6"/>
    <w:rsid w:val="00CB451A"/>
    <w:rsid w:val="00CB7C37"/>
    <w:rsid w:val="00CF3742"/>
    <w:rsid w:val="00D01DEB"/>
    <w:rsid w:val="00D10FB7"/>
    <w:rsid w:val="00D128FF"/>
    <w:rsid w:val="00D15C1E"/>
    <w:rsid w:val="00D56839"/>
    <w:rsid w:val="00D62160"/>
    <w:rsid w:val="00D86E87"/>
    <w:rsid w:val="00D9006E"/>
    <w:rsid w:val="00DB43CB"/>
    <w:rsid w:val="00E172DD"/>
    <w:rsid w:val="00E42BD6"/>
    <w:rsid w:val="00E50B36"/>
    <w:rsid w:val="00E908BC"/>
    <w:rsid w:val="00EC2694"/>
    <w:rsid w:val="00EF4FF0"/>
    <w:rsid w:val="00F029DD"/>
    <w:rsid w:val="00F1075C"/>
    <w:rsid w:val="00F15FBA"/>
    <w:rsid w:val="00F202DC"/>
    <w:rsid w:val="00F42DC6"/>
    <w:rsid w:val="00F465F7"/>
    <w:rsid w:val="00F46707"/>
    <w:rsid w:val="00F71D17"/>
    <w:rsid w:val="00F97A17"/>
    <w:rsid w:val="00FF25AC"/>
    <w:rsid w:val="079D156C"/>
    <w:rsid w:val="091E4D74"/>
    <w:rsid w:val="09E98340"/>
    <w:rsid w:val="0A31EF91"/>
    <w:rsid w:val="0E2CA0A7"/>
    <w:rsid w:val="1095A1B7"/>
    <w:rsid w:val="155DD431"/>
    <w:rsid w:val="1864EEF0"/>
    <w:rsid w:val="1A5BBDD7"/>
    <w:rsid w:val="213C1399"/>
    <w:rsid w:val="314FB2C4"/>
    <w:rsid w:val="31A1B826"/>
    <w:rsid w:val="3E7F2619"/>
    <w:rsid w:val="4187B7CF"/>
    <w:rsid w:val="42020BC4"/>
    <w:rsid w:val="4238CEB6"/>
    <w:rsid w:val="46FBC4F4"/>
    <w:rsid w:val="511F7907"/>
    <w:rsid w:val="54E89EC5"/>
    <w:rsid w:val="59455E12"/>
    <w:rsid w:val="5E22D2E7"/>
    <w:rsid w:val="5FABECD3"/>
    <w:rsid w:val="63FD93D6"/>
    <w:rsid w:val="650E2EA8"/>
    <w:rsid w:val="653C9C33"/>
    <w:rsid w:val="69F8CE49"/>
    <w:rsid w:val="6BB99615"/>
    <w:rsid w:val="6D8B9814"/>
    <w:rsid w:val="6D951B4C"/>
    <w:rsid w:val="7217D210"/>
    <w:rsid w:val="78F6429C"/>
    <w:rsid w:val="7A4A5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12B31DB-5F7B-4527-AAF8-0FA6FDD43E8C}"/>
</file>

<file path=customXml/itemProps3.xml><?xml version="1.0" encoding="utf-8"?>
<ds:datastoreItem xmlns:ds="http://schemas.openxmlformats.org/officeDocument/2006/customXml" ds:itemID="{6B08BCF2-CD06-4C3E-888B-61025E4DDAF4}"/>
</file>

<file path=customXml/itemProps4.xml><?xml version="1.0" encoding="utf-8"?>
<ds:datastoreItem xmlns:ds="http://schemas.openxmlformats.org/officeDocument/2006/customXml" ds:itemID="{4B8C1380-5CA4-4715-AFF5-5C230C4273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47</cp:revision>
  <cp:lastPrinted>2022-02-04T23:08:00Z</cp:lastPrinted>
  <dcterms:created xsi:type="dcterms:W3CDTF">2020-12-18T20:09:00Z</dcterms:created>
  <dcterms:modified xsi:type="dcterms:W3CDTF">2025-03-19T20:00:24Z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