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F5AEAB" w14:textId="47A603F5" w:rsidR="00F15FBA" w:rsidRPr="0059773B" w:rsidRDefault="00F15FBA" w:rsidP="00026017">
      <w:pPr>
        <w:pStyle w:val="Ttulo"/>
        <w:outlineLvl w:val="0"/>
        <w:rPr>
          <w:lang w:val="es-PE"/>
        </w:rPr>
      </w:pPr>
      <w:r w:rsidRPr="0059773B">
        <w:rPr>
          <w:lang w:val="es-PE"/>
        </w:rPr>
        <w:t>RESOLUCIÓN N</w:t>
      </w:r>
      <w:r w:rsidR="001631D6" w:rsidRPr="0059773B">
        <w:rPr>
          <w:lang w:val="es-PE"/>
        </w:rPr>
        <w:t xml:space="preserve">° </w:t>
      </w:r>
      <w:r w:rsidR="00465FB3" w:rsidRPr="0059773B">
        <w:rPr>
          <w:lang w:val="es-PE"/>
        </w:rPr>
        <w:t>0</w:t>
      </w:r>
      <w:r w:rsidR="0016017B" w:rsidRPr="0059773B">
        <w:rPr>
          <w:lang w:val="es-PE"/>
        </w:rPr>
        <w:t>17</w:t>
      </w:r>
      <w:r w:rsidR="001631D6" w:rsidRPr="0059773B">
        <w:rPr>
          <w:lang w:val="es-PE"/>
        </w:rPr>
        <w:t>/2</w:t>
      </w:r>
      <w:r w:rsidR="00465FB3" w:rsidRPr="0059773B">
        <w:rPr>
          <w:lang w:val="es-PE"/>
        </w:rPr>
        <w:t>2</w:t>
      </w:r>
    </w:p>
    <w:p w14:paraId="741270EE" w14:textId="77777777" w:rsidR="00474801" w:rsidRPr="0059773B" w:rsidRDefault="00474801" w:rsidP="00474801">
      <w:pPr>
        <w:jc w:val="both"/>
        <w:outlineLvl w:val="0"/>
        <w:rPr>
          <w:b/>
          <w:bCs/>
          <w:lang w:val="es-PE"/>
        </w:rPr>
      </w:pPr>
      <w:r w:rsidRPr="0059773B">
        <w:rPr>
          <w:b/>
          <w:bCs/>
          <w:lang w:val="es-PE"/>
        </w:rPr>
        <w:t>Vistos:</w:t>
      </w:r>
    </w:p>
    <w:p w14:paraId="028341A4" w14:textId="77777777" w:rsidR="00474801" w:rsidRPr="0059773B" w:rsidRDefault="00474801" w:rsidP="00474801">
      <w:pPr>
        <w:jc w:val="both"/>
        <w:rPr>
          <w:b/>
          <w:bCs/>
          <w:lang w:val="es-PE"/>
        </w:rPr>
      </w:pPr>
    </w:p>
    <w:p w14:paraId="0079E8B4" w14:textId="30A4B007" w:rsidR="00474801" w:rsidRPr="0059773B" w:rsidRDefault="00474801" w:rsidP="00474801">
      <w:pPr>
        <w:tabs>
          <w:tab w:val="left" w:pos="708"/>
          <w:tab w:val="left" w:pos="1416"/>
          <w:tab w:val="left" w:pos="2977"/>
          <w:tab w:val="left" w:pos="4248"/>
          <w:tab w:val="left" w:pos="4956"/>
          <w:tab w:val="left" w:pos="5664"/>
          <w:tab w:val="left" w:pos="6372"/>
          <w:tab w:val="left" w:pos="7125"/>
        </w:tabs>
        <w:jc w:val="both"/>
        <w:rPr>
          <w:lang w:val="es-PE"/>
        </w:rPr>
      </w:pPr>
      <w:r w:rsidRPr="0059773B">
        <w:rPr>
          <w:lang w:val="es-PE"/>
        </w:rPr>
        <w:t xml:space="preserve">Que don </w:t>
      </w:r>
      <w:r w:rsidR="00294AEF">
        <w:rPr>
          <w:lang w:val="es-PE"/>
        </w:rPr>
        <w:t>…………………</w:t>
      </w:r>
      <w:r w:rsidRPr="0059773B">
        <w:rPr>
          <w:lang w:val="es-PE"/>
        </w:rPr>
        <w:t xml:space="preserve"> </w:t>
      </w:r>
      <w:r w:rsidRPr="0059773B">
        <w:rPr>
          <w:bCs/>
        </w:rPr>
        <w:t>interpone</w:t>
      </w:r>
      <w:r w:rsidRPr="0059773B">
        <w:rPr>
          <w:lang w:val="es-PE"/>
        </w:rPr>
        <w:t xml:space="preserve"> reclamación ante esta Defensoría del Asegurado (DEFASEG), solicitando que</w:t>
      </w:r>
      <w:r w:rsidRPr="0059773B">
        <w:rPr>
          <w:bCs/>
        </w:rPr>
        <w:t xml:space="preserve"> </w:t>
      </w:r>
      <w:bookmarkStart w:id="0" w:name="OLE_LINK2"/>
      <w:r w:rsidR="00294AEF">
        <w:rPr>
          <w:lang w:val="es-PE"/>
        </w:rPr>
        <w:t>…………………</w:t>
      </w:r>
      <w:r w:rsidR="00294AEF">
        <w:rPr>
          <w:lang w:val="es-PE"/>
        </w:rPr>
        <w:t xml:space="preserve"> </w:t>
      </w:r>
      <w:r w:rsidRPr="0059773B">
        <w:rPr>
          <w:lang w:val="es-PE"/>
        </w:rPr>
        <w:t xml:space="preserve">otorgue cobertura por el fallecimiento de su padre el asegurado </w:t>
      </w:r>
      <w:r w:rsidR="00294AEF">
        <w:rPr>
          <w:lang w:val="es-PE"/>
        </w:rPr>
        <w:t>…………………</w:t>
      </w:r>
      <w:r w:rsidR="00294AEF">
        <w:rPr>
          <w:lang w:val="es-PE"/>
        </w:rPr>
        <w:t xml:space="preserve"> </w:t>
      </w:r>
      <w:r w:rsidRPr="0059773B">
        <w:rPr>
          <w:lang w:val="es-PE"/>
        </w:rPr>
        <w:t xml:space="preserve">el 04 de abril de 2021, de acuerdo con los términos y condiciones del </w:t>
      </w:r>
      <w:r w:rsidRPr="0059773B">
        <w:rPr>
          <w:bCs/>
        </w:rPr>
        <w:t>Seguro</w:t>
      </w:r>
      <w:bookmarkEnd w:id="0"/>
      <w:r w:rsidRPr="0059773B">
        <w:rPr>
          <w:bCs/>
        </w:rPr>
        <w:t xml:space="preserve"> de Sepelio Póliza </w:t>
      </w:r>
      <w:proofErr w:type="spellStart"/>
      <w:r w:rsidRPr="0059773B">
        <w:rPr>
          <w:bCs/>
        </w:rPr>
        <w:t>Nº</w:t>
      </w:r>
      <w:proofErr w:type="spellEnd"/>
      <w:r w:rsidRPr="0059773B">
        <w:rPr>
          <w:bCs/>
        </w:rPr>
        <w:t xml:space="preserve"> </w:t>
      </w:r>
      <w:r w:rsidR="00294AEF">
        <w:rPr>
          <w:lang w:val="es-PE"/>
        </w:rPr>
        <w:t>…………………</w:t>
      </w:r>
      <w:r w:rsidRPr="0059773B">
        <w:rPr>
          <w:bCs/>
        </w:rPr>
        <w:t>.</w:t>
      </w:r>
    </w:p>
    <w:p w14:paraId="5FE0F6BE" w14:textId="77777777" w:rsidR="00474801" w:rsidRPr="0059773B" w:rsidRDefault="00474801" w:rsidP="00474801">
      <w:pPr>
        <w:jc w:val="both"/>
        <w:rPr>
          <w:rFonts w:eastAsia="Arial Unicode MS"/>
          <w:lang w:val="es-PE"/>
        </w:rPr>
      </w:pPr>
    </w:p>
    <w:p w14:paraId="5466AE15" w14:textId="77777777" w:rsidR="00474801" w:rsidRPr="0059773B" w:rsidRDefault="00474801" w:rsidP="00474801">
      <w:pPr>
        <w:jc w:val="both"/>
        <w:rPr>
          <w:rFonts w:eastAsia="Arial Unicode MS"/>
          <w:lang w:val="es-PE"/>
        </w:rPr>
      </w:pPr>
      <w:r w:rsidRPr="0059773B">
        <w:rPr>
          <w:rFonts w:eastAsia="Arial Unicode MS"/>
          <w:lang w:val="es-PE"/>
        </w:rPr>
        <w:t>Que, la señalada reclamación cumple con los requisitos de materia, cuantía y oportunidad establecidos en el Reglamento de la DEFASEG (</w:t>
      </w:r>
      <w:hyperlink r:id="rId8" w:history="1">
        <w:r w:rsidRPr="0059773B">
          <w:rPr>
            <w:rStyle w:val="Hipervnculo"/>
            <w:rFonts w:eastAsia="Arial Unicode MS"/>
            <w:lang w:val="es-PE"/>
          </w:rPr>
          <w:t>http://www.defaseg.com.pe/reglamento.html</w:t>
        </w:r>
      </w:hyperlink>
      <w:r w:rsidRPr="0059773B">
        <w:rPr>
          <w:rFonts w:eastAsia="Arial Unicode MS"/>
          <w:lang w:val="es-PE"/>
        </w:rPr>
        <w:t>);</w:t>
      </w:r>
    </w:p>
    <w:p w14:paraId="02314B47" w14:textId="77777777" w:rsidR="00474801" w:rsidRPr="0059773B" w:rsidRDefault="00474801" w:rsidP="00474801">
      <w:pPr>
        <w:tabs>
          <w:tab w:val="num" w:pos="720"/>
        </w:tabs>
        <w:jc w:val="both"/>
        <w:rPr>
          <w:lang w:val="es-PE"/>
        </w:rPr>
      </w:pPr>
    </w:p>
    <w:p w14:paraId="382188A2" w14:textId="77777777" w:rsidR="00474801" w:rsidRPr="0059773B" w:rsidRDefault="00474801" w:rsidP="00474801">
      <w:pPr>
        <w:jc w:val="both"/>
      </w:pPr>
      <w:r w:rsidRPr="0059773B">
        <w:t>Que, conforme al Reglamento de la DEFASEG, atendiendo a la cuantía de la reclamación, que no supera la suma de US$ 3,000 (o su equivalente en moneda nacional), esta última puede ser resuelta por un Órgano Resolutivo Unipersonal (ORU), el mismo que, en el presente caso, está a cargo de la vocal que suscribe;</w:t>
      </w:r>
    </w:p>
    <w:p w14:paraId="79837E46" w14:textId="77777777" w:rsidR="00474801" w:rsidRPr="0059773B" w:rsidRDefault="00474801" w:rsidP="00474801">
      <w:pPr>
        <w:jc w:val="both"/>
      </w:pPr>
    </w:p>
    <w:p w14:paraId="449048F4" w14:textId="12E4094F" w:rsidR="00474801" w:rsidRPr="0059773B" w:rsidRDefault="00474801" w:rsidP="00474801">
      <w:pPr>
        <w:jc w:val="both"/>
      </w:pPr>
      <w:r w:rsidRPr="0059773B">
        <w:t>Que</w:t>
      </w:r>
      <w:r w:rsidRPr="0059773B">
        <w:rPr>
          <w:lang w:val="es-PE"/>
        </w:rPr>
        <w:t>, habiéndosele corrido traslado de la respectiva reclamación</w:t>
      </w:r>
      <w:r w:rsidRPr="0059773B">
        <w:t xml:space="preserve">, </w:t>
      </w:r>
      <w:r w:rsidR="00294AEF">
        <w:rPr>
          <w:lang w:val="es-PE"/>
        </w:rPr>
        <w:t>…………………</w:t>
      </w:r>
      <w:r w:rsidRPr="0059773B">
        <w:t xml:space="preserve">presentó sus descargos y la documentación correspondiente. </w:t>
      </w:r>
    </w:p>
    <w:p w14:paraId="6E4B867D" w14:textId="77777777" w:rsidR="00474801" w:rsidRPr="0059773B" w:rsidRDefault="00474801" w:rsidP="00474801">
      <w:pPr>
        <w:tabs>
          <w:tab w:val="num" w:pos="720"/>
        </w:tabs>
        <w:jc w:val="both"/>
        <w:rPr>
          <w:lang w:val="es-419"/>
        </w:rPr>
      </w:pPr>
    </w:p>
    <w:p w14:paraId="62735F0C" w14:textId="77777777" w:rsidR="00474801" w:rsidRPr="0059773B" w:rsidRDefault="00474801" w:rsidP="00474801">
      <w:pPr>
        <w:tabs>
          <w:tab w:val="num" w:pos="720"/>
        </w:tabs>
        <w:jc w:val="both"/>
      </w:pPr>
      <w:r w:rsidRPr="0059773B">
        <w:rPr>
          <w:lang w:val="es-419"/>
        </w:rPr>
        <w:t xml:space="preserve">Que, </w:t>
      </w:r>
      <w:r w:rsidRPr="0059773B">
        <w:rPr>
          <w:lang w:val="es-PE"/>
        </w:rPr>
        <w:t>la audiencia de vista virtual se realizó con la participación de ambas partes, en la plataforma electrónica habilitada para dicho efecto por la secretaría técnica de la DEFASEG, siendo que ambas sustentaron su respectiva posición sobre la reclamación</w:t>
      </w:r>
      <w:r w:rsidRPr="0059773B">
        <w:t xml:space="preserve">, </w:t>
      </w:r>
      <w:r w:rsidRPr="0059773B">
        <w:rPr>
          <w:lang w:val="es-PE"/>
        </w:rPr>
        <w:t xml:space="preserve">absolviendo las diversas preguntas formuladas, conforme consta de la correspondiente acta.  </w:t>
      </w:r>
    </w:p>
    <w:p w14:paraId="7F123017" w14:textId="77777777" w:rsidR="00474801" w:rsidRPr="0059773B" w:rsidRDefault="00474801" w:rsidP="00474801">
      <w:pPr>
        <w:tabs>
          <w:tab w:val="num" w:pos="720"/>
        </w:tabs>
        <w:jc w:val="both"/>
      </w:pPr>
    </w:p>
    <w:p w14:paraId="77CBCF4C" w14:textId="7D97299D" w:rsidR="00474801" w:rsidRPr="0059773B" w:rsidRDefault="00474801" w:rsidP="00474801">
      <w:pPr>
        <w:jc w:val="both"/>
        <w:rPr>
          <w:lang w:val="es-PE"/>
        </w:rPr>
      </w:pPr>
      <w:r w:rsidRPr="0059773B">
        <w:rPr>
          <w:lang w:val="es-PE"/>
        </w:rPr>
        <w:t>Que, la reclamación interpuesta se sustenta resumidamente en lo siguiente:</w:t>
      </w:r>
      <w:r w:rsidRPr="0059773B">
        <w:t xml:space="preserve"> </w:t>
      </w:r>
      <w:r w:rsidRPr="0059773B">
        <w:rPr>
          <w:lang w:val="es-PE"/>
        </w:rPr>
        <w:t xml:space="preserve">a) En el mes de agosto del año 2016 fue asegurado por un colaborador de la aseguradora, quien le ofreció un seguro de sepelio que incluía a 5 miembros de sus familia, todo se dio en su trabajo, y el pago se hacía vía descuento por planilla ya que la aseguradora tenía convenio con los miembros de la Marina de Guerra del Perú, institución a la que pertenece; b) el 4 de abril de 2021 su padre fallece a consecuencia del covid-19, ese mismo día realizó las llamadas a la aseguradora no recibiendo ninguna respuesta, fue a una de sus oficinas en Miraflores y estaba cerrada, lo que no le dejó otra alternativa que realizar los gastos de sepelio directamente; c) el 21 de abril escribió un correo a </w:t>
      </w:r>
      <w:r w:rsidR="00294AEF">
        <w:rPr>
          <w:lang w:val="es-PE"/>
        </w:rPr>
        <w:t>…………………</w:t>
      </w:r>
      <w:r w:rsidRPr="0059773B">
        <w:rPr>
          <w:lang w:val="es-PE"/>
        </w:rPr>
        <w:t xml:space="preserve"> informando del deceso pidiendo ellos que envíe la historia clínica y certificado de defunción; d) el 26 de abril le envían un formato para llenar y le envían una póliza con su nombre pero que no era la original que firmó en el año 2016 ya que solo figuraba su nombre; en el mes de julio recién </w:t>
      </w:r>
      <w:proofErr w:type="spellStart"/>
      <w:r w:rsidRPr="0059773B">
        <w:rPr>
          <w:lang w:val="es-PE"/>
        </w:rPr>
        <w:t>Essalud</w:t>
      </w:r>
      <w:proofErr w:type="spellEnd"/>
      <w:r w:rsidRPr="0059773B">
        <w:rPr>
          <w:lang w:val="es-PE"/>
        </w:rPr>
        <w:t xml:space="preserve"> le entrega la historia clínica la que procede a enviar al correo de la aseguradora; e) el 30 de julio le rechazan el seguro indicando que su padre no estaba asegurado y que él era el único asegurado; ese mismo día envía la póliza que tenía en su poder, donde figuran todos los asegurados de su grupo familiar, entre ellos su padre; f) el 2 de agosto le contestan que su caso se encuentra en reevaluación y recién el 28 de setiembre le envían una carta indicando que no cumplió con llamar por teléfono a su línea de atención y que por lo tanto no podían asumir ningún gasto ya que no fue atendido por el proveedor memorial</w:t>
      </w:r>
    </w:p>
    <w:p w14:paraId="60DC9B02" w14:textId="77777777" w:rsidR="00474801" w:rsidRPr="0059773B" w:rsidRDefault="00474801" w:rsidP="00474801">
      <w:pPr>
        <w:jc w:val="both"/>
        <w:rPr>
          <w:lang w:val="es-PE"/>
        </w:rPr>
      </w:pPr>
    </w:p>
    <w:p w14:paraId="0A337412" w14:textId="72C8655B" w:rsidR="00474801" w:rsidRPr="0059773B" w:rsidRDefault="00474801" w:rsidP="00474801">
      <w:pPr>
        <w:jc w:val="both"/>
        <w:rPr>
          <w:bCs/>
          <w:lang w:val="es-PE"/>
        </w:rPr>
      </w:pPr>
      <w:r w:rsidRPr="0059773B">
        <w:t xml:space="preserve">Que, por su parte, ratificando el rechazo de cobertura, </w:t>
      </w:r>
      <w:r w:rsidR="00294AEF">
        <w:rPr>
          <w:lang w:val="es-PE"/>
        </w:rPr>
        <w:t>…………………</w:t>
      </w:r>
      <w:r w:rsidR="00294AEF">
        <w:rPr>
          <w:lang w:val="es-PE"/>
        </w:rPr>
        <w:t xml:space="preserve"> </w:t>
      </w:r>
      <w:r w:rsidRPr="0059773B">
        <w:rPr>
          <w:lang w:val="es-PE"/>
        </w:rPr>
        <w:t>expresa</w:t>
      </w:r>
      <w:r w:rsidRPr="0059773B">
        <w:t xml:space="preserve"> resumidamente lo siguiente: </w:t>
      </w:r>
      <w:r w:rsidRPr="0059773B">
        <w:rPr>
          <w:bCs/>
          <w:lang w:val="es-PE"/>
        </w:rPr>
        <w:t xml:space="preserve">a) mediante comunicación de fecha 28 de setiembre de 2021, rechazaron la cobertura de seguro debido a que el contrato de seguro Sepelio no cuenta con </w:t>
      </w:r>
      <w:r w:rsidRPr="0059773B">
        <w:rPr>
          <w:bCs/>
          <w:lang w:val="es-PE"/>
        </w:rPr>
        <w:lastRenderedPageBreak/>
        <w:t xml:space="preserve">la modalidad de reembolso para el beneficio de sepelio; b) la cobertura por sepelio se brinda a través de la coordinación de su proveedor memorial con una Funeraria Afiliada lo que en este caso no ocurrió; c) su postura se verifica en las condiciones especiales del contrato (folio 5 del certificado) en cuanto señala que “El otorgamiento de la cobertura será únicamente a través de la coordinación del servicio con el Proveedor Memorial (…)”, pero también, del Art. 24.2 de las condiciones generales del contrato de seguro; por lo que han rechazado el seguro conforme a derecho </w:t>
      </w:r>
    </w:p>
    <w:p w14:paraId="72F88FEE" w14:textId="77777777" w:rsidR="00474801" w:rsidRPr="0059773B" w:rsidRDefault="00474801" w:rsidP="00474801">
      <w:pPr>
        <w:jc w:val="both"/>
        <w:rPr>
          <w:bCs/>
          <w:lang w:val="es-PE"/>
        </w:rPr>
      </w:pPr>
    </w:p>
    <w:p w14:paraId="44B6A2E9" w14:textId="743E2AA0" w:rsidR="00474801" w:rsidRPr="0059773B" w:rsidRDefault="00474801" w:rsidP="00474801">
      <w:pPr>
        <w:jc w:val="both"/>
        <w:rPr>
          <w:lang w:val="es-PE"/>
        </w:rPr>
      </w:pPr>
      <w:r w:rsidRPr="0059773B">
        <w:rPr>
          <w:bCs/>
          <w:lang w:val="es-PE"/>
        </w:rPr>
        <w:t>Que,</w:t>
      </w:r>
      <w:r w:rsidRPr="0059773B">
        <w:rPr>
          <w:lang w:val="es-PE"/>
        </w:rPr>
        <w:t xml:space="preserve"> a la fecha, </w:t>
      </w:r>
      <w:r w:rsidR="00294AEF">
        <w:rPr>
          <w:lang w:val="es-PE"/>
        </w:rPr>
        <w:t>…………………</w:t>
      </w:r>
      <w:r w:rsidR="00294AEF">
        <w:rPr>
          <w:lang w:val="es-PE"/>
        </w:rPr>
        <w:t xml:space="preserve"> </w:t>
      </w:r>
      <w:r w:rsidRPr="0059773B">
        <w:rPr>
          <w:lang w:val="es-PE"/>
        </w:rPr>
        <w:t xml:space="preserve">no ha cumplido con informar la fecha en que se completó la documentación para solicitar el siniestro, habiendo vencido el plazo otorgado para dicho efecto. </w:t>
      </w:r>
    </w:p>
    <w:p w14:paraId="2D948B74" w14:textId="77777777" w:rsidR="00474801" w:rsidRPr="0059773B" w:rsidRDefault="00474801" w:rsidP="00474801">
      <w:pPr>
        <w:jc w:val="both"/>
        <w:rPr>
          <w:lang w:val="es-PE"/>
        </w:rPr>
      </w:pPr>
    </w:p>
    <w:p w14:paraId="36B6AD92" w14:textId="77777777" w:rsidR="00474801" w:rsidRPr="0059773B" w:rsidRDefault="00474801" w:rsidP="00474801">
      <w:pPr>
        <w:jc w:val="both"/>
        <w:rPr>
          <w:lang w:val="es-PE"/>
        </w:rPr>
      </w:pPr>
      <w:r w:rsidRPr="0059773B">
        <w:rPr>
          <w:lang w:val="es-PE"/>
        </w:rPr>
        <w:t>Que, el actual estado del proceso permite que este Órgano Resolutivo Unipersonal pueda expedir su pronunciamiento sobre el caso sometido a su conocimiento, sobre la base de la información y de los documentos que obran en el expediente, así como de lo tratado en la audiencia de vista;</w:t>
      </w:r>
    </w:p>
    <w:p w14:paraId="192D7802" w14:textId="77777777" w:rsidR="00474801" w:rsidRPr="0059773B" w:rsidRDefault="00474801" w:rsidP="00474801">
      <w:pPr>
        <w:jc w:val="both"/>
      </w:pPr>
    </w:p>
    <w:p w14:paraId="0061A086" w14:textId="77777777" w:rsidR="00474801" w:rsidRPr="0059773B" w:rsidRDefault="00474801" w:rsidP="00474801">
      <w:pPr>
        <w:jc w:val="both"/>
        <w:rPr>
          <w:lang w:val="es-PE"/>
        </w:rPr>
      </w:pPr>
      <w:r w:rsidRPr="0059773B">
        <w:rPr>
          <w:b/>
          <w:bCs/>
          <w:lang w:val="es-PE"/>
        </w:rPr>
        <w:t>Considerando:</w:t>
      </w:r>
    </w:p>
    <w:p w14:paraId="3C57E635" w14:textId="77777777" w:rsidR="00474801" w:rsidRPr="0059773B" w:rsidRDefault="00474801" w:rsidP="00474801">
      <w:pPr>
        <w:jc w:val="both"/>
        <w:rPr>
          <w:lang w:val="es-PE"/>
        </w:rPr>
      </w:pPr>
    </w:p>
    <w:p w14:paraId="13275B92" w14:textId="77777777" w:rsidR="00474801" w:rsidRPr="0059773B" w:rsidRDefault="00474801" w:rsidP="00474801">
      <w:pPr>
        <w:jc w:val="both"/>
        <w:rPr>
          <w:lang w:val="es-PE"/>
        </w:rPr>
      </w:pPr>
      <w:r w:rsidRPr="0059773B">
        <w:rPr>
          <w:b/>
          <w:u w:val="single"/>
          <w:lang w:val="es-PE"/>
        </w:rPr>
        <w:t>Primero</w:t>
      </w:r>
      <w:r w:rsidRPr="0059773B">
        <w:rPr>
          <w:b/>
          <w:lang w:val="es-PE"/>
        </w:rPr>
        <w:t xml:space="preserve">: </w:t>
      </w:r>
      <w:r w:rsidRPr="0059773B">
        <w:rPr>
          <w:lang w:val="es-PE"/>
        </w:rPr>
        <w:t>Conforme a su Reglamento, la</w:t>
      </w:r>
      <w:r w:rsidRPr="0059773B">
        <w:rPr>
          <w:b/>
          <w:bCs/>
          <w:lang w:val="es-PE"/>
        </w:rPr>
        <w:t xml:space="preserve"> </w:t>
      </w:r>
      <w:r w:rsidRPr="0059773B">
        <w:rPr>
          <w:lang w:val="es-PE"/>
        </w:rPr>
        <w:t xml:space="preserve">DEFASEG está orientada a la protección de los derechos de los asegurados o usuarios de los servicios del seguro privado contratados en el país, mediante la solución de controversias que se susciten con las empresas aseguradoras, respecto de rechazos o liquidación de cobertura de siniestros; entendiéndose por “asegurados” y “usuarios de seguros” a los asegurados propiamente dichos, a los contratantes del respectivo seguro y/o a los beneficiarios nombrados en las pólizas. </w:t>
      </w:r>
    </w:p>
    <w:p w14:paraId="67F0A982" w14:textId="77777777" w:rsidR="00474801" w:rsidRPr="0059773B" w:rsidRDefault="00474801" w:rsidP="00474801">
      <w:pPr>
        <w:jc w:val="both"/>
        <w:rPr>
          <w:lang w:val="es-PE"/>
        </w:rPr>
      </w:pPr>
    </w:p>
    <w:p w14:paraId="16A3C648" w14:textId="77777777" w:rsidR="00474801" w:rsidRPr="0059773B" w:rsidRDefault="00474801" w:rsidP="00474801">
      <w:pPr>
        <w:jc w:val="both"/>
        <w:rPr>
          <w:bCs/>
          <w:lang w:val="es-PE"/>
        </w:rPr>
      </w:pPr>
      <w:r w:rsidRPr="0059773B">
        <w:rPr>
          <w:b/>
          <w:bCs/>
          <w:u w:val="single"/>
          <w:lang w:val="es-PE"/>
        </w:rPr>
        <w:t>Segundo</w:t>
      </w:r>
      <w:r w:rsidRPr="0059773B">
        <w:rPr>
          <w:b/>
          <w:bCs/>
          <w:lang w:val="es-PE"/>
        </w:rPr>
        <w:t>:</w:t>
      </w:r>
      <w:r w:rsidRPr="0059773B">
        <w:rPr>
          <w:bCs/>
          <w:lang w:val="es-PE"/>
        </w:rPr>
        <w:t xml:space="preserve"> </w:t>
      </w:r>
      <w:r w:rsidRPr="0059773B">
        <w:rPr>
          <w:lang w:val="es-PE"/>
        </w:rPr>
        <w:t xml:space="preserve">Asimismo, </w:t>
      </w:r>
      <w:proofErr w:type="gramStart"/>
      <w:r w:rsidRPr="0059773B">
        <w:rPr>
          <w:lang w:val="es-PE"/>
        </w:rPr>
        <w:t>de acuerdo a</w:t>
      </w:r>
      <w:proofErr w:type="gramEnd"/>
      <w:r w:rsidRPr="0059773B">
        <w:rPr>
          <w:lang w:val="es-PE"/>
        </w:rPr>
        <w:t xml:space="preserve"> </w:t>
      </w:r>
      <w:r w:rsidRPr="0059773B">
        <w:rPr>
          <w:bCs/>
          <w:lang w:val="es-PE"/>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En consecuencia, todas aquellas reclamaciones por materias distintas al otorgamiento de cobertura y pago de indemnizaciones, como pueden las pretensiones indemnizatorias por daños y perjuicios, por reembolso de gastos, o relativas a idoneidad de servicios, son ajenas a la competencia funcional de esta Defensoría.</w:t>
      </w:r>
    </w:p>
    <w:p w14:paraId="23FA7AC5" w14:textId="77777777" w:rsidR="00474801" w:rsidRPr="0059773B" w:rsidRDefault="00474801" w:rsidP="00474801">
      <w:pPr>
        <w:jc w:val="both"/>
        <w:rPr>
          <w:bCs/>
          <w:lang w:val="es-PE"/>
        </w:rPr>
      </w:pPr>
    </w:p>
    <w:p w14:paraId="5B449D66" w14:textId="77777777" w:rsidR="00474801" w:rsidRPr="0059773B" w:rsidRDefault="00474801" w:rsidP="00474801">
      <w:pPr>
        <w:jc w:val="both"/>
      </w:pPr>
      <w:r w:rsidRPr="0059773B">
        <w:rPr>
          <w:b/>
          <w:bCs/>
          <w:u w:val="single"/>
          <w:lang w:val="es-PE"/>
        </w:rPr>
        <w:t>Tercero</w:t>
      </w:r>
      <w:r w:rsidRPr="0059773B">
        <w:rPr>
          <w:b/>
          <w:bCs/>
          <w:lang w:val="es-PE"/>
        </w:rPr>
        <w:t>:</w:t>
      </w:r>
      <w:r w:rsidRPr="0059773B">
        <w:rPr>
          <w:lang w:val="es-PE"/>
        </w:rPr>
        <w:t xml:space="preserve"> Que, de acuerdo a la Ley Nro. </w:t>
      </w:r>
      <w:r w:rsidRPr="0059773B">
        <w:t xml:space="preserve">29946 – Ley del Contrato de Seguro, norma legal vigente con ocasión de la celebración del contrato al cual se contrae el presente caso, </w:t>
      </w:r>
      <w:r w:rsidRPr="0059773B">
        <w:rPr>
          <w:lang w:val="es-PE"/>
        </w:rPr>
        <w:t>todas las cuestiones jurídicas se rigen por lo dispuesto en dicha ley y por las que reglas que se acuerden convencionalmente, en cuanto no vulneren los principios esenciales de la naturaleza jurídica del seguro, siendo que sólo se aplica el derecho común a falta de disposiciones del derecho de seguros o de protección al consumidor.</w:t>
      </w:r>
    </w:p>
    <w:p w14:paraId="725736FB" w14:textId="77777777" w:rsidR="00474801" w:rsidRPr="0059773B" w:rsidRDefault="00474801" w:rsidP="00474801">
      <w:pPr>
        <w:jc w:val="both"/>
        <w:rPr>
          <w:b/>
          <w:u w:val="single"/>
          <w:lang w:val="es-PE"/>
        </w:rPr>
      </w:pPr>
    </w:p>
    <w:p w14:paraId="16E52EBA" w14:textId="77777777" w:rsidR="00474801" w:rsidRPr="0059773B" w:rsidRDefault="00474801" w:rsidP="00474801">
      <w:pPr>
        <w:jc w:val="both"/>
        <w:rPr>
          <w:lang w:val="es-PE"/>
        </w:rPr>
      </w:pPr>
      <w:r w:rsidRPr="0059773B">
        <w:rPr>
          <w:b/>
          <w:u w:val="single"/>
          <w:lang w:val="es-PE"/>
        </w:rPr>
        <w:t>Cuarto</w:t>
      </w:r>
      <w:r w:rsidRPr="0059773B">
        <w:rPr>
          <w:b/>
          <w:lang w:val="es-PE"/>
        </w:rPr>
        <w:t>:</w:t>
      </w:r>
      <w:r w:rsidRPr="0059773B">
        <w:rPr>
          <w:lang w:val="es-PE"/>
        </w:rPr>
        <w:t xml:space="preserve"> Que, el artículo 1361 del Código Civil dispone que los contratos son obligatorios en cuanto se haya expresado en ellos, presumiéndose que lo declarado es lo querido por ambas partes, de manera que la parte que sostenga lo contrario debe probarlo.  </w:t>
      </w:r>
    </w:p>
    <w:p w14:paraId="713E4CA4" w14:textId="77777777" w:rsidR="00474801" w:rsidRPr="0059773B" w:rsidRDefault="00474801" w:rsidP="00474801">
      <w:pPr>
        <w:jc w:val="both"/>
        <w:rPr>
          <w:bCs/>
        </w:rPr>
      </w:pPr>
    </w:p>
    <w:p w14:paraId="7E0F1CD2" w14:textId="77777777" w:rsidR="00474801" w:rsidRPr="0059773B" w:rsidRDefault="00474801" w:rsidP="00474801">
      <w:pPr>
        <w:jc w:val="both"/>
      </w:pPr>
      <w:r w:rsidRPr="0059773B">
        <w:rPr>
          <w:b/>
          <w:bCs/>
          <w:u w:val="single"/>
          <w:lang w:val="es-PE"/>
        </w:rPr>
        <w:lastRenderedPageBreak/>
        <w:t>Quinto</w:t>
      </w:r>
      <w:r w:rsidRPr="0059773B">
        <w:rPr>
          <w:b/>
          <w:bCs/>
          <w:lang w:val="es-PE"/>
        </w:rPr>
        <w:t xml:space="preserve">: </w:t>
      </w:r>
      <w:r w:rsidRPr="0059773B">
        <w:rPr>
          <w:bCs/>
          <w:lang w:val="es-PE"/>
        </w:rPr>
        <w:t>Que, conforme al</w:t>
      </w:r>
      <w:r w:rsidRPr="0059773B">
        <w:rPr>
          <w:b/>
          <w:bCs/>
          <w:lang w:val="es-PE"/>
        </w:rPr>
        <w:t xml:space="preserve"> </w:t>
      </w:r>
      <w:r w:rsidRPr="0059773B">
        <w:rPr>
          <w:lang w:val="es-PE"/>
        </w:rPr>
        <w:t>artículo 196 del Código Procesal Civil, la carga de la prueba corresponde a quien afirma hechos que configuran su pretensión, o a quien los contradice alegando nuevos hechos, salvo disposición legal diferente.</w:t>
      </w:r>
    </w:p>
    <w:p w14:paraId="24D19E33" w14:textId="77777777" w:rsidR="00474801" w:rsidRPr="0059773B" w:rsidRDefault="00474801" w:rsidP="00474801">
      <w:pPr>
        <w:jc w:val="both"/>
        <w:rPr>
          <w:lang w:val="es-PE"/>
        </w:rPr>
      </w:pPr>
    </w:p>
    <w:p w14:paraId="18AED263" w14:textId="77777777" w:rsidR="00474801" w:rsidRPr="0059773B" w:rsidRDefault="00474801" w:rsidP="00474801">
      <w:pPr>
        <w:tabs>
          <w:tab w:val="left" w:pos="2160"/>
        </w:tabs>
        <w:jc w:val="both"/>
        <w:rPr>
          <w:lang w:val="es-PE"/>
        </w:rPr>
      </w:pPr>
      <w:r w:rsidRPr="0059773B">
        <w:rPr>
          <w:b/>
          <w:u w:val="single"/>
        </w:rPr>
        <w:t>Sexto</w:t>
      </w:r>
      <w:r w:rsidRPr="0059773B">
        <w:rPr>
          <w:b/>
        </w:rPr>
        <w:t>:</w:t>
      </w:r>
      <w:r w:rsidRPr="0059773B">
        <w:rPr>
          <w:b/>
          <w:lang w:val="es-PE"/>
        </w:rPr>
        <w:t xml:space="preserve"> </w:t>
      </w:r>
      <w:r w:rsidRPr="0059773B">
        <w:rPr>
          <w:lang w:val="es-PE"/>
        </w:rPr>
        <w:t>Sobre la base de los términos contenidos en la reclamación</w:t>
      </w:r>
      <w:r w:rsidRPr="0059773B">
        <w:rPr>
          <w:lang w:val="es-419"/>
        </w:rPr>
        <w:t xml:space="preserve"> y </w:t>
      </w:r>
      <w:r w:rsidRPr="0059773B">
        <w:rPr>
          <w:lang w:val="es-PE"/>
        </w:rPr>
        <w:t>a lo tratado en la audiencia de vista, las cuestiones controvertidas radican en lo siguiente: (i) ¿El rechazo de cobertura fue comunicado al asegurado dentro del plazo de los treinta (30) días de presentada la solicitud de cobertura con la documentación exigida en la póliza para el pago del siniestro? y (</w:t>
      </w:r>
      <w:proofErr w:type="spellStart"/>
      <w:r w:rsidRPr="0059773B">
        <w:rPr>
          <w:lang w:val="es-PE"/>
        </w:rPr>
        <w:t>ii</w:t>
      </w:r>
      <w:proofErr w:type="spellEnd"/>
      <w:r w:rsidRPr="0059773B">
        <w:rPr>
          <w:lang w:val="es-PE"/>
        </w:rPr>
        <w:t>) De haberse configurado efectivamente la circunstancia invocada para fines del rechazo, ¿la misma está prevista en el contrato de seguro y resulta siendo oponible al asegurado y/o contratante del seguro?</w:t>
      </w:r>
    </w:p>
    <w:p w14:paraId="05C9DADD" w14:textId="77777777" w:rsidR="00474801" w:rsidRPr="0059773B" w:rsidRDefault="00474801" w:rsidP="00474801">
      <w:pPr>
        <w:tabs>
          <w:tab w:val="left" w:pos="2160"/>
        </w:tabs>
        <w:jc w:val="both"/>
        <w:rPr>
          <w:lang w:val="es-PE"/>
        </w:rPr>
      </w:pPr>
    </w:p>
    <w:p w14:paraId="2BDDFAEC" w14:textId="77777777" w:rsidR="00474801" w:rsidRPr="0059773B" w:rsidRDefault="00474801" w:rsidP="00474801">
      <w:pPr>
        <w:tabs>
          <w:tab w:val="left" w:pos="2160"/>
        </w:tabs>
        <w:jc w:val="both"/>
        <w:rPr>
          <w:lang w:val="es-PE"/>
        </w:rPr>
      </w:pPr>
      <w:r w:rsidRPr="0059773B">
        <w:rPr>
          <w:lang w:val="es-PE"/>
        </w:rPr>
        <w:t>Se destaca que, no exigiéndose reglamentariamente de asistencia de letrado para fines de la interposición de reclamaciones, corresponde a esta Defensoría verificar que para fines de un rechazo se haya cumplido estrictamente con las exigencias legales aplicables, por más que cualquier infracción no hubiese sido invocada por el asegurado, atendiendo a la asimetría informativa sobre el marco regulatorio al  contrato de seguro, al régimen de póliza grupales y al rechazo de siniestros, conocimiento que definitivamente está al alcance de las aseguradoras y de sus abogados, por el desarrollo de sus actividades mismas.</w:t>
      </w:r>
    </w:p>
    <w:p w14:paraId="7DEFF0C5" w14:textId="77777777" w:rsidR="00474801" w:rsidRPr="0059773B" w:rsidRDefault="00474801" w:rsidP="00474801">
      <w:pPr>
        <w:tabs>
          <w:tab w:val="left" w:pos="2160"/>
        </w:tabs>
        <w:jc w:val="both"/>
        <w:rPr>
          <w:lang w:val="es-PE"/>
        </w:rPr>
      </w:pPr>
    </w:p>
    <w:p w14:paraId="78F4A8E1" w14:textId="77777777" w:rsidR="00474801" w:rsidRPr="0059773B" w:rsidRDefault="00474801" w:rsidP="00474801">
      <w:pPr>
        <w:tabs>
          <w:tab w:val="left" w:pos="2160"/>
        </w:tabs>
        <w:jc w:val="both"/>
        <w:rPr>
          <w:b/>
          <w:bCs/>
          <w:lang w:val="es-PE"/>
        </w:rPr>
      </w:pPr>
      <w:r w:rsidRPr="0059773B">
        <w:rPr>
          <w:b/>
          <w:bCs/>
          <w:lang w:val="es-PE"/>
        </w:rPr>
        <w:t xml:space="preserve">Sobre el siniestro </w:t>
      </w:r>
      <w:proofErr w:type="gramStart"/>
      <w:r w:rsidRPr="0059773B">
        <w:rPr>
          <w:b/>
          <w:bCs/>
          <w:lang w:val="es-PE"/>
        </w:rPr>
        <w:t>consentido.-</w:t>
      </w:r>
      <w:proofErr w:type="gramEnd"/>
    </w:p>
    <w:p w14:paraId="5CFFAE8E" w14:textId="77777777" w:rsidR="00474801" w:rsidRPr="0059773B" w:rsidRDefault="00474801" w:rsidP="00474801">
      <w:pPr>
        <w:tabs>
          <w:tab w:val="left" w:pos="2160"/>
        </w:tabs>
        <w:jc w:val="both"/>
        <w:rPr>
          <w:b/>
          <w:bCs/>
          <w:lang w:val="es-PE"/>
        </w:rPr>
      </w:pPr>
    </w:p>
    <w:p w14:paraId="57D8704D" w14:textId="77777777" w:rsidR="00474801" w:rsidRPr="0059773B" w:rsidRDefault="00474801" w:rsidP="00474801">
      <w:pPr>
        <w:tabs>
          <w:tab w:val="left" w:pos="709"/>
          <w:tab w:val="left" w:pos="2160"/>
        </w:tabs>
        <w:ind w:left="705" w:hanging="705"/>
        <w:jc w:val="both"/>
        <w:rPr>
          <w:lang w:val="es-PE"/>
        </w:rPr>
      </w:pPr>
      <w:r w:rsidRPr="0059773B">
        <w:rPr>
          <w:lang w:val="es-PE"/>
        </w:rPr>
        <w:t>6.1.</w:t>
      </w:r>
      <w:r w:rsidRPr="0059773B">
        <w:rPr>
          <w:lang w:val="es-PE"/>
        </w:rPr>
        <w:tab/>
        <w:t xml:space="preserve">En su reclamación, el asegurado sostiene que presentó la solicitud de cobertura, con los documentos </w:t>
      </w:r>
      <w:proofErr w:type="spellStart"/>
      <w:r w:rsidRPr="0059773B">
        <w:rPr>
          <w:lang w:val="es-PE"/>
        </w:rPr>
        <w:t>sustentatorios</w:t>
      </w:r>
      <w:proofErr w:type="spellEnd"/>
      <w:r w:rsidRPr="0059773B">
        <w:rPr>
          <w:lang w:val="es-PE"/>
        </w:rPr>
        <w:t xml:space="preserve"> correspondientes, dentro de ellos la historia clínica, en el mes de julio de 2021, y que inicialmente con fecha 30 de julio de 2021 la aseguradora le indica que su padre no estaba asegurado adjuntando una póliza que no correspondía a la que se le había entregado originalmente. Ello motivó que él presentara la póliza correcta y que con fecha 2 de agosto de 2021 le indicaran que su caso se encontraba en evaluación, para luego cursarle la carta de rechazo de fecha 28 de setiembre de 2021.  La aseguradora, en sus descargos, no ha negado dichos hechos, limitándose a señalar que rechazó la cobertura el 28 de setiembre de 2021, por lo que se entiende que la afirmación </w:t>
      </w:r>
      <w:proofErr w:type="gramStart"/>
      <w:r w:rsidRPr="0059773B">
        <w:rPr>
          <w:lang w:val="es-PE"/>
        </w:rPr>
        <w:t>del reclamante referida</w:t>
      </w:r>
      <w:proofErr w:type="gramEnd"/>
      <w:r w:rsidRPr="0059773B">
        <w:rPr>
          <w:lang w:val="es-PE"/>
        </w:rPr>
        <w:t xml:space="preserve"> a que completó la documentación en el mes de julio de 2021, sería algo aceptado y cierto; y, que el rechazo de cobertura inicial (basada en que se padre no era asegurado) fue un error que carece de validez. Siendo así, la aseguradora disponía de treinta (30) días calendario, desde dicha presentación, para pronunciarse sobre la solicitud, pudiéndola rechazar justificadamente.  De no pronunciarse, aplicaba el silencio positivo legal, dándose por aprobada y, en consecuencia, por debido el pago indemnizatorio reclamado dentro de los límites de la póliza.  Según la copia de la comunicación de rechazo que obra en el expediente, aquella lleva fecha del 28 de setiembre de 2021, por lo que habría sido cursada luego del plazo de 30 días que establece la ley, siendo una respuesta extemporánea, habría operado la figura del “siniestro consentido” a la cual se contrae el artículo 74 de la Ley Nro. 29946 – Ley del Contrato de Seguro, norma de carácter imperativo.</w:t>
      </w:r>
    </w:p>
    <w:p w14:paraId="25591756" w14:textId="77777777" w:rsidR="00474801" w:rsidRPr="0059773B" w:rsidRDefault="00474801" w:rsidP="00474801">
      <w:pPr>
        <w:tabs>
          <w:tab w:val="left" w:pos="709"/>
          <w:tab w:val="left" w:pos="2160"/>
        </w:tabs>
        <w:ind w:left="705" w:hanging="705"/>
        <w:jc w:val="both"/>
        <w:rPr>
          <w:lang w:val="es-PE"/>
        </w:rPr>
      </w:pPr>
    </w:p>
    <w:p w14:paraId="65E0FE27" w14:textId="4E1BAD21" w:rsidR="00474801" w:rsidRPr="0059773B" w:rsidRDefault="00474801" w:rsidP="00474801">
      <w:pPr>
        <w:tabs>
          <w:tab w:val="left" w:pos="709"/>
          <w:tab w:val="left" w:pos="2160"/>
        </w:tabs>
        <w:ind w:left="705" w:hanging="705"/>
        <w:jc w:val="both"/>
        <w:rPr>
          <w:lang w:val="es-PE"/>
        </w:rPr>
      </w:pPr>
      <w:r w:rsidRPr="0059773B">
        <w:rPr>
          <w:lang w:val="es-PE"/>
        </w:rPr>
        <w:t>6.2.</w:t>
      </w:r>
      <w:r w:rsidRPr="0059773B">
        <w:rPr>
          <w:lang w:val="es-PE"/>
        </w:rPr>
        <w:tab/>
        <w:t xml:space="preserve">Siendo que el asegurado presentó una comunicación de fecha 30 de julio de 2021 donde </w:t>
      </w:r>
      <w:r w:rsidR="00294AEF">
        <w:rPr>
          <w:lang w:val="es-PE"/>
        </w:rPr>
        <w:t>…………………</w:t>
      </w:r>
      <w:r w:rsidR="00294AEF">
        <w:rPr>
          <w:lang w:val="es-PE"/>
        </w:rPr>
        <w:t xml:space="preserve"> </w:t>
      </w:r>
      <w:r w:rsidRPr="0059773B">
        <w:rPr>
          <w:lang w:val="es-PE"/>
        </w:rPr>
        <w:t xml:space="preserve">confirmaba la recepción de su solicitud para la activación de su seguro de vida (aun cuando la rechaza indebidamente por error),  este órgano </w:t>
      </w:r>
      <w:r w:rsidRPr="0059773B">
        <w:rPr>
          <w:lang w:val="es-PE"/>
        </w:rPr>
        <w:lastRenderedPageBreak/>
        <w:t xml:space="preserve">resolutivo requería conocer con certeza la respectiva información y en todo caso conocer la posición de la aseguradora, en razón de ello, en la audiencia de vista virtual solicitó expresamente a </w:t>
      </w:r>
      <w:r w:rsidR="00294AEF">
        <w:rPr>
          <w:lang w:val="es-PE"/>
        </w:rPr>
        <w:t>…………………</w:t>
      </w:r>
      <w:r w:rsidR="00294AEF">
        <w:rPr>
          <w:lang w:val="es-PE"/>
        </w:rPr>
        <w:t xml:space="preserve"> </w:t>
      </w:r>
      <w:r w:rsidRPr="0059773B">
        <w:rPr>
          <w:lang w:val="es-PE"/>
        </w:rPr>
        <w:t xml:space="preserve">que revise y se pronuncie sobre la fecha en que el reclamante completó toda la documentación requerida para evaluar la solicitud del siniestro.  Empero, </w:t>
      </w:r>
      <w:r w:rsidR="00294AEF">
        <w:rPr>
          <w:lang w:val="es-PE"/>
        </w:rPr>
        <w:t>…………………</w:t>
      </w:r>
      <w:r w:rsidR="00294AEF">
        <w:rPr>
          <w:lang w:val="es-PE"/>
        </w:rPr>
        <w:t xml:space="preserve"> </w:t>
      </w:r>
      <w:r w:rsidRPr="0059773B">
        <w:rPr>
          <w:lang w:val="es-PE"/>
        </w:rPr>
        <w:t xml:space="preserve">no ha cumplido con ello hasta la fecha.  En tal virtud, dado que el material probatorio para determinar si operó o no un siniestro consentido está bajo el control de </w:t>
      </w:r>
      <w:r w:rsidR="00294AEF">
        <w:rPr>
          <w:lang w:val="es-PE"/>
        </w:rPr>
        <w:t>………………</w:t>
      </w:r>
      <w:proofErr w:type="gramStart"/>
      <w:r w:rsidR="00294AEF">
        <w:rPr>
          <w:lang w:val="es-PE"/>
        </w:rPr>
        <w:t>…</w:t>
      </w:r>
      <w:r w:rsidR="00294AEF">
        <w:rPr>
          <w:lang w:val="es-PE"/>
        </w:rPr>
        <w:t xml:space="preserve"> </w:t>
      </w:r>
      <w:r w:rsidRPr="0059773B">
        <w:rPr>
          <w:lang w:val="es-PE"/>
        </w:rPr>
        <w:t>,</w:t>
      </w:r>
      <w:proofErr w:type="gramEnd"/>
      <w:r w:rsidRPr="0059773B">
        <w:rPr>
          <w:lang w:val="es-PE"/>
        </w:rPr>
        <w:t xml:space="preserve"> empresa que no ha atendido el requerimiento expreso de esta Defensoría, y que existe una comunicación de fecha 30 de junio donde la aseguradora reconoce que recibió la solicitud de cobertura,  la comunicación de rechazo del 28 de setiembre de 2021 fue extemporánea, por lo que el siniestro reclamado quedó consentido, debiéndose brindar la cobertura reclamada.</w:t>
      </w:r>
    </w:p>
    <w:p w14:paraId="03831C0D" w14:textId="77777777" w:rsidR="00474801" w:rsidRPr="0059773B" w:rsidRDefault="00474801" w:rsidP="00474801">
      <w:pPr>
        <w:tabs>
          <w:tab w:val="left" w:pos="709"/>
          <w:tab w:val="left" w:pos="2160"/>
        </w:tabs>
        <w:ind w:left="705" w:hanging="705"/>
        <w:jc w:val="both"/>
        <w:rPr>
          <w:lang w:val="es-PE"/>
        </w:rPr>
      </w:pPr>
    </w:p>
    <w:p w14:paraId="57D7D831" w14:textId="77777777" w:rsidR="00474801" w:rsidRPr="0059773B" w:rsidRDefault="00474801" w:rsidP="00474801">
      <w:pPr>
        <w:tabs>
          <w:tab w:val="left" w:pos="709"/>
          <w:tab w:val="left" w:pos="2160"/>
        </w:tabs>
        <w:ind w:left="705" w:hanging="705"/>
        <w:jc w:val="both"/>
        <w:rPr>
          <w:lang w:val="es-PE"/>
        </w:rPr>
      </w:pPr>
    </w:p>
    <w:p w14:paraId="0E8DB5DB" w14:textId="77777777" w:rsidR="00474801" w:rsidRPr="0059773B" w:rsidRDefault="00474801" w:rsidP="00474801">
      <w:pPr>
        <w:tabs>
          <w:tab w:val="left" w:pos="709"/>
          <w:tab w:val="left" w:pos="2160"/>
        </w:tabs>
        <w:ind w:left="705" w:hanging="705"/>
        <w:jc w:val="both"/>
        <w:rPr>
          <w:b/>
          <w:bCs/>
          <w:lang w:val="es-PE"/>
        </w:rPr>
      </w:pPr>
      <w:r w:rsidRPr="0059773B">
        <w:rPr>
          <w:b/>
          <w:bCs/>
          <w:lang w:val="es-PE"/>
        </w:rPr>
        <w:t xml:space="preserve">Sobre la causal de rechazo invocada para sustentar el rechazo de </w:t>
      </w:r>
      <w:proofErr w:type="gramStart"/>
      <w:r w:rsidRPr="0059773B">
        <w:rPr>
          <w:b/>
          <w:bCs/>
          <w:lang w:val="es-PE"/>
        </w:rPr>
        <w:t>cobertura.-</w:t>
      </w:r>
      <w:proofErr w:type="gramEnd"/>
    </w:p>
    <w:p w14:paraId="6D86552B" w14:textId="77777777" w:rsidR="00474801" w:rsidRPr="0059773B" w:rsidRDefault="00474801" w:rsidP="00474801">
      <w:pPr>
        <w:tabs>
          <w:tab w:val="left" w:pos="2160"/>
        </w:tabs>
        <w:jc w:val="both"/>
        <w:rPr>
          <w:lang w:val="es-PE"/>
        </w:rPr>
      </w:pPr>
    </w:p>
    <w:p w14:paraId="557E3ED1" w14:textId="09491795" w:rsidR="00474801" w:rsidRPr="0059773B" w:rsidRDefault="00474801" w:rsidP="00474801">
      <w:pPr>
        <w:tabs>
          <w:tab w:val="left" w:pos="709"/>
          <w:tab w:val="left" w:pos="2160"/>
        </w:tabs>
        <w:ind w:left="709" w:hanging="709"/>
        <w:jc w:val="both"/>
        <w:rPr>
          <w:lang w:val="es-PE"/>
        </w:rPr>
      </w:pPr>
      <w:r w:rsidRPr="0059773B">
        <w:rPr>
          <w:lang w:val="es-PE"/>
        </w:rPr>
        <w:t>6.3.</w:t>
      </w:r>
      <w:r w:rsidRPr="0059773B">
        <w:rPr>
          <w:lang w:val="es-PE"/>
        </w:rPr>
        <w:tab/>
        <w:t xml:space="preserve">La sola circunstancia que haya operado el denominado “siniestro consentido” deriva en que resulte innecesario analizar si posee justificación el sustento invocado por </w:t>
      </w:r>
      <w:r w:rsidR="00294AEF">
        <w:rPr>
          <w:lang w:val="es-PE"/>
        </w:rPr>
        <w:t>…………………</w:t>
      </w:r>
      <w:r w:rsidR="00294AEF">
        <w:rPr>
          <w:lang w:val="es-PE"/>
        </w:rPr>
        <w:t xml:space="preserve"> </w:t>
      </w:r>
      <w:r w:rsidRPr="0059773B">
        <w:rPr>
          <w:lang w:val="es-PE"/>
        </w:rPr>
        <w:t xml:space="preserve">para el rechazo expreso de cobertura, dado que la misma no fue opuesta oportunamente, dentro del plazo perentorio de ley.  Sin embargo, como en vía de impugnación, </w:t>
      </w:r>
      <w:r w:rsidR="00294AEF">
        <w:rPr>
          <w:lang w:val="es-PE"/>
        </w:rPr>
        <w:t>…………………</w:t>
      </w:r>
      <w:r w:rsidR="00294AEF">
        <w:rPr>
          <w:lang w:val="es-PE"/>
        </w:rPr>
        <w:t xml:space="preserve"> </w:t>
      </w:r>
      <w:r w:rsidRPr="0059773B">
        <w:rPr>
          <w:lang w:val="es-PE"/>
        </w:rPr>
        <w:t>podría cuestionar y eventualmente demostrar que su rechazo de cobertura fue oportuno, por lo que no habría operado el “siniestro consentido”, corresponde que se analice la causal invocada para justificar el rechazo de cobertura comunicado.</w:t>
      </w:r>
    </w:p>
    <w:p w14:paraId="673CBCDA" w14:textId="77777777" w:rsidR="00474801" w:rsidRPr="0059773B" w:rsidRDefault="00474801" w:rsidP="00474801">
      <w:pPr>
        <w:tabs>
          <w:tab w:val="left" w:pos="709"/>
          <w:tab w:val="left" w:pos="2160"/>
        </w:tabs>
        <w:ind w:left="709" w:hanging="709"/>
        <w:jc w:val="both"/>
        <w:rPr>
          <w:lang w:val="es-PE"/>
        </w:rPr>
      </w:pPr>
    </w:p>
    <w:p w14:paraId="2025EABD" w14:textId="1CEF3946" w:rsidR="00474801" w:rsidRPr="0059773B" w:rsidRDefault="00474801" w:rsidP="00474801">
      <w:pPr>
        <w:tabs>
          <w:tab w:val="left" w:pos="2160"/>
        </w:tabs>
        <w:ind w:left="709" w:hanging="709"/>
        <w:jc w:val="both"/>
        <w:rPr>
          <w:lang w:val="es-PE"/>
        </w:rPr>
      </w:pPr>
      <w:r w:rsidRPr="0059773B">
        <w:rPr>
          <w:lang w:val="es-PE"/>
        </w:rPr>
        <w:t>6.4.</w:t>
      </w:r>
      <w:r w:rsidRPr="0059773B">
        <w:rPr>
          <w:lang w:val="es-PE"/>
        </w:rPr>
        <w:tab/>
        <w:t xml:space="preserve">Sobre el particular, la póliza estableció que el otorgamiento de la cobertura únicamente se daba a través de la coordinación del servicio con el proveedor memorial, a la central telefónica de </w:t>
      </w:r>
      <w:r w:rsidR="00294AEF">
        <w:rPr>
          <w:lang w:val="es-PE"/>
        </w:rPr>
        <w:t>…………………</w:t>
      </w:r>
      <w:r w:rsidRPr="0059773B">
        <w:rPr>
          <w:lang w:val="es-PE"/>
        </w:rPr>
        <w:t xml:space="preserve">. Añadiendo que </w:t>
      </w:r>
      <w:proofErr w:type="gramStart"/>
      <w:r w:rsidRPr="0059773B">
        <w:rPr>
          <w:lang w:val="es-PE"/>
        </w:rPr>
        <w:t>en caso que</w:t>
      </w:r>
      <w:proofErr w:type="gramEnd"/>
      <w:r w:rsidRPr="0059773B">
        <w:rPr>
          <w:lang w:val="es-PE"/>
        </w:rPr>
        <w:t xml:space="preserve"> el siniestro ocurriera en una zona alejada donde el proveedor indique no contar con cobertura se podrá reembolsar los gastos, hasta por un máximo de S/2,800. El propio reclamante ha adjuntado la póliza de seguro, por lo que dichas limitaciones eran de su conocimiento y le resultan oponibles.</w:t>
      </w:r>
    </w:p>
    <w:p w14:paraId="69AB0B95" w14:textId="77777777" w:rsidR="00474801" w:rsidRPr="0059773B" w:rsidRDefault="00474801" w:rsidP="00474801">
      <w:pPr>
        <w:tabs>
          <w:tab w:val="left" w:pos="2160"/>
        </w:tabs>
        <w:ind w:left="709" w:hanging="709"/>
        <w:jc w:val="both"/>
        <w:rPr>
          <w:lang w:val="es-PE"/>
        </w:rPr>
      </w:pPr>
    </w:p>
    <w:p w14:paraId="61E83270" w14:textId="77777777" w:rsidR="00474801" w:rsidRPr="0059773B" w:rsidRDefault="00474801" w:rsidP="00474801">
      <w:pPr>
        <w:tabs>
          <w:tab w:val="left" w:pos="2160"/>
        </w:tabs>
        <w:ind w:left="709" w:hanging="709"/>
        <w:jc w:val="both"/>
        <w:rPr>
          <w:lang w:val="es-PE"/>
        </w:rPr>
      </w:pPr>
      <w:r w:rsidRPr="0059773B">
        <w:rPr>
          <w:lang w:val="es-PE"/>
        </w:rPr>
        <w:tab/>
        <w:t xml:space="preserve">Al respecto, el reclamante refiere que no pudo comunicarse con el proveedor y que por ello realizó el gasto directamente. Dicha afirmación la acredita con su sólo dicho, sin adjuntar alguna prueba que la sustente. Tampoco se ha acreditado que el siniestro habría ocurrido en una zona alejada donde el proveedor no tenía cobertura, situación que habilitaba la posibilidad del reembolso. </w:t>
      </w:r>
    </w:p>
    <w:p w14:paraId="23E3CE54" w14:textId="77777777" w:rsidR="00474801" w:rsidRPr="0059773B" w:rsidRDefault="00474801" w:rsidP="00474801">
      <w:pPr>
        <w:tabs>
          <w:tab w:val="left" w:pos="2160"/>
        </w:tabs>
        <w:ind w:left="709" w:hanging="709"/>
        <w:jc w:val="both"/>
        <w:rPr>
          <w:lang w:val="es-PE"/>
        </w:rPr>
      </w:pPr>
    </w:p>
    <w:p w14:paraId="756F259C" w14:textId="77777777" w:rsidR="00474801" w:rsidRPr="0059773B" w:rsidRDefault="00474801" w:rsidP="00474801">
      <w:pPr>
        <w:tabs>
          <w:tab w:val="left" w:pos="709"/>
          <w:tab w:val="left" w:pos="2160"/>
        </w:tabs>
        <w:ind w:left="709"/>
        <w:jc w:val="both"/>
        <w:rPr>
          <w:lang w:val="es-PE"/>
        </w:rPr>
      </w:pPr>
      <w:r w:rsidRPr="0059773B">
        <w:rPr>
          <w:lang w:val="es-PE"/>
        </w:rPr>
        <w:t xml:space="preserve">Por lo </w:t>
      </w:r>
      <w:proofErr w:type="gramStart"/>
      <w:r w:rsidRPr="0059773B">
        <w:rPr>
          <w:lang w:val="es-PE"/>
        </w:rPr>
        <w:t>que</w:t>
      </w:r>
      <w:proofErr w:type="gramEnd"/>
      <w:r w:rsidRPr="0059773B">
        <w:rPr>
          <w:lang w:val="es-PE"/>
        </w:rPr>
        <w:t xml:space="preserve"> al no haberse seguido el procedimiento previsto por la aseguradora, para acceder a la cobertura, el rechazo de cobertura informado hubiera sido legítimo, siempre y cuando la carta de rechazo hubiera sido cursada dentro del plazo de ley, lo que conforme a lo expuesto en el numeral 6.2. precedente no ocurrió, y por tanto el rechazo de cobertura no resulta finalmente legítimo. </w:t>
      </w:r>
    </w:p>
    <w:p w14:paraId="4402BB3F" w14:textId="77777777" w:rsidR="00474801" w:rsidRPr="0059773B" w:rsidRDefault="00474801" w:rsidP="00474801">
      <w:pPr>
        <w:tabs>
          <w:tab w:val="left" w:pos="709"/>
          <w:tab w:val="left" w:pos="2160"/>
        </w:tabs>
        <w:ind w:left="709"/>
        <w:jc w:val="both"/>
        <w:rPr>
          <w:lang w:val="es-PE"/>
        </w:rPr>
      </w:pPr>
    </w:p>
    <w:p w14:paraId="37D6372E" w14:textId="77777777" w:rsidR="00474801" w:rsidRPr="0059773B" w:rsidRDefault="00474801" w:rsidP="00474801">
      <w:pPr>
        <w:tabs>
          <w:tab w:val="left" w:pos="709"/>
          <w:tab w:val="left" w:pos="2160"/>
        </w:tabs>
        <w:jc w:val="both"/>
        <w:rPr>
          <w:lang w:val="es-PE"/>
        </w:rPr>
      </w:pPr>
    </w:p>
    <w:p w14:paraId="300FAAA4" w14:textId="71A01040" w:rsidR="00474801" w:rsidRPr="0059773B" w:rsidRDefault="00474801" w:rsidP="00474801">
      <w:pPr>
        <w:tabs>
          <w:tab w:val="left" w:pos="709"/>
          <w:tab w:val="left" w:pos="2160"/>
        </w:tabs>
        <w:jc w:val="both"/>
        <w:rPr>
          <w:lang w:val="es-PE"/>
        </w:rPr>
      </w:pPr>
      <w:r w:rsidRPr="0059773B">
        <w:rPr>
          <w:b/>
          <w:bCs/>
          <w:u w:val="single"/>
          <w:lang w:val="es-PE"/>
        </w:rPr>
        <w:t>Sétimo</w:t>
      </w:r>
      <w:r w:rsidRPr="0059773B">
        <w:rPr>
          <w:b/>
          <w:bCs/>
          <w:lang w:val="es-PE"/>
        </w:rPr>
        <w:t xml:space="preserve">: </w:t>
      </w:r>
      <w:r w:rsidRPr="0059773B">
        <w:rPr>
          <w:lang w:val="es-PE"/>
        </w:rPr>
        <w:t xml:space="preserve">Reiterar a </w:t>
      </w:r>
      <w:r w:rsidR="00294AEF">
        <w:rPr>
          <w:lang w:val="es-PE"/>
        </w:rPr>
        <w:t>…………………</w:t>
      </w:r>
      <w:r w:rsidR="00294AEF">
        <w:rPr>
          <w:lang w:val="es-PE"/>
        </w:rPr>
        <w:t xml:space="preserve"> </w:t>
      </w:r>
      <w:r w:rsidRPr="0059773B">
        <w:rPr>
          <w:lang w:val="es-PE"/>
        </w:rPr>
        <w:t xml:space="preserve">las exhortaciones ya formuladas en oportunidades anteriores en el sentido que, conforme a sus compromisos gremiales, debe adoptar las previsiones necesarias para atender los requerimientos documentales que le formule esta </w:t>
      </w:r>
      <w:r w:rsidRPr="0059773B">
        <w:rPr>
          <w:lang w:val="es-PE"/>
        </w:rPr>
        <w:lastRenderedPageBreak/>
        <w:t>Defensoría, contribuyendo de dicha manera a brindar una oportuna atención y resolución a las reclamaciones.</w:t>
      </w:r>
    </w:p>
    <w:p w14:paraId="641221A1" w14:textId="77777777" w:rsidR="00474801" w:rsidRPr="0059773B" w:rsidRDefault="00474801" w:rsidP="00474801">
      <w:pPr>
        <w:tabs>
          <w:tab w:val="left" w:pos="709"/>
          <w:tab w:val="left" w:pos="2160"/>
        </w:tabs>
        <w:jc w:val="both"/>
        <w:rPr>
          <w:lang w:val="es-PE"/>
        </w:rPr>
      </w:pPr>
    </w:p>
    <w:p w14:paraId="26A10557" w14:textId="77777777" w:rsidR="00474801" w:rsidRPr="0059773B" w:rsidRDefault="00474801" w:rsidP="00474801">
      <w:pPr>
        <w:tabs>
          <w:tab w:val="left" w:pos="709"/>
          <w:tab w:val="left" w:pos="2160"/>
        </w:tabs>
        <w:jc w:val="both"/>
      </w:pPr>
      <w:r w:rsidRPr="0059773B">
        <w:rPr>
          <w:lang w:val="es-PE"/>
        </w:rPr>
        <w:t xml:space="preserve">Atendiendo a lo expresado, este Órgano Resolutivo Unipersonal </w:t>
      </w:r>
      <w:r w:rsidRPr="0059773B">
        <w:t>concluye su apreciación razonada y conjunta al amparo de lo establecido en su Reglamento, por lo que</w:t>
      </w:r>
    </w:p>
    <w:p w14:paraId="0A56AB02" w14:textId="77777777" w:rsidR="00474801" w:rsidRPr="0059773B" w:rsidRDefault="00474801" w:rsidP="00474801">
      <w:pPr>
        <w:tabs>
          <w:tab w:val="left" w:pos="709"/>
          <w:tab w:val="left" w:pos="2160"/>
        </w:tabs>
        <w:jc w:val="both"/>
      </w:pPr>
    </w:p>
    <w:p w14:paraId="39EB1B62" w14:textId="77777777" w:rsidR="00474801" w:rsidRPr="0059773B" w:rsidRDefault="00474801" w:rsidP="00474801">
      <w:pPr>
        <w:tabs>
          <w:tab w:val="left" w:pos="709"/>
          <w:tab w:val="left" w:pos="2160"/>
        </w:tabs>
        <w:jc w:val="both"/>
        <w:rPr>
          <w:b/>
        </w:rPr>
      </w:pPr>
      <w:r w:rsidRPr="0059773B">
        <w:rPr>
          <w:b/>
        </w:rPr>
        <w:t>RESUELVE</w:t>
      </w:r>
      <w:r w:rsidRPr="0059773B">
        <w:rPr>
          <w:b/>
          <w:lang w:val="es-PE"/>
        </w:rPr>
        <w:t>:</w:t>
      </w:r>
    </w:p>
    <w:p w14:paraId="0B864629" w14:textId="77777777" w:rsidR="00474801" w:rsidRPr="0059773B" w:rsidRDefault="00474801" w:rsidP="00474801">
      <w:pPr>
        <w:tabs>
          <w:tab w:val="left" w:pos="709"/>
          <w:tab w:val="left" w:pos="2160"/>
        </w:tabs>
        <w:jc w:val="both"/>
        <w:rPr>
          <w:b/>
          <w:bCs/>
        </w:rPr>
      </w:pPr>
    </w:p>
    <w:p w14:paraId="393E5847" w14:textId="364885F9" w:rsidR="00474801" w:rsidRPr="0059773B" w:rsidRDefault="00474801" w:rsidP="00474801">
      <w:pPr>
        <w:tabs>
          <w:tab w:val="left" w:pos="0"/>
          <w:tab w:val="left" w:pos="708"/>
          <w:tab w:val="left" w:pos="1416"/>
          <w:tab w:val="left" w:pos="2160"/>
          <w:tab w:val="left" w:pos="3540"/>
          <w:tab w:val="left" w:pos="4248"/>
          <w:tab w:val="left" w:pos="4956"/>
          <w:tab w:val="left" w:pos="5664"/>
          <w:tab w:val="left" w:pos="6372"/>
          <w:tab w:val="left" w:pos="7125"/>
        </w:tabs>
        <w:jc w:val="both"/>
        <w:rPr>
          <w:lang w:val="es-PE"/>
        </w:rPr>
      </w:pPr>
      <w:r w:rsidRPr="0059773B">
        <w:rPr>
          <w:b/>
          <w:bCs/>
          <w:lang w:val="es-PE"/>
        </w:rPr>
        <w:t xml:space="preserve">Declarar FUNDADA </w:t>
      </w:r>
      <w:r w:rsidRPr="0059773B">
        <w:rPr>
          <w:lang w:val="es-PE"/>
        </w:rPr>
        <w:t xml:space="preserve">la reclamación interpuesta por </w:t>
      </w:r>
      <w:r w:rsidR="00294AEF">
        <w:rPr>
          <w:lang w:val="es-PE"/>
        </w:rPr>
        <w:t>…………………</w:t>
      </w:r>
      <w:r w:rsidRPr="0059773B">
        <w:rPr>
          <w:bCs/>
        </w:rPr>
        <w:t xml:space="preserve">, por lo que </w:t>
      </w:r>
      <w:r w:rsidR="00294AEF">
        <w:rPr>
          <w:lang w:val="es-PE"/>
        </w:rPr>
        <w:t>…………………</w:t>
      </w:r>
      <w:r w:rsidR="00294AEF">
        <w:rPr>
          <w:lang w:val="es-PE"/>
        </w:rPr>
        <w:t xml:space="preserve"> </w:t>
      </w:r>
      <w:r w:rsidRPr="0059773B">
        <w:rPr>
          <w:bCs/>
        </w:rPr>
        <w:t xml:space="preserve">debe </w:t>
      </w:r>
      <w:proofErr w:type="gramStart"/>
      <w:r w:rsidRPr="0059773B">
        <w:rPr>
          <w:bCs/>
        </w:rPr>
        <w:t>proceder a otorgar</w:t>
      </w:r>
      <w:proofErr w:type="gramEnd"/>
      <w:r w:rsidRPr="0059773B">
        <w:rPr>
          <w:bCs/>
        </w:rPr>
        <w:t xml:space="preserve"> la cobertura reclamada, dentro de los límites establecidos en la póliza.</w:t>
      </w:r>
    </w:p>
    <w:p w14:paraId="2CE6C8F7" w14:textId="77777777" w:rsidR="00230147" w:rsidRPr="0059773B" w:rsidRDefault="00230147" w:rsidP="00401DE3">
      <w:pPr>
        <w:jc w:val="right"/>
        <w:outlineLvl w:val="0"/>
        <w:rPr>
          <w:lang w:val="es-PE"/>
        </w:rPr>
      </w:pPr>
    </w:p>
    <w:p w14:paraId="30F8D459" w14:textId="4B9146E0" w:rsidR="001631D6" w:rsidRPr="0059773B" w:rsidRDefault="00F15FBA" w:rsidP="00401DE3">
      <w:pPr>
        <w:jc w:val="right"/>
        <w:outlineLvl w:val="0"/>
        <w:rPr>
          <w:lang w:val="es-PE"/>
        </w:rPr>
      </w:pPr>
      <w:r w:rsidRPr="0059773B">
        <w:rPr>
          <w:lang w:val="es-PE"/>
        </w:rPr>
        <w:t xml:space="preserve">Lima, </w:t>
      </w:r>
      <w:r w:rsidR="00FE6C5C" w:rsidRPr="0059773B">
        <w:rPr>
          <w:lang w:val="es-PE"/>
        </w:rPr>
        <w:t>0</w:t>
      </w:r>
      <w:r w:rsidR="0059773B" w:rsidRPr="0059773B">
        <w:rPr>
          <w:lang w:val="es-PE"/>
        </w:rPr>
        <w:t>8</w:t>
      </w:r>
      <w:r w:rsidR="00FE6C5C" w:rsidRPr="0059773B">
        <w:rPr>
          <w:lang w:val="es-PE"/>
        </w:rPr>
        <w:t xml:space="preserve"> </w:t>
      </w:r>
      <w:r w:rsidR="00F62606" w:rsidRPr="0059773B">
        <w:t>d</w:t>
      </w:r>
      <w:proofErr w:type="spellStart"/>
      <w:r w:rsidRPr="0059773B">
        <w:rPr>
          <w:lang w:val="es-PE"/>
        </w:rPr>
        <w:t>e</w:t>
      </w:r>
      <w:proofErr w:type="spellEnd"/>
      <w:r w:rsidR="00642D5C" w:rsidRPr="0059773B">
        <w:rPr>
          <w:lang w:val="es-PE"/>
        </w:rPr>
        <w:t xml:space="preserve"> </w:t>
      </w:r>
      <w:r w:rsidR="00FE6C5C" w:rsidRPr="0059773B">
        <w:rPr>
          <w:lang w:val="es-PE"/>
        </w:rPr>
        <w:t>febrero</w:t>
      </w:r>
      <w:r w:rsidR="001631D6" w:rsidRPr="0059773B">
        <w:rPr>
          <w:lang w:val="es-PE"/>
        </w:rPr>
        <w:t xml:space="preserve"> </w:t>
      </w:r>
      <w:r w:rsidRPr="0059773B">
        <w:rPr>
          <w:lang w:val="es-PE"/>
        </w:rPr>
        <w:t>de 20</w:t>
      </w:r>
      <w:r w:rsidR="001631D6" w:rsidRPr="0059773B">
        <w:rPr>
          <w:lang w:val="es-PE"/>
        </w:rPr>
        <w:t>2</w:t>
      </w:r>
      <w:r w:rsidR="00465FB3" w:rsidRPr="0059773B">
        <w:rPr>
          <w:lang w:val="es-PE"/>
        </w:rPr>
        <w:t>2</w:t>
      </w:r>
    </w:p>
    <w:p w14:paraId="37DB6607" w14:textId="77777777" w:rsidR="00C01AB2" w:rsidRPr="0059773B" w:rsidRDefault="00C01AB2" w:rsidP="00B5211F"/>
    <w:p w14:paraId="4A61E4B7" w14:textId="77777777" w:rsidR="0059773B" w:rsidRDefault="0059773B" w:rsidP="00A16B63">
      <w:pPr>
        <w:jc w:val="both"/>
        <w:rPr>
          <w:b/>
          <w:bCs/>
          <w:i/>
          <w:iCs/>
        </w:rPr>
      </w:pPr>
    </w:p>
    <w:p w14:paraId="358BC1AC" w14:textId="1549C6F2" w:rsidR="00A16B63" w:rsidRPr="0059773B" w:rsidRDefault="00A16B63" w:rsidP="00A16B63">
      <w:pPr>
        <w:jc w:val="both"/>
        <w:rPr>
          <w:b/>
          <w:bCs/>
          <w:i/>
          <w:iCs/>
        </w:rPr>
      </w:pPr>
      <w:r w:rsidRPr="0059773B">
        <w:rPr>
          <w:b/>
          <w:bCs/>
          <w:i/>
          <w:iCs/>
        </w:rPr>
        <w:t>La Secretaría Técnica certifica que la presente resolución, al haber sido emitida por el Órgano Resolutivo Unipersonal, cuenta con el voto del vocal cuyo nombre figura al final del presente documento.</w:t>
      </w:r>
    </w:p>
    <w:p w14:paraId="1D118CB2" w14:textId="0B6E2748" w:rsidR="00431C1C" w:rsidRPr="0059773B" w:rsidRDefault="00431C1C" w:rsidP="00431C1C">
      <w:pPr>
        <w:jc w:val="both"/>
        <w:rPr>
          <w:b/>
          <w:bCs/>
          <w:i/>
          <w:iCs/>
        </w:rPr>
      </w:pPr>
    </w:p>
    <w:p w14:paraId="0DEAE9EC" w14:textId="072E1DC1" w:rsidR="00431C1C" w:rsidRPr="0059773B" w:rsidRDefault="00FE6C5C" w:rsidP="00431C1C">
      <w:pPr>
        <w:spacing w:line="360" w:lineRule="auto"/>
        <w:jc w:val="center"/>
        <w:rPr>
          <w:b/>
          <w:bCs/>
        </w:rPr>
      </w:pPr>
      <w:r w:rsidRPr="0059773B">
        <w:rPr>
          <w:b/>
          <w:bCs/>
        </w:rPr>
        <w:t xml:space="preserve">María Eugenia Valdez Fernández Baca </w:t>
      </w:r>
      <w:r w:rsidR="00431C1C" w:rsidRPr="0059773B">
        <w:rPr>
          <w:b/>
          <w:bCs/>
        </w:rPr>
        <w:t>– Vocal</w:t>
      </w:r>
    </w:p>
    <w:p w14:paraId="0DA96C46" w14:textId="77777777" w:rsidR="001631D6" w:rsidRPr="005458A5" w:rsidRDefault="001631D6" w:rsidP="00F15FBA">
      <w:pPr>
        <w:jc w:val="both"/>
        <w:rPr>
          <w:lang w:val="es-PE"/>
        </w:rPr>
      </w:pPr>
    </w:p>
    <w:p w14:paraId="22C77427" w14:textId="77777777" w:rsidR="00F15FBA" w:rsidRPr="00431C1C" w:rsidRDefault="00F15FBA" w:rsidP="00F15FBA">
      <w:pPr>
        <w:rPr>
          <w:sz w:val="23"/>
          <w:szCs w:val="23"/>
        </w:rPr>
      </w:pPr>
    </w:p>
    <w:p w14:paraId="58BFC23A" w14:textId="77777777" w:rsidR="00F15FBA" w:rsidRPr="00431C1C" w:rsidRDefault="00F15FBA" w:rsidP="00F15FBA">
      <w:pPr>
        <w:rPr>
          <w:sz w:val="23"/>
          <w:szCs w:val="23"/>
        </w:rPr>
      </w:pPr>
    </w:p>
    <w:p w14:paraId="164CAA9F" w14:textId="77777777" w:rsidR="00000000" w:rsidRPr="00431C1C" w:rsidRDefault="00000000">
      <w:pPr>
        <w:rPr>
          <w:sz w:val="23"/>
          <w:szCs w:val="23"/>
        </w:rPr>
      </w:pPr>
    </w:p>
    <w:sectPr w:rsidR="00517989" w:rsidRPr="00431C1C" w:rsidSect="00F552B2">
      <w:headerReference w:type="default" r:id="rId9"/>
      <w:footerReference w:type="default" r:id="rId10"/>
      <w:pgSz w:w="11907" w:h="16840"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7A10BC" w14:textId="77777777" w:rsidR="00D941DC" w:rsidRDefault="00D941DC" w:rsidP="005F148C">
      <w:r>
        <w:separator/>
      </w:r>
    </w:p>
  </w:endnote>
  <w:endnote w:type="continuationSeparator" w:id="0">
    <w:p w14:paraId="74A5CA4D" w14:textId="77777777" w:rsidR="00D941DC" w:rsidRDefault="00D941DC" w:rsidP="005F14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8"/>
        <w:szCs w:val="18"/>
      </w:rPr>
      <w:id w:val="1679697348"/>
      <w:docPartObj>
        <w:docPartGallery w:val="Page Numbers (Bottom of Page)"/>
        <w:docPartUnique/>
      </w:docPartObj>
    </w:sdtPr>
    <w:sdtContent>
      <w:sdt>
        <w:sdtPr>
          <w:rPr>
            <w:sz w:val="18"/>
            <w:szCs w:val="18"/>
          </w:rPr>
          <w:id w:val="-1769616900"/>
          <w:docPartObj>
            <w:docPartGallery w:val="Page Numbers (Top of Page)"/>
            <w:docPartUnique/>
          </w:docPartObj>
        </w:sdtPr>
        <w:sdtContent>
          <w:p w14:paraId="01AF7AB7" w14:textId="530997BF" w:rsidR="001631D6" w:rsidRPr="001631D6" w:rsidRDefault="001631D6">
            <w:pPr>
              <w:pStyle w:val="Piedepgina"/>
              <w:jc w:val="right"/>
              <w:rPr>
                <w:sz w:val="18"/>
                <w:szCs w:val="18"/>
              </w:rPr>
            </w:pPr>
            <w:r w:rsidRPr="00045C71">
              <w:rPr>
                <w:sz w:val="20"/>
                <w:szCs w:val="20"/>
              </w:rPr>
              <w:t>Página</w:t>
            </w:r>
            <w:r w:rsidRPr="001F1C40">
              <w:rPr>
                <w:sz w:val="18"/>
                <w:szCs w:val="18"/>
              </w:rPr>
              <w:t xml:space="preserve"> </w:t>
            </w:r>
            <w:r w:rsidRPr="001F1C40">
              <w:rPr>
                <w:b/>
                <w:bCs/>
                <w:sz w:val="18"/>
                <w:szCs w:val="18"/>
              </w:rPr>
              <w:fldChar w:fldCharType="begin"/>
            </w:r>
            <w:r w:rsidRPr="001F1C40">
              <w:rPr>
                <w:b/>
                <w:bCs/>
                <w:sz w:val="18"/>
                <w:szCs w:val="18"/>
              </w:rPr>
              <w:instrText>PAGE</w:instrText>
            </w:r>
            <w:r w:rsidRPr="001F1C40">
              <w:rPr>
                <w:b/>
                <w:bCs/>
                <w:sz w:val="18"/>
                <w:szCs w:val="18"/>
              </w:rPr>
              <w:fldChar w:fldCharType="separate"/>
            </w:r>
            <w:r w:rsidRPr="001F1C40">
              <w:rPr>
                <w:b/>
                <w:bCs/>
                <w:sz w:val="18"/>
                <w:szCs w:val="18"/>
              </w:rPr>
              <w:t>2</w:t>
            </w:r>
            <w:r w:rsidRPr="001F1C40">
              <w:rPr>
                <w:b/>
                <w:bCs/>
                <w:sz w:val="18"/>
                <w:szCs w:val="18"/>
              </w:rPr>
              <w:fldChar w:fldCharType="end"/>
            </w:r>
            <w:r w:rsidRPr="001F1C40">
              <w:rPr>
                <w:sz w:val="18"/>
                <w:szCs w:val="18"/>
              </w:rPr>
              <w:t xml:space="preserve"> de </w:t>
            </w:r>
            <w:r w:rsidRPr="001F1C40">
              <w:rPr>
                <w:b/>
                <w:bCs/>
                <w:sz w:val="18"/>
                <w:szCs w:val="18"/>
              </w:rPr>
              <w:fldChar w:fldCharType="begin"/>
            </w:r>
            <w:r w:rsidRPr="001F1C40">
              <w:rPr>
                <w:b/>
                <w:bCs/>
                <w:sz w:val="18"/>
                <w:szCs w:val="18"/>
              </w:rPr>
              <w:instrText>NUMPAGES</w:instrText>
            </w:r>
            <w:r w:rsidRPr="001F1C40">
              <w:rPr>
                <w:b/>
                <w:bCs/>
                <w:sz w:val="18"/>
                <w:szCs w:val="18"/>
              </w:rPr>
              <w:fldChar w:fldCharType="separate"/>
            </w:r>
            <w:r w:rsidRPr="001F1C40">
              <w:rPr>
                <w:b/>
                <w:bCs/>
                <w:sz w:val="18"/>
                <w:szCs w:val="18"/>
              </w:rPr>
              <w:t>2</w:t>
            </w:r>
            <w:r w:rsidRPr="001F1C40">
              <w:rPr>
                <w:b/>
                <w:bCs/>
                <w:sz w:val="18"/>
                <w:szCs w:val="18"/>
              </w:rPr>
              <w:fldChar w:fldCharType="end"/>
            </w:r>
          </w:p>
        </w:sdtContent>
      </w:sdt>
    </w:sdtContent>
  </w:sdt>
  <w:p w14:paraId="5E55DA88" w14:textId="77777777" w:rsidR="001631D6" w:rsidRDefault="001631D6">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C8BC88" w14:textId="77777777" w:rsidR="00D941DC" w:rsidRDefault="00D941DC" w:rsidP="005F148C">
      <w:r>
        <w:separator/>
      </w:r>
    </w:p>
  </w:footnote>
  <w:footnote w:type="continuationSeparator" w:id="0">
    <w:p w14:paraId="6C941390" w14:textId="77777777" w:rsidR="00D941DC" w:rsidRDefault="00D941DC" w:rsidP="005F148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38E125" w14:textId="2F2F027B" w:rsidR="001631D6" w:rsidRDefault="001631D6">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14:paraId="322E2FE4" w14:textId="77777777" w:rsidR="001631D6" w:rsidRDefault="001631D6">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F21D7"/>
    <w:multiLevelType w:val="hybridMultilevel"/>
    <w:tmpl w:val="5E8CA37A"/>
    <w:lvl w:ilvl="0" w:tplc="2D662614">
      <w:start w:val="1"/>
      <w:numFmt w:val="lowerLetter"/>
      <w:lvlText w:val="%1)"/>
      <w:lvlJc w:val="left"/>
      <w:pPr>
        <w:ind w:left="720" w:hanging="360"/>
      </w:pPr>
      <w:rPr>
        <w:rFonts w:ascii="Times New Roman" w:eastAsiaTheme="minorHAnsi" w:hAnsi="Times New Roman" w:cs="Times New Roman"/>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 w15:restartNumberingAfterBreak="0">
    <w:nsid w:val="06E82461"/>
    <w:multiLevelType w:val="hybridMultilevel"/>
    <w:tmpl w:val="B554D746"/>
    <w:lvl w:ilvl="0" w:tplc="7F14B150">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 w15:restartNumberingAfterBreak="0">
    <w:nsid w:val="0C3E6839"/>
    <w:multiLevelType w:val="hybridMultilevel"/>
    <w:tmpl w:val="E6B4266C"/>
    <w:lvl w:ilvl="0" w:tplc="BD20F32E">
      <w:start w:val="1"/>
      <w:numFmt w:val="bullet"/>
      <w:lvlText w:val="-"/>
      <w:lvlJc w:val="left"/>
      <w:pPr>
        <w:ind w:left="720" w:hanging="360"/>
      </w:pPr>
      <w:rPr>
        <w:rFonts w:ascii="Times New Roman" w:eastAsiaTheme="minorHAnsi" w:hAnsi="Times New Roman" w:cs="Times New Roman"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3" w15:restartNumberingAfterBreak="0">
    <w:nsid w:val="1C162AD0"/>
    <w:multiLevelType w:val="hybridMultilevel"/>
    <w:tmpl w:val="629C5632"/>
    <w:lvl w:ilvl="0" w:tplc="8EF8314A">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 w15:restartNumberingAfterBreak="0">
    <w:nsid w:val="23DC7456"/>
    <w:multiLevelType w:val="hybridMultilevel"/>
    <w:tmpl w:val="725C9C0A"/>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5" w15:restartNumberingAfterBreak="0">
    <w:nsid w:val="35A37979"/>
    <w:multiLevelType w:val="hybridMultilevel"/>
    <w:tmpl w:val="F07EB022"/>
    <w:lvl w:ilvl="0" w:tplc="647ED092">
      <w:start w:val="1"/>
      <w:numFmt w:val="low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4AD1752B"/>
    <w:multiLevelType w:val="multilevel"/>
    <w:tmpl w:val="9CD8AB76"/>
    <w:lvl w:ilvl="0">
      <w:start w:val="6"/>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 w15:restartNumberingAfterBreak="0">
    <w:nsid w:val="6C7A50F3"/>
    <w:multiLevelType w:val="hybridMultilevel"/>
    <w:tmpl w:val="19DA20C4"/>
    <w:lvl w:ilvl="0" w:tplc="2E6413E8">
      <w:numFmt w:val="bullet"/>
      <w:lvlText w:val="-"/>
      <w:lvlJc w:val="left"/>
      <w:pPr>
        <w:ind w:left="720" w:hanging="360"/>
      </w:pPr>
      <w:rPr>
        <w:rFonts w:ascii="Times New Roman" w:eastAsiaTheme="minorHAnsi" w:hAnsi="Times New Roman" w:cs="Times New Roman" w:hint="default"/>
      </w:rPr>
    </w:lvl>
    <w:lvl w:ilvl="1" w:tplc="280A0003">
      <w:start w:val="1"/>
      <w:numFmt w:val="bullet"/>
      <w:lvlText w:val="o"/>
      <w:lvlJc w:val="left"/>
      <w:pPr>
        <w:ind w:left="1440" w:hanging="360"/>
      </w:pPr>
      <w:rPr>
        <w:rFonts w:ascii="Courier New" w:hAnsi="Courier New" w:cs="Courier New" w:hint="default"/>
      </w:rPr>
    </w:lvl>
    <w:lvl w:ilvl="2" w:tplc="280A0005">
      <w:start w:val="1"/>
      <w:numFmt w:val="bullet"/>
      <w:lvlText w:val=""/>
      <w:lvlJc w:val="left"/>
      <w:pPr>
        <w:ind w:left="2160" w:hanging="360"/>
      </w:pPr>
      <w:rPr>
        <w:rFonts w:ascii="Wingdings" w:hAnsi="Wingdings" w:hint="default"/>
      </w:rPr>
    </w:lvl>
    <w:lvl w:ilvl="3" w:tplc="280A0001">
      <w:start w:val="1"/>
      <w:numFmt w:val="bullet"/>
      <w:lvlText w:val=""/>
      <w:lvlJc w:val="left"/>
      <w:pPr>
        <w:ind w:left="2880" w:hanging="360"/>
      </w:pPr>
      <w:rPr>
        <w:rFonts w:ascii="Symbol" w:hAnsi="Symbol" w:hint="default"/>
      </w:rPr>
    </w:lvl>
    <w:lvl w:ilvl="4" w:tplc="280A0003">
      <w:start w:val="1"/>
      <w:numFmt w:val="bullet"/>
      <w:lvlText w:val="o"/>
      <w:lvlJc w:val="left"/>
      <w:pPr>
        <w:ind w:left="3600" w:hanging="360"/>
      </w:pPr>
      <w:rPr>
        <w:rFonts w:ascii="Courier New" w:hAnsi="Courier New" w:cs="Courier New" w:hint="default"/>
      </w:rPr>
    </w:lvl>
    <w:lvl w:ilvl="5" w:tplc="280A0005">
      <w:start w:val="1"/>
      <w:numFmt w:val="bullet"/>
      <w:lvlText w:val=""/>
      <w:lvlJc w:val="left"/>
      <w:pPr>
        <w:ind w:left="4320" w:hanging="360"/>
      </w:pPr>
      <w:rPr>
        <w:rFonts w:ascii="Wingdings" w:hAnsi="Wingdings" w:hint="default"/>
      </w:rPr>
    </w:lvl>
    <w:lvl w:ilvl="6" w:tplc="280A0001">
      <w:start w:val="1"/>
      <w:numFmt w:val="bullet"/>
      <w:lvlText w:val=""/>
      <w:lvlJc w:val="left"/>
      <w:pPr>
        <w:ind w:left="5040" w:hanging="360"/>
      </w:pPr>
      <w:rPr>
        <w:rFonts w:ascii="Symbol" w:hAnsi="Symbol" w:hint="default"/>
      </w:rPr>
    </w:lvl>
    <w:lvl w:ilvl="7" w:tplc="280A0003">
      <w:start w:val="1"/>
      <w:numFmt w:val="bullet"/>
      <w:lvlText w:val="o"/>
      <w:lvlJc w:val="left"/>
      <w:pPr>
        <w:ind w:left="5760" w:hanging="360"/>
      </w:pPr>
      <w:rPr>
        <w:rFonts w:ascii="Courier New" w:hAnsi="Courier New" w:cs="Courier New" w:hint="default"/>
      </w:rPr>
    </w:lvl>
    <w:lvl w:ilvl="8" w:tplc="280A0005">
      <w:start w:val="1"/>
      <w:numFmt w:val="bullet"/>
      <w:lvlText w:val=""/>
      <w:lvlJc w:val="left"/>
      <w:pPr>
        <w:ind w:left="6480" w:hanging="360"/>
      </w:pPr>
      <w:rPr>
        <w:rFonts w:ascii="Wingdings" w:hAnsi="Wingdings" w:hint="default"/>
      </w:rPr>
    </w:lvl>
  </w:abstractNum>
  <w:abstractNum w:abstractNumId="8" w15:restartNumberingAfterBreak="0">
    <w:nsid w:val="6E5B6544"/>
    <w:multiLevelType w:val="hybridMultilevel"/>
    <w:tmpl w:val="7980BE00"/>
    <w:lvl w:ilvl="0" w:tplc="C4A0C4CE">
      <w:start w:val="1"/>
      <w:numFmt w:val="bullet"/>
      <w:lvlText w:val=""/>
      <w:lvlJc w:val="left"/>
      <w:pPr>
        <w:tabs>
          <w:tab w:val="num" w:pos="720"/>
        </w:tabs>
        <w:ind w:left="720" w:hanging="360"/>
      </w:pPr>
      <w:rPr>
        <w:rFonts w:ascii="Wingdings" w:hAnsi="Wingdings" w:hint="default"/>
      </w:rPr>
    </w:lvl>
    <w:lvl w:ilvl="1" w:tplc="080A0003">
      <w:start w:val="1"/>
      <w:numFmt w:val="bullet"/>
      <w:lvlText w:val="o"/>
      <w:lvlJc w:val="left"/>
      <w:pPr>
        <w:tabs>
          <w:tab w:val="num" w:pos="1440"/>
        </w:tabs>
        <w:ind w:left="1440" w:hanging="360"/>
      </w:pPr>
      <w:rPr>
        <w:rFonts w:ascii="Courier New" w:hAnsi="Courier New" w:cs="Courier New" w:hint="default"/>
      </w:rPr>
    </w:lvl>
    <w:lvl w:ilvl="2" w:tplc="080A0005">
      <w:start w:val="1"/>
      <w:numFmt w:val="bullet"/>
      <w:lvlText w:val=""/>
      <w:lvlJc w:val="left"/>
      <w:pPr>
        <w:tabs>
          <w:tab w:val="num" w:pos="2160"/>
        </w:tabs>
        <w:ind w:left="2160" w:hanging="360"/>
      </w:pPr>
      <w:rPr>
        <w:rFonts w:ascii="Wingdings" w:hAnsi="Wingdings" w:hint="default"/>
      </w:rPr>
    </w:lvl>
    <w:lvl w:ilvl="3" w:tplc="080A0001">
      <w:start w:val="1"/>
      <w:numFmt w:val="bullet"/>
      <w:lvlText w:val=""/>
      <w:lvlJc w:val="left"/>
      <w:pPr>
        <w:tabs>
          <w:tab w:val="num" w:pos="2880"/>
        </w:tabs>
        <w:ind w:left="2880" w:hanging="360"/>
      </w:pPr>
      <w:rPr>
        <w:rFonts w:ascii="Symbol" w:hAnsi="Symbol" w:hint="default"/>
      </w:rPr>
    </w:lvl>
    <w:lvl w:ilvl="4" w:tplc="080A0003">
      <w:start w:val="1"/>
      <w:numFmt w:val="bullet"/>
      <w:lvlText w:val="o"/>
      <w:lvlJc w:val="left"/>
      <w:pPr>
        <w:tabs>
          <w:tab w:val="num" w:pos="3600"/>
        </w:tabs>
        <w:ind w:left="3600" w:hanging="360"/>
      </w:pPr>
      <w:rPr>
        <w:rFonts w:ascii="Courier New" w:hAnsi="Courier New" w:cs="Courier New" w:hint="default"/>
      </w:rPr>
    </w:lvl>
    <w:lvl w:ilvl="5" w:tplc="080A0005">
      <w:start w:val="1"/>
      <w:numFmt w:val="bullet"/>
      <w:lvlText w:val=""/>
      <w:lvlJc w:val="left"/>
      <w:pPr>
        <w:tabs>
          <w:tab w:val="num" w:pos="4320"/>
        </w:tabs>
        <w:ind w:left="4320" w:hanging="360"/>
      </w:pPr>
      <w:rPr>
        <w:rFonts w:ascii="Wingdings" w:hAnsi="Wingdings" w:hint="default"/>
      </w:rPr>
    </w:lvl>
    <w:lvl w:ilvl="6" w:tplc="080A0001">
      <w:start w:val="1"/>
      <w:numFmt w:val="bullet"/>
      <w:lvlText w:val=""/>
      <w:lvlJc w:val="left"/>
      <w:pPr>
        <w:tabs>
          <w:tab w:val="num" w:pos="5040"/>
        </w:tabs>
        <w:ind w:left="5040" w:hanging="360"/>
      </w:pPr>
      <w:rPr>
        <w:rFonts w:ascii="Symbol" w:hAnsi="Symbol" w:hint="default"/>
      </w:rPr>
    </w:lvl>
    <w:lvl w:ilvl="7" w:tplc="080A0003">
      <w:start w:val="1"/>
      <w:numFmt w:val="bullet"/>
      <w:lvlText w:val="o"/>
      <w:lvlJc w:val="left"/>
      <w:pPr>
        <w:tabs>
          <w:tab w:val="num" w:pos="5760"/>
        </w:tabs>
        <w:ind w:left="5760" w:hanging="360"/>
      </w:pPr>
      <w:rPr>
        <w:rFonts w:ascii="Courier New" w:hAnsi="Courier New" w:cs="Courier New" w:hint="default"/>
      </w:rPr>
    </w:lvl>
    <w:lvl w:ilvl="8" w:tplc="080A0005">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6741F7E"/>
    <w:multiLevelType w:val="hybridMultilevel"/>
    <w:tmpl w:val="65B8D46A"/>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0" w15:restartNumberingAfterBreak="0">
    <w:nsid w:val="7676708B"/>
    <w:multiLevelType w:val="hybridMultilevel"/>
    <w:tmpl w:val="8A708CDE"/>
    <w:lvl w:ilvl="0" w:tplc="280A000F">
      <w:start w:val="1"/>
      <w:numFmt w:val="decimal"/>
      <w:lvlText w:val="%1."/>
      <w:lvlJc w:val="left"/>
      <w:pPr>
        <w:ind w:left="360" w:hanging="360"/>
      </w:pPr>
      <w:rPr>
        <w:rFonts w:hint="default"/>
      </w:rPr>
    </w:lvl>
    <w:lvl w:ilvl="1" w:tplc="280A0019" w:tentative="1">
      <w:start w:val="1"/>
      <w:numFmt w:val="lowerLetter"/>
      <w:lvlText w:val="%2."/>
      <w:lvlJc w:val="left"/>
      <w:pPr>
        <w:ind w:left="1080" w:hanging="360"/>
      </w:pPr>
    </w:lvl>
    <w:lvl w:ilvl="2" w:tplc="280A001B" w:tentative="1">
      <w:start w:val="1"/>
      <w:numFmt w:val="lowerRoman"/>
      <w:lvlText w:val="%3."/>
      <w:lvlJc w:val="right"/>
      <w:pPr>
        <w:ind w:left="1800" w:hanging="180"/>
      </w:pPr>
    </w:lvl>
    <w:lvl w:ilvl="3" w:tplc="280A000F" w:tentative="1">
      <w:start w:val="1"/>
      <w:numFmt w:val="decimal"/>
      <w:lvlText w:val="%4."/>
      <w:lvlJc w:val="left"/>
      <w:pPr>
        <w:ind w:left="2520" w:hanging="360"/>
      </w:pPr>
    </w:lvl>
    <w:lvl w:ilvl="4" w:tplc="280A0019" w:tentative="1">
      <w:start w:val="1"/>
      <w:numFmt w:val="lowerLetter"/>
      <w:lvlText w:val="%5."/>
      <w:lvlJc w:val="left"/>
      <w:pPr>
        <w:ind w:left="3240" w:hanging="360"/>
      </w:pPr>
    </w:lvl>
    <w:lvl w:ilvl="5" w:tplc="280A001B" w:tentative="1">
      <w:start w:val="1"/>
      <w:numFmt w:val="lowerRoman"/>
      <w:lvlText w:val="%6."/>
      <w:lvlJc w:val="right"/>
      <w:pPr>
        <w:ind w:left="3960" w:hanging="180"/>
      </w:pPr>
    </w:lvl>
    <w:lvl w:ilvl="6" w:tplc="280A000F" w:tentative="1">
      <w:start w:val="1"/>
      <w:numFmt w:val="decimal"/>
      <w:lvlText w:val="%7."/>
      <w:lvlJc w:val="left"/>
      <w:pPr>
        <w:ind w:left="4680" w:hanging="360"/>
      </w:pPr>
    </w:lvl>
    <w:lvl w:ilvl="7" w:tplc="280A0019" w:tentative="1">
      <w:start w:val="1"/>
      <w:numFmt w:val="lowerLetter"/>
      <w:lvlText w:val="%8."/>
      <w:lvlJc w:val="left"/>
      <w:pPr>
        <w:ind w:left="5400" w:hanging="360"/>
      </w:pPr>
    </w:lvl>
    <w:lvl w:ilvl="8" w:tplc="280A001B" w:tentative="1">
      <w:start w:val="1"/>
      <w:numFmt w:val="lowerRoman"/>
      <w:lvlText w:val="%9."/>
      <w:lvlJc w:val="right"/>
      <w:pPr>
        <w:ind w:left="6120" w:hanging="180"/>
      </w:pPr>
    </w:lvl>
  </w:abstractNum>
  <w:num w:numId="1" w16cid:durableId="1789929816">
    <w:abstractNumId w:val="0"/>
  </w:num>
  <w:num w:numId="2" w16cid:durableId="1470242550">
    <w:abstractNumId w:val="7"/>
  </w:num>
  <w:num w:numId="3" w16cid:durableId="1789664820">
    <w:abstractNumId w:val="1"/>
  </w:num>
  <w:num w:numId="4" w16cid:durableId="2012563044">
    <w:abstractNumId w:val="10"/>
  </w:num>
  <w:num w:numId="5" w16cid:durableId="1736777413">
    <w:abstractNumId w:val="8"/>
  </w:num>
  <w:num w:numId="6" w16cid:durableId="994183714">
    <w:abstractNumId w:val="5"/>
  </w:num>
  <w:num w:numId="7" w16cid:durableId="779691523">
    <w:abstractNumId w:val="6"/>
  </w:num>
  <w:num w:numId="8" w16cid:durableId="960108735">
    <w:abstractNumId w:val="9"/>
  </w:num>
  <w:num w:numId="9" w16cid:durableId="1553692286">
    <w:abstractNumId w:val="4"/>
  </w:num>
  <w:num w:numId="10" w16cid:durableId="1076779571">
    <w:abstractNumId w:val="2"/>
  </w:num>
  <w:num w:numId="11" w16cid:durableId="147903738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FBA"/>
    <w:rsid w:val="00007872"/>
    <w:rsid w:val="0001004C"/>
    <w:rsid w:val="000100D3"/>
    <w:rsid w:val="00011C00"/>
    <w:rsid w:val="000155B3"/>
    <w:rsid w:val="00020318"/>
    <w:rsid w:val="000219B0"/>
    <w:rsid w:val="00024CD3"/>
    <w:rsid w:val="00026017"/>
    <w:rsid w:val="00032526"/>
    <w:rsid w:val="00035CCC"/>
    <w:rsid w:val="00045C71"/>
    <w:rsid w:val="00046046"/>
    <w:rsid w:val="00052190"/>
    <w:rsid w:val="00060B02"/>
    <w:rsid w:val="00063D89"/>
    <w:rsid w:val="00084E51"/>
    <w:rsid w:val="00087C49"/>
    <w:rsid w:val="00090B7C"/>
    <w:rsid w:val="00094DDA"/>
    <w:rsid w:val="000A6362"/>
    <w:rsid w:val="000B2E0B"/>
    <w:rsid w:val="000C443A"/>
    <w:rsid w:val="000D0AE4"/>
    <w:rsid w:val="000D2700"/>
    <w:rsid w:val="000D2873"/>
    <w:rsid w:val="000D588E"/>
    <w:rsid w:val="000E4EC3"/>
    <w:rsid w:val="000F11A9"/>
    <w:rsid w:val="000F2C43"/>
    <w:rsid w:val="000F71B9"/>
    <w:rsid w:val="00103188"/>
    <w:rsid w:val="00112332"/>
    <w:rsid w:val="00116B06"/>
    <w:rsid w:val="00131FAD"/>
    <w:rsid w:val="001338D3"/>
    <w:rsid w:val="00135A6B"/>
    <w:rsid w:val="00140C67"/>
    <w:rsid w:val="00144FD6"/>
    <w:rsid w:val="001454A5"/>
    <w:rsid w:val="0016017B"/>
    <w:rsid w:val="00160F6F"/>
    <w:rsid w:val="001631D6"/>
    <w:rsid w:val="00165D20"/>
    <w:rsid w:val="001824DC"/>
    <w:rsid w:val="0019100A"/>
    <w:rsid w:val="00195646"/>
    <w:rsid w:val="001A0773"/>
    <w:rsid w:val="001A2C59"/>
    <w:rsid w:val="001A3593"/>
    <w:rsid w:val="001A6663"/>
    <w:rsid w:val="001B5AC4"/>
    <w:rsid w:val="001B6607"/>
    <w:rsid w:val="001C2B16"/>
    <w:rsid w:val="001D01FD"/>
    <w:rsid w:val="001E1429"/>
    <w:rsid w:val="001E3693"/>
    <w:rsid w:val="001E6B7D"/>
    <w:rsid w:val="001F004E"/>
    <w:rsid w:val="001F1C40"/>
    <w:rsid w:val="001F545A"/>
    <w:rsid w:val="0020442B"/>
    <w:rsid w:val="00204652"/>
    <w:rsid w:val="002065BC"/>
    <w:rsid w:val="00213531"/>
    <w:rsid w:val="00230147"/>
    <w:rsid w:val="00233ED8"/>
    <w:rsid w:val="002370F4"/>
    <w:rsid w:val="00253FC9"/>
    <w:rsid w:val="00270FE8"/>
    <w:rsid w:val="00281026"/>
    <w:rsid w:val="00281D46"/>
    <w:rsid w:val="002916FB"/>
    <w:rsid w:val="00291A5D"/>
    <w:rsid w:val="00294AEF"/>
    <w:rsid w:val="002A07EA"/>
    <w:rsid w:val="002A2188"/>
    <w:rsid w:val="002A76BF"/>
    <w:rsid w:val="002B14D5"/>
    <w:rsid w:val="002B3752"/>
    <w:rsid w:val="002B4642"/>
    <w:rsid w:val="002C34D3"/>
    <w:rsid w:val="002C5AB4"/>
    <w:rsid w:val="002D3B64"/>
    <w:rsid w:val="002E35A4"/>
    <w:rsid w:val="002E708C"/>
    <w:rsid w:val="002F04C6"/>
    <w:rsid w:val="00304A8F"/>
    <w:rsid w:val="00316A1B"/>
    <w:rsid w:val="0032570B"/>
    <w:rsid w:val="0032619A"/>
    <w:rsid w:val="00330027"/>
    <w:rsid w:val="00330DA1"/>
    <w:rsid w:val="003361A7"/>
    <w:rsid w:val="00345711"/>
    <w:rsid w:val="00346A0A"/>
    <w:rsid w:val="00377224"/>
    <w:rsid w:val="003838E2"/>
    <w:rsid w:val="00387D41"/>
    <w:rsid w:val="00395B94"/>
    <w:rsid w:val="003977C8"/>
    <w:rsid w:val="003A7726"/>
    <w:rsid w:val="003B46E3"/>
    <w:rsid w:val="003B4770"/>
    <w:rsid w:val="003B5737"/>
    <w:rsid w:val="003B6FBC"/>
    <w:rsid w:val="003D02CA"/>
    <w:rsid w:val="003D5224"/>
    <w:rsid w:val="003E0C15"/>
    <w:rsid w:val="003E140C"/>
    <w:rsid w:val="003E4270"/>
    <w:rsid w:val="003E6BA6"/>
    <w:rsid w:val="003F6113"/>
    <w:rsid w:val="00401DE3"/>
    <w:rsid w:val="00417664"/>
    <w:rsid w:val="00417E23"/>
    <w:rsid w:val="004248A1"/>
    <w:rsid w:val="00431C1C"/>
    <w:rsid w:val="00447D8A"/>
    <w:rsid w:val="00455A27"/>
    <w:rsid w:val="0046281D"/>
    <w:rsid w:val="00465FB3"/>
    <w:rsid w:val="00467825"/>
    <w:rsid w:val="00474801"/>
    <w:rsid w:val="00477D05"/>
    <w:rsid w:val="00481EC6"/>
    <w:rsid w:val="004832BF"/>
    <w:rsid w:val="004854D9"/>
    <w:rsid w:val="004950BD"/>
    <w:rsid w:val="00497FEF"/>
    <w:rsid w:val="004A0B68"/>
    <w:rsid w:val="004A5CF8"/>
    <w:rsid w:val="004A5F55"/>
    <w:rsid w:val="004B0639"/>
    <w:rsid w:val="004B1DA9"/>
    <w:rsid w:val="004B40BC"/>
    <w:rsid w:val="004E50D6"/>
    <w:rsid w:val="004E6F23"/>
    <w:rsid w:val="004F1C73"/>
    <w:rsid w:val="005033C0"/>
    <w:rsid w:val="0051559A"/>
    <w:rsid w:val="00516549"/>
    <w:rsid w:val="005204A7"/>
    <w:rsid w:val="00531FBE"/>
    <w:rsid w:val="00543EB4"/>
    <w:rsid w:val="005458A5"/>
    <w:rsid w:val="0057606C"/>
    <w:rsid w:val="005768AD"/>
    <w:rsid w:val="00576CFD"/>
    <w:rsid w:val="00577AEB"/>
    <w:rsid w:val="0058358B"/>
    <w:rsid w:val="0059773B"/>
    <w:rsid w:val="005C5922"/>
    <w:rsid w:val="005D0FF2"/>
    <w:rsid w:val="005D1408"/>
    <w:rsid w:val="005D1456"/>
    <w:rsid w:val="005D380C"/>
    <w:rsid w:val="005D3AFA"/>
    <w:rsid w:val="005E0FE6"/>
    <w:rsid w:val="005F1349"/>
    <w:rsid w:val="005F148C"/>
    <w:rsid w:val="006024A3"/>
    <w:rsid w:val="00632AD1"/>
    <w:rsid w:val="00642D5C"/>
    <w:rsid w:val="00647AEE"/>
    <w:rsid w:val="00651449"/>
    <w:rsid w:val="00680271"/>
    <w:rsid w:val="00690E6E"/>
    <w:rsid w:val="00691CFB"/>
    <w:rsid w:val="0069382D"/>
    <w:rsid w:val="006A1077"/>
    <w:rsid w:val="006B5A92"/>
    <w:rsid w:val="006B6FAF"/>
    <w:rsid w:val="006B75CA"/>
    <w:rsid w:val="006D33B8"/>
    <w:rsid w:val="006F0762"/>
    <w:rsid w:val="006F4138"/>
    <w:rsid w:val="00711B04"/>
    <w:rsid w:val="007224F7"/>
    <w:rsid w:val="00734447"/>
    <w:rsid w:val="0073577C"/>
    <w:rsid w:val="00742D07"/>
    <w:rsid w:val="007474DB"/>
    <w:rsid w:val="00755439"/>
    <w:rsid w:val="007555C4"/>
    <w:rsid w:val="00782489"/>
    <w:rsid w:val="00784E80"/>
    <w:rsid w:val="007906A4"/>
    <w:rsid w:val="00791676"/>
    <w:rsid w:val="00793F6A"/>
    <w:rsid w:val="0079483C"/>
    <w:rsid w:val="007A01AE"/>
    <w:rsid w:val="007A0AA7"/>
    <w:rsid w:val="007A3050"/>
    <w:rsid w:val="007B23C0"/>
    <w:rsid w:val="007B49ED"/>
    <w:rsid w:val="007B7EE4"/>
    <w:rsid w:val="007C2FC5"/>
    <w:rsid w:val="007C3730"/>
    <w:rsid w:val="007D353F"/>
    <w:rsid w:val="00834B23"/>
    <w:rsid w:val="00834DFE"/>
    <w:rsid w:val="00835D6A"/>
    <w:rsid w:val="00852F98"/>
    <w:rsid w:val="00856A62"/>
    <w:rsid w:val="00864800"/>
    <w:rsid w:val="00865B73"/>
    <w:rsid w:val="00866E41"/>
    <w:rsid w:val="00881041"/>
    <w:rsid w:val="00892A1F"/>
    <w:rsid w:val="008930FB"/>
    <w:rsid w:val="008956D2"/>
    <w:rsid w:val="00895FF5"/>
    <w:rsid w:val="008A1DAB"/>
    <w:rsid w:val="008A67AB"/>
    <w:rsid w:val="008B3BD3"/>
    <w:rsid w:val="008D0547"/>
    <w:rsid w:val="008D570E"/>
    <w:rsid w:val="008D6252"/>
    <w:rsid w:val="0091111A"/>
    <w:rsid w:val="009205B4"/>
    <w:rsid w:val="0092266A"/>
    <w:rsid w:val="00923C62"/>
    <w:rsid w:val="009262B6"/>
    <w:rsid w:val="00934888"/>
    <w:rsid w:val="0096041F"/>
    <w:rsid w:val="00961E21"/>
    <w:rsid w:val="0096583D"/>
    <w:rsid w:val="00970D50"/>
    <w:rsid w:val="009716DF"/>
    <w:rsid w:val="009767BB"/>
    <w:rsid w:val="00977F56"/>
    <w:rsid w:val="00991382"/>
    <w:rsid w:val="009A5E32"/>
    <w:rsid w:val="009A7580"/>
    <w:rsid w:val="009B3934"/>
    <w:rsid w:val="009C28AE"/>
    <w:rsid w:val="009C4314"/>
    <w:rsid w:val="009C4A1C"/>
    <w:rsid w:val="009C7D74"/>
    <w:rsid w:val="009E061C"/>
    <w:rsid w:val="009E109A"/>
    <w:rsid w:val="009F7900"/>
    <w:rsid w:val="00A14315"/>
    <w:rsid w:val="00A16B63"/>
    <w:rsid w:val="00A223FC"/>
    <w:rsid w:val="00A23563"/>
    <w:rsid w:val="00A27FCB"/>
    <w:rsid w:val="00A428F9"/>
    <w:rsid w:val="00A435C1"/>
    <w:rsid w:val="00A5165F"/>
    <w:rsid w:val="00A5654F"/>
    <w:rsid w:val="00A650CA"/>
    <w:rsid w:val="00A75F0C"/>
    <w:rsid w:val="00A80BAD"/>
    <w:rsid w:val="00A827BD"/>
    <w:rsid w:val="00A9337A"/>
    <w:rsid w:val="00AA6BFD"/>
    <w:rsid w:val="00AC68FA"/>
    <w:rsid w:val="00AC7D5A"/>
    <w:rsid w:val="00AE33DC"/>
    <w:rsid w:val="00AE40BA"/>
    <w:rsid w:val="00AF1407"/>
    <w:rsid w:val="00B04114"/>
    <w:rsid w:val="00B158E7"/>
    <w:rsid w:val="00B17F4D"/>
    <w:rsid w:val="00B23D15"/>
    <w:rsid w:val="00B255AA"/>
    <w:rsid w:val="00B37C91"/>
    <w:rsid w:val="00B5211F"/>
    <w:rsid w:val="00B60E25"/>
    <w:rsid w:val="00B679B0"/>
    <w:rsid w:val="00B773DA"/>
    <w:rsid w:val="00B84B2B"/>
    <w:rsid w:val="00B84F66"/>
    <w:rsid w:val="00BA4554"/>
    <w:rsid w:val="00BA4F2C"/>
    <w:rsid w:val="00BA6133"/>
    <w:rsid w:val="00BB360E"/>
    <w:rsid w:val="00BB4F60"/>
    <w:rsid w:val="00BC6134"/>
    <w:rsid w:val="00BC633A"/>
    <w:rsid w:val="00BD0E2D"/>
    <w:rsid w:val="00BD5FD0"/>
    <w:rsid w:val="00BE0D7E"/>
    <w:rsid w:val="00BF04E1"/>
    <w:rsid w:val="00BF0906"/>
    <w:rsid w:val="00C01AB2"/>
    <w:rsid w:val="00C11655"/>
    <w:rsid w:val="00C13467"/>
    <w:rsid w:val="00C168CE"/>
    <w:rsid w:val="00C21994"/>
    <w:rsid w:val="00C27D78"/>
    <w:rsid w:val="00C41210"/>
    <w:rsid w:val="00C50A93"/>
    <w:rsid w:val="00C52AF0"/>
    <w:rsid w:val="00C52BDF"/>
    <w:rsid w:val="00C81329"/>
    <w:rsid w:val="00C82D62"/>
    <w:rsid w:val="00C85630"/>
    <w:rsid w:val="00C94B19"/>
    <w:rsid w:val="00C9752A"/>
    <w:rsid w:val="00CA4FD6"/>
    <w:rsid w:val="00CA5138"/>
    <w:rsid w:val="00CB451A"/>
    <w:rsid w:val="00CB4665"/>
    <w:rsid w:val="00CB7C37"/>
    <w:rsid w:val="00CC7829"/>
    <w:rsid w:val="00CD43B4"/>
    <w:rsid w:val="00CF3742"/>
    <w:rsid w:val="00D128FF"/>
    <w:rsid w:val="00D13168"/>
    <w:rsid w:val="00D15C1E"/>
    <w:rsid w:val="00D61A48"/>
    <w:rsid w:val="00D64C72"/>
    <w:rsid w:val="00D66628"/>
    <w:rsid w:val="00D86E87"/>
    <w:rsid w:val="00D9006E"/>
    <w:rsid w:val="00D92FA2"/>
    <w:rsid w:val="00D941DC"/>
    <w:rsid w:val="00D9684C"/>
    <w:rsid w:val="00DC2118"/>
    <w:rsid w:val="00DC7958"/>
    <w:rsid w:val="00DD248C"/>
    <w:rsid w:val="00DD7C90"/>
    <w:rsid w:val="00DF2A67"/>
    <w:rsid w:val="00E01BC6"/>
    <w:rsid w:val="00E037D6"/>
    <w:rsid w:val="00E06DE2"/>
    <w:rsid w:val="00E138FB"/>
    <w:rsid w:val="00E1668B"/>
    <w:rsid w:val="00E17CD0"/>
    <w:rsid w:val="00E206AF"/>
    <w:rsid w:val="00E21C09"/>
    <w:rsid w:val="00E254BA"/>
    <w:rsid w:val="00E35821"/>
    <w:rsid w:val="00E405EF"/>
    <w:rsid w:val="00E456E5"/>
    <w:rsid w:val="00E50129"/>
    <w:rsid w:val="00E57499"/>
    <w:rsid w:val="00E614D6"/>
    <w:rsid w:val="00E67758"/>
    <w:rsid w:val="00E70DF1"/>
    <w:rsid w:val="00E72B86"/>
    <w:rsid w:val="00E81884"/>
    <w:rsid w:val="00E837DC"/>
    <w:rsid w:val="00E908BC"/>
    <w:rsid w:val="00E91848"/>
    <w:rsid w:val="00E928C6"/>
    <w:rsid w:val="00E92BE9"/>
    <w:rsid w:val="00EA1FBC"/>
    <w:rsid w:val="00EA47FF"/>
    <w:rsid w:val="00EB0F07"/>
    <w:rsid w:val="00EB6D58"/>
    <w:rsid w:val="00EE0371"/>
    <w:rsid w:val="00EE20A1"/>
    <w:rsid w:val="00EE539F"/>
    <w:rsid w:val="00EE5E23"/>
    <w:rsid w:val="00EF4FF0"/>
    <w:rsid w:val="00F0068B"/>
    <w:rsid w:val="00F00797"/>
    <w:rsid w:val="00F029DD"/>
    <w:rsid w:val="00F1075C"/>
    <w:rsid w:val="00F127E6"/>
    <w:rsid w:val="00F1515F"/>
    <w:rsid w:val="00F15FBA"/>
    <w:rsid w:val="00F202DC"/>
    <w:rsid w:val="00F3706B"/>
    <w:rsid w:val="00F42DC6"/>
    <w:rsid w:val="00F46158"/>
    <w:rsid w:val="00F465F7"/>
    <w:rsid w:val="00F50EFD"/>
    <w:rsid w:val="00F5271B"/>
    <w:rsid w:val="00F61F29"/>
    <w:rsid w:val="00F62606"/>
    <w:rsid w:val="00F71D17"/>
    <w:rsid w:val="00F725FB"/>
    <w:rsid w:val="00F74CEA"/>
    <w:rsid w:val="00F802EF"/>
    <w:rsid w:val="00F8472A"/>
    <w:rsid w:val="00F85B78"/>
    <w:rsid w:val="00F92FE2"/>
    <w:rsid w:val="00F97A17"/>
    <w:rsid w:val="00FA4349"/>
    <w:rsid w:val="00FC2FA6"/>
    <w:rsid w:val="00FE6C5C"/>
    <w:rsid w:val="00FF2D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chartTrackingRefBased/>
  <w15:docId w15:val="{28E6ABE7-3915-42AC-BE5C-AA8C5B3863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31FBE"/>
    <w:pPr>
      <w:spacing w:after="0" w:line="240" w:lineRule="auto"/>
    </w:pPr>
    <w:rPr>
      <w:rFonts w:ascii="Times New Roman" w:eastAsia="Times New Roman" w:hAnsi="Times New Roman" w:cs="Times New Roman"/>
      <w:sz w:val="24"/>
      <w:szCs w:val="24"/>
      <w:lang w:val="es-ES" w:eastAsia="es-ES"/>
    </w:rPr>
  </w:style>
  <w:style w:type="paragraph" w:styleId="Ttulo1">
    <w:name w:val="heading 1"/>
    <w:basedOn w:val="Normal"/>
    <w:next w:val="Normal"/>
    <w:link w:val="Ttulo1Car"/>
    <w:uiPriority w:val="99"/>
    <w:qFormat/>
    <w:rsid w:val="000219B0"/>
    <w:pPr>
      <w:keepNext/>
      <w:spacing w:before="240" w:after="60"/>
      <w:outlineLvl w:val="0"/>
    </w:pPr>
    <w:rPr>
      <w:rFonts w:ascii="Cambria" w:hAnsi="Cambria"/>
      <w:b/>
      <w:bCs/>
      <w:kern w:val="32"/>
      <w:sz w:val="32"/>
      <w:szCs w:val="3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link w:val="TtuloCar"/>
    <w:qFormat/>
    <w:rsid w:val="00F15FBA"/>
    <w:pPr>
      <w:jc w:val="center"/>
    </w:pPr>
    <w:rPr>
      <w:b/>
      <w:bCs/>
      <w:lang w:val="es-MX"/>
    </w:rPr>
  </w:style>
  <w:style w:type="character" w:customStyle="1" w:styleId="TtuloCar">
    <w:name w:val="Título Car"/>
    <w:basedOn w:val="Fuentedeprrafopredeter"/>
    <w:link w:val="Ttulo"/>
    <w:rsid w:val="00F15FBA"/>
    <w:rPr>
      <w:rFonts w:ascii="Times New Roman" w:eastAsia="Times New Roman" w:hAnsi="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Number List 1"/>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customStyle="1" w:styleId="TextonotaalfinalCar">
    <w:name w:val="Texto nota al final Car"/>
    <w:basedOn w:val="Fuentedeprrafopredeter"/>
    <w:link w:val="Textonotaalfinal"/>
    <w:uiPriority w:val="99"/>
    <w:semiHidden/>
    <w:rsid w:val="005F148C"/>
    <w:rPr>
      <w:rFonts w:ascii="Times New Roman" w:eastAsia="Times New Roman" w:hAnsi="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semiHidden/>
    <w:unhideWhenUsed/>
    <w:rsid w:val="005F148C"/>
    <w:rPr>
      <w:sz w:val="20"/>
      <w:szCs w:val="20"/>
    </w:rPr>
  </w:style>
  <w:style w:type="character" w:customStyle="1" w:styleId="TextonotapieCar">
    <w:name w:val="Texto nota pie Car"/>
    <w:basedOn w:val="Fuentedeprrafopredeter"/>
    <w:link w:val="Textonotapie"/>
    <w:semiHidden/>
    <w:rsid w:val="005F148C"/>
    <w:rPr>
      <w:rFonts w:ascii="Times New Roman" w:eastAsia="Times New Roman" w:hAnsi="Times New Roman" w:cs="Times New Roman"/>
      <w:sz w:val="20"/>
      <w:szCs w:val="20"/>
      <w:lang w:val="es-ES" w:eastAsia="es-ES"/>
    </w:rPr>
  </w:style>
  <w:style w:type="character" w:styleId="Refdenotaalpie">
    <w:name w:val="footnote reference"/>
    <w:basedOn w:val="Fuentedeprrafopredeter"/>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customStyle="1" w:styleId="EncabezadoCar">
    <w:name w:val="Encabezado Car"/>
    <w:basedOn w:val="Fuentedeprrafopredeter"/>
    <w:link w:val="Encabezado"/>
    <w:uiPriority w:val="99"/>
    <w:rsid w:val="001631D6"/>
    <w:rPr>
      <w:rFonts w:ascii="Times New Roman" w:eastAsia="Times New Roman" w:hAnsi="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customStyle="1" w:styleId="PiedepginaCar">
    <w:name w:val="Pie de página Car"/>
    <w:basedOn w:val="Fuentedeprrafopredeter"/>
    <w:link w:val="Piedepgina"/>
    <w:uiPriority w:val="99"/>
    <w:rsid w:val="001631D6"/>
    <w:rPr>
      <w:rFonts w:ascii="Times New Roman" w:eastAsia="Times New Roman" w:hAnsi="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Hipervnculo">
    <w:name w:val="Hyperlink"/>
    <w:basedOn w:val="Fuentedeprrafopredeter"/>
    <w:uiPriority w:val="99"/>
    <w:unhideWhenUsed/>
    <w:rsid w:val="00F62606"/>
    <w:rPr>
      <w:color w:val="0563C1" w:themeColor="hyperlink"/>
      <w:u w:val="single"/>
    </w:rPr>
  </w:style>
  <w:style w:type="paragraph" w:customStyle="1" w:styleId="paragraph">
    <w:name w:val="paragraph"/>
    <w:basedOn w:val="Normal"/>
    <w:rsid w:val="006024A3"/>
    <w:pPr>
      <w:spacing w:before="100" w:beforeAutospacing="1" w:after="100" w:afterAutospacing="1"/>
    </w:pPr>
    <w:rPr>
      <w:lang w:val="es-MX" w:eastAsia="es-MX"/>
    </w:rPr>
  </w:style>
  <w:style w:type="character" w:customStyle="1" w:styleId="normaltextrun">
    <w:name w:val="normaltextrun"/>
    <w:basedOn w:val="Fuentedeprrafopredeter"/>
    <w:rsid w:val="006024A3"/>
  </w:style>
  <w:style w:type="character" w:customStyle="1" w:styleId="eop">
    <w:name w:val="eop"/>
    <w:basedOn w:val="Fuentedeprrafopredeter"/>
    <w:rsid w:val="006024A3"/>
  </w:style>
  <w:style w:type="character" w:customStyle="1" w:styleId="PrrafodelistaCar">
    <w:name w:val="Párrafo de lista Car"/>
    <w:aliases w:val="Number List 1 Car"/>
    <w:link w:val="Prrafodelista"/>
    <w:uiPriority w:val="34"/>
    <w:rsid w:val="003A7726"/>
    <w:rPr>
      <w:rFonts w:ascii="Times New Roman" w:eastAsia="Times New Roman" w:hAnsi="Times New Roman" w:cs="Times New Roman"/>
      <w:sz w:val="24"/>
      <w:szCs w:val="24"/>
      <w:lang w:val="es-ES" w:eastAsia="es-ES"/>
    </w:rPr>
  </w:style>
  <w:style w:type="paragraph" w:customStyle="1" w:styleId="Default">
    <w:name w:val="Default"/>
    <w:rsid w:val="00C01AB2"/>
    <w:pPr>
      <w:autoSpaceDE w:val="0"/>
      <w:autoSpaceDN w:val="0"/>
      <w:adjustRightInd w:val="0"/>
      <w:spacing w:after="0" w:line="240" w:lineRule="auto"/>
    </w:pPr>
    <w:rPr>
      <w:rFonts w:ascii="Arial" w:hAnsi="Arial" w:cs="Arial"/>
      <w:color w:val="000000"/>
      <w:sz w:val="24"/>
      <w:szCs w:val="24"/>
      <w:lang w:val="es-PE"/>
    </w:rPr>
  </w:style>
  <w:style w:type="character" w:styleId="Mencinsinresolver">
    <w:name w:val="Unresolved Mention"/>
    <w:basedOn w:val="Fuentedeprrafopredeter"/>
    <w:uiPriority w:val="99"/>
    <w:semiHidden/>
    <w:unhideWhenUsed/>
    <w:rsid w:val="00045C71"/>
    <w:rPr>
      <w:color w:val="605E5C"/>
      <w:shd w:val="clear" w:color="auto" w:fill="E1DFDD"/>
    </w:rPr>
  </w:style>
  <w:style w:type="paragraph" w:customStyle="1" w:styleId="xmsonormal">
    <w:name w:val="x_msonormal"/>
    <w:basedOn w:val="Normal"/>
    <w:rsid w:val="003E4270"/>
    <w:rPr>
      <w:rFonts w:ascii="Calibri" w:eastAsiaTheme="minorHAnsi" w:hAnsi="Calibri" w:cs="Calibri"/>
      <w:sz w:val="22"/>
      <w:szCs w:val="22"/>
      <w:lang w:val="es-PE" w:eastAsia="es-PE"/>
    </w:rPr>
  </w:style>
  <w:style w:type="paragraph" w:customStyle="1" w:styleId="parrafo">
    <w:name w:val="parrafo"/>
    <w:basedOn w:val="Normal"/>
    <w:rsid w:val="00FA4349"/>
    <w:pPr>
      <w:snapToGrid w:val="0"/>
      <w:spacing w:before="57" w:after="170"/>
      <w:jc w:val="both"/>
    </w:pPr>
    <w:rPr>
      <w:rFonts w:ascii="Tahoma" w:hAnsi="Tahoma"/>
      <w:sz w:val="18"/>
      <w:szCs w:val="20"/>
      <w:lang w:val="en-US" w:eastAsia="en-US"/>
    </w:rPr>
  </w:style>
  <w:style w:type="character" w:customStyle="1" w:styleId="Ttulo1Car">
    <w:name w:val="Título 1 Car"/>
    <w:basedOn w:val="Fuentedeprrafopredeter"/>
    <w:link w:val="Ttulo1"/>
    <w:uiPriority w:val="99"/>
    <w:rsid w:val="000219B0"/>
    <w:rPr>
      <w:rFonts w:ascii="Cambria" w:eastAsia="Times New Roman" w:hAnsi="Cambria" w:cs="Times New Roman"/>
      <w:b/>
      <w:bCs/>
      <w:kern w:val="32"/>
      <w:sz w:val="32"/>
      <w:szCs w:val="32"/>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380718">
      <w:bodyDiv w:val="1"/>
      <w:marLeft w:val="0"/>
      <w:marRight w:val="0"/>
      <w:marTop w:val="0"/>
      <w:marBottom w:val="0"/>
      <w:divBdr>
        <w:top w:val="none" w:sz="0" w:space="0" w:color="auto"/>
        <w:left w:val="none" w:sz="0" w:space="0" w:color="auto"/>
        <w:bottom w:val="none" w:sz="0" w:space="0" w:color="auto"/>
        <w:right w:val="none" w:sz="0" w:space="0" w:color="auto"/>
      </w:divBdr>
    </w:div>
    <w:div w:id="234361093">
      <w:bodyDiv w:val="1"/>
      <w:marLeft w:val="0"/>
      <w:marRight w:val="0"/>
      <w:marTop w:val="0"/>
      <w:marBottom w:val="0"/>
      <w:divBdr>
        <w:top w:val="none" w:sz="0" w:space="0" w:color="auto"/>
        <w:left w:val="none" w:sz="0" w:space="0" w:color="auto"/>
        <w:bottom w:val="none" w:sz="0" w:space="0" w:color="auto"/>
        <w:right w:val="none" w:sz="0" w:space="0" w:color="auto"/>
      </w:divBdr>
    </w:div>
    <w:div w:id="240677889">
      <w:bodyDiv w:val="1"/>
      <w:marLeft w:val="0"/>
      <w:marRight w:val="0"/>
      <w:marTop w:val="0"/>
      <w:marBottom w:val="0"/>
      <w:divBdr>
        <w:top w:val="none" w:sz="0" w:space="0" w:color="auto"/>
        <w:left w:val="none" w:sz="0" w:space="0" w:color="auto"/>
        <w:bottom w:val="none" w:sz="0" w:space="0" w:color="auto"/>
        <w:right w:val="none" w:sz="0" w:space="0" w:color="auto"/>
      </w:divBdr>
    </w:div>
    <w:div w:id="574901456">
      <w:bodyDiv w:val="1"/>
      <w:marLeft w:val="0"/>
      <w:marRight w:val="0"/>
      <w:marTop w:val="0"/>
      <w:marBottom w:val="0"/>
      <w:divBdr>
        <w:top w:val="none" w:sz="0" w:space="0" w:color="auto"/>
        <w:left w:val="none" w:sz="0" w:space="0" w:color="auto"/>
        <w:bottom w:val="none" w:sz="0" w:space="0" w:color="auto"/>
        <w:right w:val="none" w:sz="0" w:space="0" w:color="auto"/>
      </w:divBdr>
    </w:div>
    <w:div w:id="709308819">
      <w:bodyDiv w:val="1"/>
      <w:marLeft w:val="0"/>
      <w:marRight w:val="0"/>
      <w:marTop w:val="0"/>
      <w:marBottom w:val="0"/>
      <w:divBdr>
        <w:top w:val="none" w:sz="0" w:space="0" w:color="auto"/>
        <w:left w:val="none" w:sz="0" w:space="0" w:color="auto"/>
        <w:bottom w:val="none" w:sz="0" w:space="0" w:color="auto"/>
        <w:right w:val="none" w:sz="0" w:space="0" w:color="auto"/>
      </w:divBdr>
    </w:div>
    <w:div w:id="907570398">
      <w:bodyDiv w:val="1"/>
      <w:marLeft w:val="0"/>
      <w:marRight w:val="0"/>
      <w:marTop w:val="0"/>
      <w:marBottom w:val="0"/>
      <w:divBdr>
        <w:top w:val="none" w:sz="0" w:space="0" w:color="auto"/>
        <w:left w:val="none" w:sz="0" w:space="0" w:color="auto"/>
        <w:bottom w:val="none" w:sz="0" w:space="0" w:color="auto"/>
        <w:right w:val="none" w:sz="0" w:space="0" w:color="auto"/>
      </w:divBdr>
    </w:div>
    <w:div w:id="930041085">
      <w:bodyDiv w:val="1"/>
      <w:marLeft w:val="0"/>
      <w:marRight w:val="0"/>
      <w:marTop w:val="0"/>
      <w:marBottom w:val="0"/>
      <w:divBdr>
        <w:top w:val="none" w:sz="0" w:space="0" w:color="auto"/>
        <w:left w:val="none" w:sz="0" w:space="0" w:color="auto"/>
        <w:bottom w:val="none" w:sz="0" w:space="0" w:color="auto"/>
        <w:right w:val="none" w:sz="0" w:space="0" w:color="auto"/>
      </w:divBdr>
    </w:div>
    <w:div w:id="1157959511">
      <w:bodyDiv w:val="1"/>
      <w:marLeft w:val="0"/>
      <w:marRight w:val="0"/>
      <w:marTop w:val="0"/>
      <w:marBottom w:val="0"/>
      <w:divBdr>
        <w:top w:val="none" w:sz="0" w:space="0" w:color="auto"/>
        <w:left w:val="none" w:sz="0" w:space="0" w:color="auto"/>
        <w:bottom w:val="none" w:sz="0" w:space="0" w:color="auto"/>
        <w:right w:val="none" w:sz="0" w:space="0" w:color="auto"/>
      </w:divBdr>
    </w:div>
    <w:div w:id="1165515311">
      <w:bodyDiv w:val="1"/>
      <w:marLeft w:val="0"/>
      <w:marRight w:val="0"/>
      <w:marTop w:val="0"/>
      <w:marBottom w:val="0"/>
      <w:divBdr>
        <w:top w:val="none" w:sz="0" w:space="0" w:color="auto"/>
        <w:left w:val="none" w:sz="0" w:space="0" w:color="auto"/>
        <w:bottom w:val="none" w:sz="0" w:space="0" w:color="auto"/>
        <w:right w:val="none" w:sz="0" w:space="0" w:color="auto"/>
      </w:divBdr>
    </w:div>
    <w:div w:id="1200899126">
      <w:bodyDiv w:val="1"/>
      <w:marLeft w:val="0"/>
      <w:marRight w:val="0"/>
      <w:marTop w:val="0"/>
      <w:marBottom w:val="0"/>
      <w:divBdr>
        <w:top w:val="none" w:sz="0" w:space="0" w:color="auto"/>
        <w:left w:val="none" w:sz="0" w:space="0" w:color="auto"/>
        <w:bottom w:val="none" w:sz="0" w:space="0" w:color="auto"/>
        <w:right w:val="none" w:sz="0" w:space="0" w:color="auto"/>
      </w:divBdr>
    </w:div>
    <w:div w:id="1302812195">
      <w:bodyDiv w:val="1"/>
      <w:marLeft w:val="0"/>
      <w:marRight w:val="0"/>
      <w:marTop w:val="0"/>
      <w:marBottom w:val="0"/>
      <w:divBdr>
        <w:top w:val="none" w:sz="0" w:space="0" w:color="auto"/>
        <w:left w:val="none" w:sz="0" w:space="0" w:color="auto"/>
        <w:bottom w:val="none" w:sz="0" w:space="0" w:color="auto"/>
        <w:right w:val="none" w:sz="0" w:space="0" w:color="auto"/>
      </w:divBdr>
    </w:div>
    <w:div w:id="1322611969">
      <w:bodyDiv w:val="1"/>
      <w:marLeft w:val="0"/>
      <w:marRight w:val="0"/>
      <w:marTop w:val="0"/>
      <w:marBottom w:val="0"/>
      <w:divBdr>
        <w:top w:val="none" w:sz="0" w:space="0" w:color="auto"/>
        <w:left w:val="none" w:sz="0" w:space="0" w:color="auto"/>
        <w:bottom w:val="none" w:sz="0" w:space="0" w:color="auto"/>
        <w:right w:val="none" w:sz="0" w:space="0" w:color="auto"/>
      </w:divBdr>
    </w:div>
    <w:div w:id="1723089531">
      <w:bodyDiv w:val="1"/>
      <w:marLeft w:val="0"/>
      <w:marRight w:val="0"/>
      <w:marTop w:val="0"/>
      <w:marBottom w:val="0"/>
      <w:divBdr>
        <w:top w:val="none" w:sz="0" w:space="0" w:color="auto"/>
        <w:left w:val="none" w:sz="0" w:space="0" w:color="auto"/>
        <w:bottom w:val="none" w:sz="0" w:space="0" w:color="auto"/>
        <w:right w:val="none" w:sz="0" w:space="0" w:color="auto"/>
      </w:divBdr>
    </w:div>
    <w:div w:id="1752584430">
      <w:bodyDiv w:val="1"/>
      <w:marLeft w:val="0"/>
      <w:marRight w:val="0"/>
      <w:marTop w:val="0"/>
      <w:marBottom w:val="0"/>
      <w:divBdr>
        <w:top w:val="none" w:sz="0" w:space="0" w:color="auto"/>
        <w:left w:val="none" w:sz="0" w:space="0" w:color="auto"/>
        <w:bottom w:val="none" w:sz="0" w:space="0" w:color="auto"/>
        <w:right w:val="none" w:sz="0" w:space="0" w:color="auto"/>
      </w:divBdr>
    </w:div>
    <w:div w:id="1757091945">
      <w:bodyDiv w:val="1"/>
      <w:marLeft w:val="0"/>
      <w:marRight w:val="0"/>
      <w:marTop w:val="0"/>
      <w:marBottom w:val="0"/>
      <w:divBdr>
        <w:top w:val="none" w:sz="0" w:space="0" w:color="auto"/>
        <w:left w:val="none" w:sz="0" w:space="0" w:color="auto"/>
        <w:bottom w:val="none" w:sz="0" w:space="0" w:color="auto"/>
        <w:right w:val="none" w:sz="0" w:space="0" w:color="auto"/>
      </w:divBdr>
    </w:div>
    <w:div w:id="1949115072">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efaseg.com.pe/reglamento.html" TargetMode="External"/><Relationship Id="rId13"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ustomXml" Target="../customXml/item4.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149AC274-3C0B-4FAE-AA23-B921741B0C27}"/>
</file>

<file path=customXml/itemProps3.xml><?xml version="1.0" encoding="utf-8"?>
<ds:datastoreItem xmlns:ds="http://schemas.openxmlformats.org/officeDocument/2006/customXml" ds:itemID="{339CC754-0F3B-4B02-B2F8-0A386401C72D}"/>
</file>

<file path=customXml/itemProps4.xml><?xml version="1.0" encoding="utf-8"?>
<ds:datastoreItem xmlns:ds="http://schemas.openxmlformats.org/officeDocument/2006/customXml" ds:itemID="{564E2F02-36E5-4038-8D21-83C1B309F1AE}"/>
</file>

<file path=docProps/app.xml><?xml version="1.0" encoding="utf-8"?>
<Properties xmlns="http://schemas.openxmlformats.org/officeDocument/2006/extended-properties" xmlns:vt="http://schemas.openxmlformats.org/officeDocument/2006/docPropsVTypes">
  <Template>Normal</Template>
  <TotalTime>383</TotalTime>
  <Pages>5</Pages>
  <Words>2114</Words>
  <Characters>11632</Characters>
  <Application>Microsoft Office Word</Application>
  <DocSecurity>0</DocSecurity>
  <Lines>96</Lines>
  <Paragraphs>27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13719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Alicia Martín</cp:lastModifiedBy>
  <cp:revision>207</cp:revision>
  <cp:lastPrinted>2022-02-09T18:39:00Z</cp:lastPrinted>
  <dcterms:created xsi:type="dcterms:W3CDTF">2020-12-18T20:09:00Z</dcterms:created>
  <dcterms:modified xsi:type="dcterms:W3CDTF">2025-03-20T14:13:00Z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