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C8A5" w14:textId="10820699" w:rsidR="00F15FBA" w:rsidRPr="00BE7E0A" w:rsidRDefault="00F15FBA" w:rsidP="00F15FBA">
      <w:pPr>
        <w:pStyle w:val="Ttulo"/>
        <w:outlineLvl w:val="0"/>
        <w:rPr>
          <w:sz w:val="23"/>
          <w:szCs w:val="23"/>
          <w:lang w:val="es-PE"/>
        </w:rPr>
      </w:pPr>
      <w:r w:rsidRPr="00BE7E0A">
        <w:rPr>
          <w:sz w:val="23"/>
          <w:szCs w:val="23"/>
          <w:lang w:val="es-PE"/>
        </w:rPr>
        <w:t>RESOLUCIÓN N</w:t>
      </w:r>
      <w:r w:rsidR="001631D6" w:rsidRPr="00BE7E0A">
        <w:rPr>
          <w:sz w:val="23"/>
          <w:szCs w:val="23"/>
          <w:lang w:val="es-PE"/>
        </w:rPr>
        <w:t xml:space="preserve">° </w:t>
      </w:r>
      <w:r w:rsidR="003E6BA6" w:rsidRPr="00BE7E0A">
        <w:rPr>
          <w:sz w:val="23"/>
          <w:szCs w:val="23"/>
          <w:lang w:val="es-PE"/>
        </w:rPr>
        <w:t>0</w:t>
      </w:r>
      <w:r w:rsidR="00812270" w:rsidRPr="00BE7E0A">
        <w:rPr>
          <w:sz w:val="23"/>
          <w:szCs w:val="23"/>
          <w:lang w:val="es-PE"/>
        </w:rPr>
        <w:t>20</w:t>
      </w:r>
      <w:r w:rsidR="001631D6" w:rsidRPr="00BE7E0A">
        <w:rPr>
          <w:sz w:val="23"/>
          <w:szCs w:val="23"/>
          <w:lang w:val="es-PE"/>
        </w:rPr>
        <w:t>/2</w:t>
      </w:r>
      <w:r w:rsidR="00444D29" w:rsidRPr="00BE7E0A">
        <w:rPr>
          <w:sz w:val="23"/>
          <w:szCs w:val="23"/>
          <w:lang w:val="es-PE"/>
        </w:rPr>
        <w:t>2</w:t>
      </w:r>
    </w:p>
    <w:p w14:paraId="3BCFF796" w14:textId="77777777" w:rsidR="000E1883" w:rsidRPr="00BE7E0A" w:rsidRDefault="000E1883" w:rsidP="000E1883">
      <w:pPr>
        <w:jc w:val="both"/>
        <w:outlineLvl w:val="0"/>
        <w:rPr>
          <w:b/>
          <w:bCs/>
          <w:sz w:val="23"/>
          <w:szCs w:val="23"/>
          <w:lang w:val="es-PE"/>
        </w:rPr>
      </w:pPr>
    </w:p>
    <w:p w14:paraId="4A8A566B" w14:textId="020CC15F" w:rsidR="004C64BF" w:rsidRPr="00BE7E0A" w:rsidRDefault="004C64BF" w:rsidP="004C64BF">
      <w:pPr>
        <w:rPr>
          <w:b/>
          <w:sz w:val="23"/>
          <w:szCs w:val="23"/>
        </w:rPr>
      </w:pPr>
      <w:r w:rsidRPr="00BE7E0A">
        <w:rPr>
          <w:b/>
          <w:sz w:val="23"/>
          <w:szCs w:val="23"/>
        </w:rPr>
        <w:t>VISTOS:</w:t>
      </w:r>
    </w:p>
    <w:p w14:paraId="3E631B86" w14:textId="77777777" w:rsidR="004C64BF" w:rsidRPr="00BE7E0A" w:rsidRDefault="004C64BF" w:rsidP="004C64BF">
      <w:pPr>
        <w:rPr>
          <w:b/>
          <w:sz w:val="23"/>
          <w:szCs w:val="23"/>
          <w:lang w:val="es-PE" w:eastAsia="en-US"/>
        </w:rPr>
      </w:pPr>
    </w:p>
    <w:p w14:paraId="382210FA" w14:textId="24EA198A" w:rsidR="004C64BF" w:rsidRPr="00BE7E0A" w:rsidRDefault="004C64BF" w:rsidP="004C64BF">
      <w:pPr>
        <w:jc w:val="both"/>
        <w:rPr>
          <w:b/>
          <w:sz w:val="23"/>
          <w:szCs w:val="23"/>
          <w:lang w:val="es-MX"/>
        </w:rPr>
      </w:pPr>
      <w:r w:rsidRPr="00BE7E0A">
        <w:rPr>
          <w:sz w:val="23"/>
          <w:szCs w:val="23"/>
        </w:rPr>
        <w:t>La reclamación presentada ante esta Defensoría del Asegurado por la señora</w:t>
      </w:r>
      <w:r w:rsidRPr="00BE7E0A">
        <w:rPr>
          <w:b/>
          <w:bCs/>
          <w:sz w:val="23"/>
          <w:szCs w:val="23"/>
          <w:lang w:val="es-MX"/>
        </w:rPr>
        <w:t xml:space="preserve"> </w:t>
      </w:r>
      <w:r w:rsidR="006E3750" w:rsidRPr="006E3750">
        <w:rPr>
          <w:sz w:val="23"/>
          <w:szCs w:val="23"/>
          <w:lang w:val="es-MX"/>
        </w:rPr>
        <w:t>…………………</w:t>
      </w:r>
      <w:r w:rsidRPr="006E3750">
        <w:rPr>
          <w:sz w:val="23"/>
          <w:szCs w:val="23"/>
          <w:lang w:val="es-MX"/>
        </w:rPr>
        <w:t xml:space="preserve"> </w:t>
      </w:r>
      <w:r w:rsidRPr="00BE7E0A">
        <w:rPr>
          <w:sz w:val="23"/>
          <w:szCs w:val="23"/>
        </w:rPr>
        <w:t xml:space="preserve">contra </w:t>
      </w:r>
      <w:r w:rsidR="006E3750" w:rsidRPr="006E3750">
        <w:rPr>
          <w:sz w:val="23"/>
          <w:szCs w:val="23"/>
          <w:lang w:val="es-MX"/>
        </w:rPr>
        <w:t xml:space="preserve">………………… </w:t>
      </w:r>
      <w:r w:rsidRPr="00BE7E0A">
        <w:rPr>
          <w:b/>
          <w:sz w:val="23"/>
          <w:szCs w:val="23"/>
        </w:rPr>
        <w:t>(</w:t>
      </w:r>
      <w:r w:rsidR="006E3750" w:rsidRPr="006E3750">
        <w:rPr>
          <w:sz w:val="23"/>
          <w:szCs w:val="23"/>
          <w:lang w:val="es-MX"/>
        </w:rPr>
        <w:t>…………………</w:t>
      </w:r>
      <w:r w:rsidRPr="00BE7E0A">
        <w:rPr>
          <w:b/>
          <w:sz w:val="23"/>
          <w:szCs w:val="23"/>
        </w:rPr>
        <w:t xml:space="preserve">) </w:t>
      </w:r>
      <w:r w:rsidRPr="00BE7E0A">
        <w:rPr>
          <w:sz w:val="23"/>
          <w:szCs w:val="23"/>
        </w:rPr>
        <w:t>en relación al</w:t>
      </w:r>
      <w:r w:rsidRPr="00BE7E0A">
        <w:rPr>
          <w:b/>
          <w:sz w:val="23"/>
          <w:szCs w:val="23"/>
          <w:lang w:val="es-MX"/>
        </w:rPr>
        <w:t xml:space="preserve"> SEGURO DE DESGRAVAMEN CMAC PIURA PÓLIZA Nº </w:t>
      </w:r>
      <w:r w:rsidR="006E3750" w:rsidRPr="006E3750">
        <w:rPr>
          <w:sz w:val="23"/>
          <w:szCs w:val="23"/>
          <w:lang w:val="es-MX"/>
        </w:rPr>
        <w:t>…………………</w:t>
      </w:r>
      <w:r w:rsidRPr="00BE7E0A">
        <w:rPr>
          <w:b/>
          <w:sz w:val="23"/>
          <w:szCs w:val="23"/>
          <w:lang w:val="es-MX"/>
        </w:rPr>
        <w:t xml:space="preserve">, </w:t>
      </w:r>
      <w:r w:rsidRPr="00BE7E0A">
        <w:rPr>
          <w:sz w:val="23"/>
          <w:szCs w:val="23"/>
          <w:lang w:val="es-MX"/>
        </w:rPr>
        <w:t xml:space="preserve"> por el fallecimiento del asegurado Baldomero Jove Ulfe Urbina</w:t>
      </w:r>
      <w:r w:rsidRPr="00BE7E0A">
        <w:rPr>
          <w:b/>
          <w:sz w:val="23"/>
          <w:szCs w:val="23"/>
          <w:lang w:val="es-MX"/>
        </w:rPr>
        <w:t>.</w:t>
      </w:r>
    </w:p>
    <w:p w14:paraId="254FDE50" w14:textId="77777777" w:rsidR="004C64BF" w:rsidRPr="00BE7E0A" w:rsidRDefault="004C64BF" w:rsidP="004C64BF">
      <w:pPr>
        <w:jc w:val="both"/>
        <w:rPr>
          <w:b/>
          <w:sz w:val="23"/>
          <w:szCs w:val="23"/>
          <w:lang w:val="es-MX"/>
        </w:rPr>
      </w:pPr>
    </w:p>
    <w:p w14:paraId="0DF212F3" w14:textId="07027F5F" w:rsidR="004C64BF" w:rsidRPr="00BE7E0A" w:rsidRDefault="004C64BF" w:rsidP="004C64BF">
      <w:pPr>
        <w:jc w:val="both"/>
        <w:rPr>
          <w:rFonts w:eastAsia="Arial Unicode MS"/>
          <w:sz w:val="23"/>
          <w:szCs w:val="23"/>
        </w:rPr>
      </w:pPr>
      <w:r w:rsidRPr="00BE7E0A">
        <w:rPr>
          <w:rFonts w:eastAsia="Arial Unicode MS"/>
          <w:sz w:val="23"/>
          <w:szCs w:val="23"/>
        </w:rPr>
        <w:t>Que, la señalada reclamación cumple con los requisitos de materia, cuantía y oportunidad establecidos en el Reglamento de la DEFASEG (</w:t>
      </w:r>
      <w:hyperlink r:id="rId8" w:history="1">
        <w:r w:rsidRPr="00BE7E0A">
          <w:rPr>
            <w:rStyle w:val="Hipervnculo"/>
            <w:rFonts w:eastAsia="Arial Unicode MS"/>
            <w:sz w:val="23"/>
            <w:szCs w:val="23"/>
          </w:rPr>
          <w:t>http://www.defaseg.com.pe/reglamento</w:t>
        </w:r>
      </w:hyperlink>
      <w:r w:rsidRPr="00BE7E0A">
        <w:rPr>
          <w:rFonts w:eastAsia="Arial Unicode MS"/>
          <w:sz w:val="23"/>
          <w:szCs w:val="23"/>
        </w:rPr>
        <w:t>);</w:t>
      </w:r>
    </w:p>
    <w:p w14:paraId="03E5A603" w14:textId="77777777" w:rsidR="004C64BF" w:rsidRPr="00BE7E0A" w:rsidRDefault="004C64BF" w:rsidP="004C64BF">
      <w:pPr>
        <w:jc w:val="both"/>
        <w:rPr>
          <w:rFonts w:eastAsia="Arial Unicode MS"/>
          <w:sz w:val="23"/>
          <w:szCs w:val="23"/>
          <w:lang w:val="es-PE"/>
        </w:rPr>
      </w:pPr>
    </w:p>
    <w:p w14:paraId="1ACDBCBC" w14:textId="6EFF813A" w:rsidR="004C64BF" w:rsidRPr="00BE7E0A" w:rsidRDefault="004C64BF" w:rsidP="004C64BF">
      <w:pPr>
        <w:tabs>
          <w:tab w:val="num" w:pos="720"/>
        </w:tabs>
        <w:jc w:val="both"/>
        <w:rPr>
          <w:sz w:val="23"/>
          <w:szCs w:val="23"/>
        </w:rPr>
      </w:pPr>
      <w:r w:rsidRPr="00BE7E0A">
        <w:rPr>
          <w:sz w:val="23"/>
          <w:szCs w:val="23"/>
        </w:rPr>
        <w:t xml:space="preserve">Que, habiéndosele corrido traslado de la respectiva reclamación, </w:t>
      </w:r>
      <w:r w:rsidR="006E3750" w:rsidRPr="006E3750">
        <w:rPr>
          <w:sz w:val="23"/>
          <w:szCs w:val="23"/>
          <w:lang w:val="es-MX"/>
        </w:rPr>
        <w:t>…………………</w:t>
      </w:r>
      <w:r w:rsidRPr="00BE7E0A">
        <w:rPr>
          <w:sz w:val="23"/>
          <w:szCs w:val="23"/>
        </w:rPr>
        <w:t>presentó sus respectivos descargos y la documentación solicitada;</w:t>
      </w:r>
    </w:p>
    <w:p w14:paraId="4DBD266D" w14:textId="77777777" w:rsidR="004C64BF" w:rsidRPr="00BE7E0A" w:rsidRDefault="004C64BF" w:rsidP="004C64BF">
      <w:pPr>
        <w:tabs>
          <w:tab w:val="num" w:pos="720"/>
        </w:tabs>
        <w:jc w:val="both"/>
        <w:rPr>
          <w:rFonts w:eastAsia="Calibri"/>
          <w:sz w:val="23"/>
          <w:szCs w:val="23"/>
        </w:rPr>
      </w:pPr>
    </w:p>
    <w:p w14:paraId="61CE4492" w14:textId="6C7812B7" w:rsidR="004C64BF" w:rsidRPr="00BE7E0A" w:rsidRDefault="004C64BF" w:rsidP="004C64BF">
      <w:pPr>
        <w:tabs>
          <w:tab w:val="num" w:pos="720"/>
        </w:tabs>
        <w:jc w:val="both"/>
        <w:rPr>
          <w:sz w:val="23"/>
          <w:szCs w:val="23"/>
        </w:rPr>
      </w:pPr>
      <w:r w:rsidRPr="00BE7E0A">
        <w:rPr>
          <w:sz w:val="23"/>
          <w:szCs w:val="23"/>
        </w:rPr>
        <w:t>Que, el 07 de febrero de 2022 se realizó la audiencia de vista con la concurrencia de ambas partes, las que sustentaron sus respectivas posiciones conforme consta de la correspondiente acta;</w:t>
      </w:r>
    </w:p>
    <w:p w14:paraId="5572DEA1" w14:textId="77777777" w:rsidR="004C64BF" w:rsidRPr="00BE7E0A" w:rsidRDefault="004C64BF" w:rsidP="004C64BF">
      <w:pPr>
        <w:tabs>
          <w:tab w:val="num" w:pos="720"/>
        </w:tabs>
        <w:jc w:val="both"/>
        <w:rPr>
          <w:sz w:val="23"/>
          <w:szCs w:val="23"/>
        </w:rPr>
      </w:pPr>
    </w:p>
    <w:p w14:paraId="412991CB" w14:textId="32D3B2E9" w:rsidR="004C64BF" w:rsidRPr="00BE7E0A" w:rsidRDefault="004C64BF" w:rsidP="004C64BF">
      <w:pPr>
        <w:jc w:val="both"/>
        <w:rPr>
          <w:sz w:val="23"/>
          <w:szCs w:val="23"/>
        </w:rPr>
      </w:pPr>
      <w:r w:rsidRPr="00BE7E0A">
        <w:rPr>
          <w:sz w:val="23"/>
          <w:szCs w:val="23"/>
        </w:rPr>
        <w:t>Que, la reclamación se sustenta resumidamente en lo siguiente: a) Su cónyuge solicitó un préstamo a la CMAC Piura por la suma de S/ 70,000, contratando asimismo un seguro de desgravamen; b) con fecha 02/02/2021 su cónyuge falleció en la ciudad de Tumbes por Covid-19; c)  con fecha 10/02/2021 su hijo solicitó formalmente la cobertura del seguro; d)  luego de varios meses de haberse efectuado el pedido, mediante comunicación de fecha 19/07/2021 la aseguradora rechazó la cobertura señalando que su esposo habría efectuado una declaración inexacta dolosa al responder negativamente a las preguntas 2 y 4 de la declaración de salud; e) los diagnósticos en los cuales se basa la aseguradora corresponden a evaluaciones de hace 5 y 39 años, que no pueden ser considerados como declaración inexacta dolosa, y lo más importante es que no han tenido incidencia alguna en el fallecimiento de su esposo; f) señala que no es aplicable el artículo 8 de la ley del contrato de seguro, sino por el contrario el artículo 15 de la misma referido a subsistencia del contrato que señala que en los casos de reticencia y/o declaración dolosa no procede la nulidad cuando “las circunstancias omitidas o declaradas en forma inexacta cesaron antes de ocurrir el siniestro o cuando la reticencia o declaración inexacta no dolosa no influyó en la producción del siniestro ni en la medida de la indemnización o prestación debida”; g) añade que su cónyuge tenía otra póliza de desgravamen con otra entidad financiera, la cual sí le ha sido pagada.</w:t>
      </w:r>
    </w:p>
    <w:p w14:paraId="7E83681C" w14:textId="77777777" w:rsidR="004C64BF" w:rsidRPr="00BE7E0A" w:rsidRDefault="004C64BF" w:rsidP="004C64BF">
      <w:pPr>
        <w:jc w:val="both"/>
        <w:rPr>
          <w:sz w:val="23"/>
          <w:szCs w:val="23"/>
        </w:rPr>
      </w:pPr>
    </w:p>
    <w:p w14:paraId="70BAAF99" w14:textId="77777777" w:rsidR="004C64BF" w:rsidRPr="00BE7E0A" w:rsidRDefault="004C64BF" w:rsidP="004C64BF">
      <w:pPr>
        <w:jc w:val="both"/>
        <w:rPr>
          <w:sz w:val="23"/>
          <w:szCs w:val="23"/>
        </w:rPr>
      </w:pPr>
      <w:r w:rsidRPr="00BE7E0A">
        <w:rPr>
          <w:sz w:val="23"/>
          <w:szCs w:val="23"/>
        </w:rPr>
        <w:t xml:space="preserve">Que, por su parte, la aseguradora solicita que la reclamación sea declarada infundada, por las razones que se enuncian resumidamente a continuación: a) con fecha 19/07/2021 comunicaron la improcedencia del siniestro por nulidad del contrato de seguro por declaración inexacta dolosa incurrida por el asegurado, al responder negativamente al cuestionario de salud y por ende no haber declarado que padecía de hipertensión arterial desde setiembre de 2016 y hepatitis viral B desde octubre de 1982, ambos anteriores al seguro; b) en la carta de rechazo adjuntaron tanto el sustento del diagnóstico como la solicitud con la declaración personal de salud suscrita por el asegurado donde indicó que no padecía de las enfermedades indicadas; c) por lo tanto la posición se encuentra sustentada conforme al artículo 8 de la ley del contrato de seguros que determina que la declaración inexacta hace nulo el contrato si media dolo o culpa inexcusable del contratante y/o asegurado, lo que se demuestra al haberse omitido circunstancias que hubiesen condicionado la celebración del contrato de seguros, d) la carta de rechazo señala que si el asegurado hubiese declarado su real estado de salud, se habrían efectuado pruebas adicionales </w:t>
      </w:r>
      <w:r w:rsidRPr="00BE7E0A">
        <w:rPr>
          <w:sz w:val="23"/>
          <w:szCs w:val="23"/>
        </w:rPr>
        <w:lastRenderedPageBreak/>
        <w:t xml:space="preserve">cobrando una extra prima o rechazando su inclusión en el seguro dependiendo de la información que se hubiese brindado, lo que o sucedió en este caso. </w:t>
      </w:r>
    </w:p>
    <w:p w14:paraId="72CB0324" w14:textId="123E07B7" w:rsidR="004C64BF" w:rsidRPr="00BE7E0A" w:rsidRDefault="004C64BF" w:rsidP="004C64BF">
      <w:pPr>
        <w:jc w:val="both"/>
        <w:rPr>
          <w:sz w:val="23"/>
          <w:szCs w:val="23"/>
        </w:rPr>
      </w:pPr>
      <w:r w:rsidRPr="00BE7E0A">
        <w:rPr>
          <w:sz w:val="23"/>
          <w:szCs w:val="23"/>
        </w:rPr>
        <w:t xml:space="preserve"> </w:t>
      </w:r>
    </w:p>
    <w:p w14:paraId="71447995" w14:textId="44EF82A8" w:rsidR="004C64BF" w:rsidRPr="00BE7E0A" w:rsidRDefault="004C64BF" w:rsidP="004C64BF">
      <w:pPr>
        <w:jc w:val="both"/>
        <w:rPr>
          <w:rStyle w:val="Textoennegrita"/>
          <w:sz w:val="23"/>
          <w:szCs w:val="23"/>
        </w:rPr>
      </w:pPr>
      <w:r w:rsidRPr="00BE7E0A">
        <w:rPr>
          <w:rStyle w:val="Textoennegrita"/>
          <w:sz w:val="23"/>
          <w:szCs w:val="23"/>
        </w:rPr>
        <w:t>CONSIDERANDO:</w:t>
      </w:r>
    </w:p>
    <w:p w14:paraId="33744D76" w14:textId="77777777" w:rsidR="004C64BF" w:rsidRPr="00BE7E0A" w:rsidRDefault="004C64BF" w:rsidP="004C64BF">
      <w:pPr>
        <w:jc w:val="both"/>
        <w:rPr>
          <w:rStyle w:val="Textoennegrita"/>
          <w:sz w:val="23"/>
          <w:szCs w:val="23"/>
        </w:rPr>
      </w:pPr>
    </w:p>
    <w:p w14:paraId="6AF92C8E" w14:textId="77777777" w:rsidR="004C64BF" w:rsidRPr="00BE7E0A" w:rsidRDefault="004C64BF" w:rsidP="004C64BF">
      <w:pPr>
        <w:jc w:val="both"/>
        <w:rPr>
          <w:sz w:val="23"/>
          <w:szCs w:val="23"/>
        </w:rPr>
      </w:pPr>
      <w:bookmarkStart w:id="0" w:name="_Hlk487460372"/>
      <w:r w:rsidRPr="00BE7E0A">
        <w:rPr>
          <w:b/>
          <w:sz w:val="23"/>
          <w:szCs w:val="23"/>
          <w:u w:val="single"/>
        </w:rPr>
        <w:t>PRIMERO</w:t>
      </w:r>
      <w:bookmarkEnd w:id="0"/>
      <w:r w:rsidRPr="00BE7E0A">
        <w:rPr>
          <w:b/>
          <w:sz w:val="23"/>
          <w:szCs w:val="23"/>
        </w:rPr>
        <w:t xml:space="preserve">: </w:t>
      </w:r>
      <w:r w:rsidRPr="00BE7E0A">
        <w:rPr>
          <w:sz w:val="23"/>
          <w:szCs w:val="23"/>
        </w:rPr>
        <w:t>Que, conforme a su Reglamento, la</w:t>
      </w:r>
      <w:r w:rsidRPr="00BE7E0A">
        <w:rPr>
          <w:b/>
          <w:bCs/>
          <w:sz w:val="23"/>
          <w:szCs w:val="23"/>
        </w:rPr>
        <w:t xml:space="preserve"> </w:t>
      </w:r>
      <w:r w:rsidRPr="00BE7E0A">
        <w:rPr>
          <w:sz w:val="23"/>
          <w:szCs w:val="23"/>
        </w:rPr>
        <w:t>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w:t>
      </w:r>
    </w:p>
    <w:p w14:paraId="742F4549" w14:textId="77777777" w:rsidR="004C64BF" w:rsidRPr="00BE7E0A" w:rsidRDefault="004C64BF" w:rsidP="004C64BF">
      <w:pPr>
        <w:jc w:val="both"/>
        <w:rPr>
          <w:sz w:val="23"/>
          <w:szCs w:val="23"/>
        </w:rPr>
      </w:pPr>
    </w:p>
    <w:p w14:paraId="5481EB8B" w14:textId="77777777" w:rsidR="004C64BF" w:rsidRPr="00BE7E0A" w:rsidRDefault="004C64BF" w:rsidP="004C64BF">
      <w:pPr>
        <w:jc w:val="both"/>
        <w:rPr>
          <w:rStyle w:val="Textoennegrita"/>
          <w:b w:val="0"/>
          <w:sz w:val="23"/>
          <w:szCs w:val="23"/>
        </w:rPr>
      </w:pPr>
      <w:r w:rsidRPr="00BE7E0A">
        <w:rPr>
          <w:rStyle w:val="Textoennegrita"/>
          <w:sz w:val="23"/>
          <w:szCs w:val="23"/>
          <w:u w:val="single"/>
        </w:rPr>
        <w:t>SEGUNDO</w:t>
      </w:r>
      <w:r w:rsidRPr="00BE7E0A">
        <w:rPr>
          <w:rStyle w:val="Textoennegrita"/>
          <w:sz w:val="23"/>
          <w:szCs w:val="23"/>
        </w:rPr>
        <w:t xml:space="preserve">: </w:t>
      </w:r>
      <w:r w:rsidRPr="00BE7E0A">
        <w:rPr>
          <w:sz w:val="23"/>
          <w:szCs w:val="23"/>
        </w:rPr>
        <w:t>Asimismo, de acuerdo a</w:t>
      </w:r>
      <w:r w:rsidRPr="00BE7E0A">
        <w:rPr>
          <w:b/>
          <w:sz w:val="23"/>
          <w:szCs w:val="23"/>
        </w:rPr>
        <w:t xml:space="preserve"> </w:t>
      </w:r>
      <w:r w:rsidRPr="00BE7E0A">
        <w:rPr>
          <w:rStyle w:val="Textoennegrita"/>
          <w:b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17360E3D" w14:textId="77777777" w:rsidR="004C64BF" w:rsidRPr="00BE7E0A" w:rsidRDefault="004C64BF" w:rsidP="004C64BF">
      <w:pPr>
        <w:jc w:val="both"/>
        <w:rPr>
          <w:rStyle w:val="Textoennegrita"/>
          <w:b w:val="0"/>
          <w:sz w:val="23"/>
          <w:szCs w:val="23"/>
        </w:rPr>
      </w:pPr>
    </w:p>
    <w:p w14:paraId="0FCCEC5E" w14:textId="77777777" w:rsidR="004C64BF" w:rsidRPr="00BE7E0A" w:rsidRDefault="004C64BF" w:rsidP="004C64BF">
      <w:pPr>
        <w:jc w:val="both"/>
        <w:rPr>
          <w:sz w:val="23"/>
          <w:szCs w:val="23"/>
        </w:rPr>
      </w:pPr>
      <w:r w:rsidRPr="00BE7E0A">
        <w:rPr>
          <w:rStyle w:val="Textoennegrita"/>
          <w:sz w:val="23"/>
          <w:szCs w:val="23"/>
          <w:u w:val="single"/>
        </w:rPr>
        <w:t>TERCERO</w:t>
      </w:r>
      <w:r w:rsidRPr="00BE7E0A">
        <w:rPr>
          <w:rStyle w:val="Textoennegrita"/>
          <w:sz w:val="23"/>
          <w:szCs w:val="23"/>
        </w:rPr>
        <w:t>:</w:t>
      </w:r>
      <w:r w:rsidRPr="00BE7E0A">
        <w:rPr>
          <w:sz w:val="23"/>
          <w:szCs w:val="23"/>
        </w:rPr>
        <w:t xml:space="preserve"> Que, de acuerdo a la Ley Nro. 29946 – Ley del Contrato de Seguro,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43947A16" w14:textId="77777777" w:rsidR="004C64BF" w:rsidRPr="00BE7E0A" w:rsidRDefault="004C64BF" w:rsidP="004C64BF">
      <w:pPr>
        <w:jc w:val="both"/>
        <w:rPr>
          <w:sz w:val="23"/>
          <w:szCs w:val="23"/>
        </w:rPr>
      </w:pPr>
    </w:p>
    <w:p w14:paraId="321C70B7" w14:textId="77777777" w:rsidR="004C64BF" w:rsidRPr="00BE7E0A" w:rsidRDefault="004C64BF" w:rsidP="004C64BF">
      <w:pPr>
        <w:contextualSpacing/>
        <w:jc w:val="both"/>
        <w:rPr>
          <w:sz w:val="23"/>
          <w:szCs w:val="23"/>
        </w:rPr>
      </w:pPr>
      <w:r w:rsidRPr="00BE7E0A">
        <w:rPr>
          <w:b/>
          <w:sz w:val="23"/>
          <w:szCs w:val="23"/>
          <w:u w:val="single"/>
        </w:rPr>
        <w:t>CUARTO</w:t>
      </w:r>
      <w:r w:rsidRPr="00BE7E0A">
        <w:rPr>
          <w:b/>
          <w:sz w:val="23"/>
          <w:szCs w:val="23"/>
        </w:rPr>
        <w:t>:</w:t>
      </w:r>
      <w:r w:rsidRPr="00BE7E0A">
        <w:rPr>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14:paraId="081CE457" w14:textId="77777777" w:rsidR="004C64BF" w:rsidRPr="00BE7E0A" w:rsidRDefault="004C64BF" w:rsidP="004C64BF">
      <w:pPr>
        <w:jc w:val="both"/>
        <w:rPr>
          <w:rStyle w:val="Textoennegrita"/>
          <w:b w:val="0"/>
          <w:sz w:val="23"/>
          <w:szCs w:val="23"/>
        </w:rPr>
      </w:pPr>
    </w:p>
    <w:p w14:paraId="5770987F" w14:textId="77777777" w:rsidR="004C64BF" w:rsidRPr="00BE7E0A" w:rsidRDefault="004C64BF" w:rsidP="004C64BF">
      <w:pPr>
        <w:jc w:val="both"/>
        <w:rPr>
          <w:sz w:val="23"/>
          <w:szCs w:val="23"/>
        </w:rPr>
      </w:pPr>
      <w:r w:rsidRPr="00BE7E0A">
        <w:rPr>
          <w:rStyle w:val="Textoennegrita"/>
          <w:sz w:val="23"/>
          <w:szCs w:val="23"/>
          <w:u w:val="single"/>
        </w:rPr>
        <w:t>QUINTO</w:t>
      </w:r>
      <w:r w:rsidRPr="00BE7E0A">
        <w:rPr>
          <w:rStyle w:val="Textoennegrita"/>
          <w:sz w:val="23"/>
          <w:szCs w:val="23"/>
        </w:rPr>
        <w:t xml:space="preserve">: </w:t>
      </w:r>
      <w:r w:rsidRPr="00BE7E0A">
        <w:rPr>
          <w:bCs/>
          <w:sz w:val="23"/>
          <w:szCs w:val="23"/>
        </w:rPr>
        <w:t>Que, conforme al artículo 196 del Código Procesal Civil, corresponde a quien invoca hechos probar su existencia, así como a quien los contradice invocando nuevos hechos; sin perjuicio de aplicarse las presunciones legales correspondientes.</w:t>
      </w:r>
    </w:p>
    <w:p w14:paraId="15973780" w14:textId="77777777" w:rsidR="004C64BF" w:rsidRPr="00BE7E0A" w:rsidRDefault="004C64BF" w:rsidP="004C64BF">
      <w:pPr>
        <w:jc w:val="both"/>
        <w:rPr>
          <w:bCs/>
          <w:sz w:val="23"/>
          <w:szCs w:val="23"/>
        </w:rPr>
      </w:pPr>
    </w:p>
    <w:p w14:paraId="6538EA89" w14:textId="77777777" w:rsidR="004C64BF" w:rsidRPr="00BE7E0A" w:rsidRDefault="004C64BF" w:rsidP="004C64BF">
      <w:pPr>
        <w:tabs>
          <w:tab w:val="left" w:pos="2160"/>
        </w:tabs>
        <w:jc w:val="both"/>
        <w:rPr>
          <w:sz w:val="23"/>
          <w:szCs w:val="23"/>
        </w:rPr>
      </w:pPr>
      <w:r w:rsidRPr="00BE7E0A">
        <w:rPr>
          <w:b/>
          <w:sz w:val="23"/>
          <w:szCs w:val="23"/>
          <w:u w:val="single"/>
        </w:rPr>
        <w:t>SEXTO</w:t>
      </w:r>
      <w:r w:rsidRPr="00BE7E0A">
        <w:rPr>
          <w:b/>
          <w:sz w:val="23"/>
          <w:szCs w:val="23"/>
        </w:rPr>
        <w:t>:</w:t>
      </w:r>
      <w:r w:rsidRPr="00BE7E0A">
        <w:rPr>
          <w:sz w:val="23"/>
          <w:szCs w:val="23"/>
        </w:rPr>
        <w:t xml:space="preserve"> Que, sobre la base de los términos contenidos en la reclamación y en la absolución de la misma, y a lo tratado en la audiencia de vista, la cuestión controvertida radica en determinar si el asegurado incurrió o no en reticencia dolosa al momento de contratar la póliza y, como consecuencia de ello, determinar si el respectivo contrato es nulo o no.  De concluirse en la nulidad del contrato, el rechazo de cobertura estaría plenamente justificado. </w:t>
      </w:r>
    </w:p>
    <w:p w14:paraId="538A7D15" w14:textId="77777777" w:rsidR="004C64BF" w:rsidRPr="00BE7E0A" w:rsidRDefault="004C64BF" w:rsidP="004C64BF">
      <w:pPr>
        <w:tabs>
          <w:tab w:val="left" w:pos="2160"/>
        </w:tabs>
        <w:jc w:val="both"/>
        <w:rPr>
          <w:sz w:val="23"/>
          <w:szCs w:val="23"/>
        </w:rPr>
      </w:pPr>
      <w:r w:rsidRPr="00BE7E0A">
        <w:rPr>
          <w:sz w:val="23"/>
          <w:szCs w:val="23"/>
        </w:rPr>
        <w:t xml:space="preserve"> </w:t>
      </w:r>
    </w:p>
    <w:p w14:paraId="02ED7D61" w14:textId="0FCC66F6" w:rsidR="004C64BF" w:rsidRPr="00BE7E0A" w:rsidRDefault="004C64BF" w:rsidP="004C64BF">
      <w:pPr>
        <w:tabs>
          <w:tab w:val="left" w:pos="2160"/>
        </w:tabs>
        <w:jc w:val="both"/>
        <w:rPr>
          <w:sz w:val="23"/>
          <w:szCs w:val="23"/>
        </w:rPr>
      </w:pPr>
      <w:r w:rsidRPr="00BE7E0A">
        <w:rPr>
          <w:b/>
          <w:sz w:val="23"/>
          <w:szCs w:val="23"/>
          <w:u w:val="single"/>
        </w:rPr>
        <w:t>SETIMO</w:t>
      </w:r>
      <w:r w:rsidRPr="00BE7E0A">
        <w:rPr>
          <w:sz w:val="23"/>
          <w:szCs w:val="23"/>
        </w:rPr>
        <w:t xml:space="preserve"> De acuerdo a lo establecido en el artículo 8 de la Ley del Contrato de Seguro, Ley 29946, la reticencia y/o declaración inexacta derivan en la nulidad del respectivo contrato de mediar dolo o culpa inexcusable del contratante y/o asegurado, conforme se expone a continuación:</w:t>
      </w:r>
    </w:p>
    <w:p w14:paraId="2F969C99" w14:textId="77777777" w:rsidR="004C64BF" w:rsidRPr="00BE7E0A" w:rsidRDefault="004C64BF" w:rsidP="004C64BF">
      <w:pPr>
        <w:tabs>
          <w:tab w:val="left" w:pos="2160"/>
        </w:tabs>
        <w:jc w:val="both"/>
        <w:rPr>
          <w:sz w:val="23"/>
          <w:szCs w:val="23"/>
        </w:rPr>
      </w:pPr>
    </w:p>
    <w:p w14:paraId="6BEF912E" w14:textId="77777777" w:rsidR="004C64BF" w:rsidRPr="00BE7E0A" w:rsidRDefault="004C64BF" w:rsidP="004C64BF">
      <w:pPr>
        <w:tabs>
          <w:tab w:val="left" w:pos="2160"/>
        </w:tabs>
        <w:ind w:left="720"/>
        <w:jc w:val="both"/>
        <w:rPr>
          <w:i/>
          <w:sz w:val="23"/>
          <w:szCs w:val="23"/>
        </w:rPr>
      </w:pPr>
      <w:r w:rsidRPr="00BE7E0A">
        <w:rPr>
          <w:i/>
          <w:sz w:val="23"/>
          <w:szCs w:val="23"/>
        </w:rPr>
        <w:t>“Artículo 8. Reticencia y/o declaración inexacta dolosa</w:t>
      </w:r>
    </w:p>
    <w:p w14:paraId="60A19297" w14:textId="40025A05" w:rsidR="004C64BF" w:rsidRPr="00BE7E0A" w:rsidRDefault="004C64BF" w:rsidP="004C64BF">
      <w:pPr>
        <w:tabs>
          <w:tab w:val="left" w:pos="2160"/>
        </w:tabs>
        <w:ind w:left="720"/>
        <w:jc w:val="both"/>
        <w:rPr>
          <w:i/>
          <w:sz w:val="23"/>
          <w:szCs w:val="23"/>
        </w:rPr>
      </w:pPr>
      <w:r w:rsidRPr="00BE7E0A">
        <w:rPr>
          <w:i/>
          <w:sz w:val="23"/>
          <w:szCs w:val="23"/>
        </w:rPr>
        <w:t xml:space="preserve"> La reticencia y/o declaración inexacta de circunstancias conocidas por el contratante y/o asegurado, que hubiese impedido el contrato o modificado sus condiciones si el </w:t>
      </w:r>
      <w:r w:rsidRPr="00BE7E0A">
        <w:rPr>
          <w:i/>
          <w:sz w:val="23"/>
          <w:szCs w:val="23"/>
        </w:rPr>
        <w:lastRenderedPageBreak/>
        <w:t>asegurador hubiese sido informado del verdadero estado del riesgo, hace nulo el contrato si media dolo o culpa inexcusable del contratante y/o asegurado.”</w:t>
      </w:r>
    </w:p>
    <w:p w14:paraId="354453C0" w14:textId="77777777" w:rsidR="004C64BF" w:rsidRPr="00BE7E0A" w:rsidRDefault="004C64BF" w:rsidP="004C64BF">
      <w:pPr>
        <w:tabs>
          <w:tab w:val="left" w:pos="2160"/>
        </w:tabs>
        <w:ind w:left="720"/>
        <w:jc w:val="both"/>
        <w:rPr>
          <w:i/>
          <w:sz w:val="23"/>
          <w:szCs w:val="23"/>
        </w:rPr>
      </w:pPr>
    </w:p>
    <w:p w14:paraId="31818598" w14:textId="56FCBEF9" w:rsidR="004C64BF" w:rsidRPr="00BE7E0A" w:rsidRDefault="004C64BF" w:rsidP="004C64BF">
      <w:pPr>
        <w:tabs>
          <w:tab w:val="left" w:pos="2160"/>
        </w:tabs>
        <w:jc w:val="both"/>
        <w:rPr>
          <w:sz w:val="23"/>
          <w:szCs w:val="23"/>
        </w:rPr>
      </w:pPr>
      <w:r w:rsidRPr="00BE7E0A">
        <w:rPr>
          <w:sz w:val="23"/>
          <w:szCs w:val="23"/>
        </w:rPr>
        <w:t>Asimismo, el artículo 9 de la misma ley señala que la aseguradora dispone de treinta días para invocar fehacientemente dicha nulidad desde que toma conocimiento de la reticencia y/o declaración inexacta; añadiendo, el artículo 10, que la prueba de la reticencia y/o declaración inexacta corresponde a la aseguradora.</w:t>
      </w:r>
    </w:p>
    <w:p w14:paraId="39373338" w14:textId="77777777" w:rsidR="004C64BF" w:rsidRPr="00BE7E0A" w:rsidRDefault="004C64BF" w:rsidP="004C64BF">
      <w:pPr>
        <w:tabs>
          <w:tab w:val="left" w:pos="2160"/>
        </w:tabs>
        <w:jc w:val="both"/>
        <w:rPr>
          <w:sz w:val="23"/>
          <w:szCs w:val="23"/>
        </w:rPr>
      </w:pPr>
    </w:p>
    <w:p w14:paraId="50EEF0C9" w14:textId="77FFFC7B" w:rsidR="004C64BF" w:rsidRPr="00BE7E0A" w:rsidRDefault="004C64BF" w:rsidP="004C64BF">
      <w:pPr>
        <w:tabs>
          <w:tab w:val="left" w:pos="2160"/>
        </w:tabs>
        <w:jc w:val="both"/>
        <w:rPr>
          <w:sz w:val="23"/>
          <w:szCs w:val="23"/>
        </w:rPr>
      </w:pPr>
      <w:r w:rsidRPr="00BE7E0A">
        <w:rPr>
          <w:sz w:val="23"/>
          <w:szCs w:val="23"/>
        </w:rPr>
        <w:t>Como consecuencia de dicha exigencia, la aseguradora debe demostrar: (i) que el contratante o asegurado no le informó o informó en forma inexacta respecto de circunstancias que conocía y que dicha reticencia hubiese impedido el contrato o modificado sus condiciones, es decir era relevante para la estimación del riesgo; (ii) que ello se deriva de dolo o culpa inexcusable; (iv) que se tomó conocimiento sobreviniente, y (v) que se opone la nulidad de manera oportuna, dentro de los treinta (30) días siguientes de la fecha en que se adquirió conocimiento del real estado del riesgo.</w:t>
      </w:r>
    </w:p>
    <w:p w14:paraId="3285EDB3" w14:textId="77777777" w:rsidR="004C64BF" w:rsidRPr="00BE7E0A" w:rsidRDefault="004C64BF" w:rsidP="004C64BF">
      <w:pPr>
        <w:tabs>
          <w:tab w:val="left" w:pos="2160"/>
        </w:tabs>
        <w:jc w:val="both"/>
        <w:rPr>
          <w:sz w:val="23"/>
          <w:szCs w:val="23"/>
        </w:rPr>
      </w:pPr>
    </w:p>
    <w:p w14:paraId="79981D51" w14:textId="15B4C03E" w:rsidR="004C64BF" w:rsidRPr="00BE7E0A" w:rsidRDefault="004C64BF" w:rsidP="004C64BF">
      <w:pPr>
        <w:tabs>
          <w:tab w:val="left" w:pos="709"/>
          <w:tab w:val="left" w:pos="2160"/>
        </w:tabs>
        <w:ind w:left="720" w:hanging="720"/>
        <w:jc w:val="both"/>
        <w:rPr>
          <w:b/>
          <w:bCs/>
          <w:i/>
          <w:iCs/>
          <w:sz w:val="23"/>
          <w:szCs w:val="23"/>
        </w:rPr>
      </w:pPr>
      <w:r w:rsidRPr="00BE7E0A">
        <w:rPr>
          <w:b/>
          <w:bCs/>
          <w:i/>
          <w:iCs/>
          <w:sz w:val="23"/>
          <w:szCs w:val="23"/>
        </w:rPr>
        <w:t>7.1.</w:t>
      </w:r>
      <w:r w:rsidRPr="00BE7E0A">
        <w:rPr>
          <w:b/>
          <w:bCs/>
          <w:i/>
          <w:iCs/>
          <w:sz w:val="23"/>
          <w:szCs w:val="23"/>
        </w:rPr>
        <w:tab/>
        <w:t>Omisión relevante para la estimación del riesgo:</w:t>
      </w:r>
    </w:p>
    <w:p w14:paraId="523FB648" w14:textId="77777777" w:rsidR="004C64BF" w:rsidRPr="00BE7E0A" w:rsidRDefault="004C64BF" w:rsidP="004C64BF">
      <w:pPr>
        <w:tabs>
          <w:tab w:val="left" w:pos="709"/>
          <w:tab w:val="left" w:pos="2160"/>
        </w:tabs>
        <w:ind w:left="720" w:hanging="720"/>
        <w:jc w:val="both"/>
        <w:rPr>
          <w:b/>
          <w:bCs/>
          <w:i/>
          <w:iCs/>
          <w:sz w:val="23"/>
          <w:szCs w:val="23"/>
        </w:rPr>
      </w:pPr>
    </w:p>
    <w:p w14:paraId="5BA9A582" w14:textId="0C2821AA" w:rsidR="004C64BF" w:rsidRPr="00BE7E0A" w:rsidRDefault="004C64BF" w:rsidP="004C64BF">
      <w:pPr>
        <w:tabs>
          <w:tab w:val="left" w:pos="2160"/>
        </w:tabs>
        <w:jc w:val="both"/>
        <w:rPr>
          <w:sz w:val="23"/>
          <w:szCs w:val="23"/>
        </w:rPr>
      </w:pPr>
      <w:r w:rsidRPr="00BE7E0A">
        <w:rPr>
          <w:sz w:val="23"/>
          <w:szCs w:val="23"/>
        </w:rPr>
        <w:t xml:space="preserve">El primer aspecto de la carga probatoria (el contratante o asegurado no informó sobre del real estado del riesgo), </w:t>
      </w:r>
      <w:r w:rsidR="0081355B" w:rsidRPr="006E3750">
        <w:rPr>
          <w:sz w:val="23"/>
          <w:szCs w:val="23"/>
          <w:lang w:val="es-MX"/>
        </w:rPr>
        <w:t>…………………</w:t>
      </w:r>
      <w:r w:rsidRPr="00BE7E0A">
        <w:rPr>
          <w:sz w:val="23"/>
          <w:szCs w:val="23"/>
        </w:rPr>
        <w:t>lo acredita mediante la presentación del documento Declaración Personal de Salud suscrita por el  asegurado al momento de la contratación de la Póliza de Seguro, con ocasión de tomar el crédito correspondiente en el año 2020, en donde responde negativamente todas las preguntas relativas a su declaración de salud; y documentos médicos que evidencian las enfermedades diagnosticadas antes de la contratación de seguro.  Ello permite demostrar el engaño que vicia el perfeccionamiento formativo del contrato de seguro celebrado.</w:t>
      </w:r>
    </w:p>
    <w:p w14:paraId="163F5A73" w14:textId="54D509B9" w:rsidR="004C64BF" w:rsidRPr="00BE7E0A" w:rsidRDefault="004C64BF" w:rsidP="004C64BF">
      <w:pPr>
        <w:jc w:val="both"/>
        <w:rPr>
          <w:sz w:val="23"/>
          <w:szCs w:val="23"/>
        </w:rPr>
      </w:pPr>
      <w:r w:rsidRPr="00BE7E0A">
        <w:rPr>
          <w:noProof/>
          <w:sz w:val="23"/>
          <w:szCs w:val="23"/>
        </w:rPr>
        <w:drawing>
          <wp:inline distT="0" distB="0" distL="0" distR="0" wp14:anchorId="636408C0" wp14:editId="237EDC45">
            <wp:extent cx="5562600" cy="3105150"/>
            <wp:effectExtent l="0" t="0" r="0" b="0"/>
            <wp:docPr id="5" name="Imagen 5"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terfaz de usuario gráfica,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5641" t="38889" r="35336" b="32254"/>
                    <a:stretch>
                      <a:fillRect/>
                    </a:stretch>
                  </pic:blipFill>
                  <pic:spPr bwMode="auto">
                    <a:xfrm>
                      <a:off x="0" y="0"/>
                      <a:ext cx="5562600" cy="3105150"/>
                    </a:xfrm>
                    <a:prstGeom prst="rect">
                      <a:avLst/>
                    </a:prstGeom>
                    <a:noFill/>
                    <a:ln>
                      <a:noFill/>
                    </a:ln>
                  </pic:spPr>
                </pic:pic>
              </a:graphicData>
            </a:graphic>
          </wp:inline>
        </w:drawing>
      </w:r>
    </w:p>
    <w:p w14:paraId="177DA8AC" w14:textId="77777777" w:rsidR="004C64BF" w:rsidRPr="00BE7E0A" w:rsidRDefault="004C64BF" w:rsidP="004C64BF">
      <w:pPr>
        <w:tabs>
          <w:tab w:val="left" w:pos="709"/>
          <w:tab w:val="left" w:pos="2160"/>
        </w:tabs>
        <w:ind w:left="720" w:hanging="720"/>
        <w:jc w:val="both"/>
        <w:rPr>
          <w:sz w:val="23"/>
          <w:szCs w:val="23"/>
        </w:rPr>
      </w:pPr>
    </w:p>
    <w:p w14:paraId="4ABC9F7B" w14:textId="7140C4FD" w:rsidR="004C64BF" w:rsidRPr="00BE7E0A" w:rsidRDefault="004C64BF" w:rsidP="004C64BF">
      <w:pPr>
        <w:tabs>
          <w:tab w:val="left" w:pos="2160"/>
        </w:tabs>
        <w:jc w:val="both"/>
        <w:rPr>
          <w:sz w:val="23"/>
          <w:szCs w:val="23"/>
        </w:rPr>
      </w:pPr>
      <w:r w:rsidRPr="00BE7E0A">
        <w:rPr>
          <w:sz w:val="23"/>
          <w:szCs w:val="23"/>
        </w:rPr>
        <w:t>Merece destacarse que, en la segunda página de la solicitud de seguro presentada por la propia reclamante, se indica lo siguiente:</w:t>
      </w:r>
    </w:p>
    <w:p w14:paraId="5CD22022" w14:textId="77777777" w:rsidR="004C64BF" w:rsidRPr="00BE7E0A" w:rsidRDefault="004C64BF" w:rsidP="004C64BF">
      <w:pPr>
        <w:tabs>
          <w:tab w:val="left" w:pos="2160"/>
        </w:tabs>
        <w:jc w:val="both"/>
        <w:rPr>
          <w:sz w:val="23"/>
          <w:szCs w:val="23"/>
        </w:rPr>
      </w:pPr>
    </w:p>
    <w:p w14:paraId="413F1916" w14:textId="35025530" w:rsidR="004C64BF" w:rsidRPr="00BE7E0A" w:rsidRDefault="004C64BF" w:rsidP="004C64BF">
      <w:pPr>
        <w:tabs>
          <w:tab w:val="left" w:pos="709"/>
          <w:tab w:val="left" w:pos="2160"/>
        </w:tabs>
        <w:ind w:left="720" w:hanging="720"/>
        <w:jc w:val="both"/>
        <w:rPr>
          <w:sz w:val="23"/>
          <w:szCs w:val="23"/>
        </w:rPr>
      </w:pPr>
      <w:r w:rsidRPr="00BE7E0A">
        <w:rPr>
          <w:noProof/>
          <w:sz w:val="23"/>
          <w:szCs w:val="23"/>
        </w:rPr>
        <w:lastRenderedPageBreak/>
        <w:drawing>
          <wp:inline distT="0" distB="0" distL="0" distR="0" wp14:anchorId="0FB0A9E9" wp14:editId="49E6C437">
            <wp:extent cx="5580380" cy="1231900"/>
            <wp:effectExtent l="0" t="0" r="1270" b="6350"/>
            <wp:docPr id="4" name="Imagen 4"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Una captura de pantalla de una computador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l="31229" t="26855" r="31093" b="58357"/>
                    <a:stretch>
                      <a:fillRect/>
                    </a:stretch>
                  </pic:blipFill>
                  <pic:spPr bwMode="auto">
                    <a:xfrm>
                      <a:off x="0" y="0"/>
                      <a:ext cx="5580380" cy="1231900"/>
                    </a:xfrm>
                    <a:prstGeom prst="rect">
                      <a:avLst/>
                    </a:prstGeom>
                    <a:noFill/>
                    <a:ln>
                      <a:noFill/>
                    </a:ln>
                  </pic:spPr>
                </pic:pic>
              </a:graphicData>
            </a:graphic>
          </wp:inline>
        </w:drawing>
      </w:r>
    </w:p>
    <w:p w14:paraId="35ABE6BF" w14:textId="77777777" w:rsidR="004C64BF" w:rsidRPr="00BE7E0A" w:rsidRDefault="004C64BF" w:rsidP="004C64BF">
      <w:pPr>
        <w:tabs>
          <w:tab w:val="left" w:pos="2160"/>
        </w:tabs>
        <w:jc w:val="both"/>
        <w:rPr>
          <w:sz w:val="23"/>
          <w:szCs w:val="23"/>
        </w:rPr>
      </w:pPr>
    </w:p>
    <w:p w14:paraId="011F8570" w14:textId="314EC36C" w:rsidR="004C64BF" w:rsidRPr="00BE7E0A" w:rsidRDefault="004C64BF" w:rsidP="004C64BF">
      <w:pPr>
        <w:tabs>
          <w:tab w:val="left" w:pos="2160"/>
        </w:tabs>
        <w:jc w:val="both"/>
        <w:rPr>
          <w:i/>
          <w:iCs/>
          <w:sz w:val="23"/>
          <w:szCs w:val="23"/>
        </w:rPr>
      </w:pPr>
      <w:r w:rsidRPr="00BE7E0A">
        <w:rPr>
          <w:sz w:val="23"/>
          <w:szCs w:val="23"/>
        </w:rPr>
        <w:t xml:space="preserve">Para una mejor lectura se transcribe la primera declaración: </w:t>
      </w:r>
      <w:r w:rsidRPr="00BE7E0A">
        <w:rPr>
          <w:i/>
          <w:iCs/>
          <w:sz w:val="23"/>
          <w:szCs w:val="23"/>
        </w:rPr>
        <w:t xml:space="preserve">“Declaramos que la información </w:t>
      </w:r>
    </w:p>
    <w:p w14:paraId="2CB22DF2" w14:textId="0427ACDE" w:rsidR="004C64BF" w:rsidRPr="00BE7E0A" w:rsidRDefault="004C64BF" w:rsidP="004C64BF">
      <w:pPr>
        <w:tabs>
          <w:tab w:val="left" w:pos="2160"/>
        </w:tabs>
        <w:jc w:val="both"/>
        <w:rPr>
          <w:i/>
          <w:iCs/>
          <w:sz w:val="23"/>
          <w:szCs w:val="23"/>
        </w:rPr>
      </w:pPr>
      <w:r w:rsidRPr="00BE7E0A">
        <w:rPr>
          <w:i/>
          <w:iCs/>
          <w:sz w:val="23"/>
          <w:szCs w:val="23"/>
        </w:rPr>
        <w:t xml:space="preserve">suministrada y contenida en la presente declaración es verídica reconociendo que la misma constituye la base del contrato de seguro. De este modo, la reticencia y/o declaración inexacta de circunstancias conocidas por el contratante y/o asegurado que hubiese impedido el contrato o modificado sus condiciones si el asegurador hubiese sido informado del verdadero estado del riesgo, hace nulo el contrato si media dolo o culpa inexcusable del contratante y/o asegurado (…). “ </w:t>
      </w:r>
    </w:p>
    <w:p w14:paraId="4A99654B" w14:textId="77777777" w:rsidR="004C64BF" w:rsidRPr="00BE7E0A" w:rsidRDefault="004C64BF" w:rsidP="004C64BF">
      <w:pPr>
        <w:tabs>
          <w:tab w:val="left" w:pos="2160"/>
        </w:tabs>
        <w:jc w:val="both"/>
        <w:rPr>
          <w:i/>
          <w:iCs/>
          <w:sz w:val="23"/>
          <w:szCs w:val="23"/>
        </w:rPr>
      </w:pPr>
    </w:p>
    <w:p w14:paraId="79CFD9EA" w14:textId="77777777" w:rsidR="004C64BF" w:rsidRPr="00BE7E0A" w:rsidRDefault="004C64BF" w:rsidP="004C64BF">
      <w:pPr>
        <w:tabs>
          <w:tab w:val="left" w:pos="2160"/>
        </w:tabs>
        <w:jc w:val="both"/>
        <w:rPr>
          <w:sz w:val="23"/>
          <w:szCs w:val="23"/>
        </w:rPr>
      </w:pPr>
      <w:r w:rsidRPr="00BE7E0A">
        <w:rPr>
          <w:sz w:val="23"/>
          <w:szCs w:val="23"/>
        </w:rPr>
        <w:t xml:space="preserve">Y adicionalmente en el certificado de seguro suscrito por el asegurado, en el acápite “Asegurados” consta además lo siguiente: </w:t>
      </w:r>
      <w:r w:rsidRPr="00BE7E0A">
        <w:rPr>
          <w:i/>
          <w:iCs/>
          <w:sz w:val="23"/>
          <w:szCs w:val="23"/>
        </w:rPr>
        <w:t xml:space="preserve">“En caso </w:t>
      </w:r>
      <w:r w:rsidRPr="00BE7E0A">
        <w:rPr>
          <w:sz w:val="23"/>
          <w:szCs w:val="23"/>
        </w:rPr>
        <w:t>el</w:t>
      </w:r>
      <w:r w:rsidRPr="00BE7E0A">
        <w:rPr>
          <w:i/>
          <w:iCs/>
          <w:sz w:val="23"/>
          <w:szCs w:val="23"/>
        </w:rPr>
        <w:t xml:space="preserve"> asegurado incurra en reticencia o declaración inexacta dolosa, el contrato de seguro deviene en nulo, conforma a lo establecido en el artículo (…) y por ende se pierde todo derecho indemnizatorio (…)”</w:t>
      </w:r>
      <w:r w:rsidRPr="00BE7E0A">
        <w:rPr>
          <w:sz w:val="23"/>
          <w:szCs w:val="23"/>
        </w:rPr>
        <w:t>:</w:t>
      </w:r>
    </w:p>
    <w:p w14:paraId="35E7E6E3" w14:textId="77777777" w:rsidR="004C64BF" w:rsidRPr="00BE7E0A" w:rsidRDefault="004C64BF" w:rsidP="004C64BF">
      <w:pPr>
        <w:tabs>
          <w:tab w:val="left" w:pos="2160"/>
        </w:tabs>
        <w:jc w:val="both"/>
        <w:rPr>
          <w:i/>
          <w:iCs/>
          <w:sz w:val="23"/>
          <w:szCs w:val="23"/>
        </w:rPr>
      </w:pPr>
      <w:r w:rsidRPr="00BE7E0A">
        <w:rPr>
          <w:i/>
          <w:iCs/>
          <w:sz w:val="23"/>
          <w:szCs w:val="23"/>
        </w:rPr>
        <w:t xml:space="preserve"> </w:t>
      </w:r>
    </w:p>
    <w:p w14:paraId="1C915621" w14:textId="77777777" w:rsidR="004C64BF" w:rsidRPr="00BE7E0A" w:rsidRDefault="004C64BF" w:rsidP="004C64BF">
      <w:pPr>
        <w:tabs>
          <w:tab w:val="left" w:pos="709"/>
          <w:tab w:val="left" w:pos="2160"/>
        </w:tabs>
        <w:jc w:val="both"/>
        <w:rPr>
          <w:b/>
          <w:bCs/>
          <w:i/>
          <w:iCs/>
          <w:sz w:val="23"/>
          <w:szCs w:val="23"/>
          <w:lang w:val="es-MX"/>
        </w:rPr>
      </w:pPr>
      <w:r w:rsidRPr="00BE7E0A">
        <w:rPr>
          <w:b/>
          <w:bCs/>
          <w:i/>
          <w:iCs/>
          <w:sz w:val="23"/>
          <w:szCs w:val="23"/>
          <w:lang w:val="es-MX"/>
        </w:rPr>
        <w:t xml:space="preserve">7.2. </w:t>
      </w:r>
      <w:r w:rsidRPr="00BE7E0A">
        <w:rPr>
          <w:b/>
          <w:bCs/>
          <w:i/>
          <w:iCs/>
          <w:sz w:val="23"/>
          <w:szCs w:val="23"/>
          <w:lang w:val="es-MX"/>
        </w:rPr>
        <w:tab/>
        <w:t xml:space="preserve">Existencia de dolo o culpa inexcusable: </w:t>
      </w:r>
    </w:p>
    <w:p w14:paraId="0EA1E44B" w14:textId="77777777" w:rsidR="004C64BF" w:rsidRPr="00BE7E0A" w:rsidRDefault="004C64BF" w:rsidP="004C64BF">
      <w:pPr>
        <w:tabs>
          <w:tab w:val="left" w:pos="709"/>
          <w:tab w:val="left" w:pos="2160"/>
        </w:tabs>
        <w:jc w:val="both"/>
        <w:rPr>
          <w:sz w:val="23"/>
          <w:szCs w:val="23"/>
          <w:lang w:val="es-PE"/>
        </w:rPr>
      </w:pPr>
      <w:r w:rsidRPr="00BE7E0A">
        <w:rPr>
          <w:sz w:val="23"/>
          <w:szCs w:val="23"/>
        </w:rPr>
        <w:t>El segundo aspecto de la carga probatoria (el contratante o asegurado incurrió en dolo o culpa inexcusable) corresponde una calificación jurídica de la actuación seguida; debe demostrarse la intencionalidad (dolo) o una culpa grave, atendiendo a las circunstancias del caso concreto (dolo próximo o culpa inexcusable). La aseguradora considera que se ha incurrido en dolo por cuanto no se trata de una omisión no advertida, sino que existió una pregunta expresa y así lo refirió en la audiencia de vista.</w:t>
      </w:r>
    </w:p>
    <w:p w14:paraId="73BFBC7A" w14:textId="77777777" w:rsidR="004C64BF" w:rsidRPr="00BE7E0A" w:rsidRDefault="004C64BF" w:rsidP="004C64BF">
      <w:pPr>
        <w:tabs>
          <w:tab w:val="left" w:pos="709"/>
          <w:tab w:val="left" w:pos="2160"/>
        </w:tabs>
        <w:ind w:left="720" w:hanging="720"/>
        <w:jc w:val="both"/>
        <w:rPr>
          <w:sz w:val="23"/>
          <w:szCs w:val="23"/>
        </w:rPr>
      </w:pPr>
    </w:p>
    <w:p w14:paraId="1DAE8D1B" w14:textId="77777777" w:rsidR="004C64BF" w:rsidRPr="00BE7E0A" w:rsidRDefault="004C64BF" w:rsidP="004C64BF">
      <w:pPr>
        <w:tabs>
          <w:tab w:val="left" w:pos="709"/>
          <w:tab w:val="left" w:pos="2160"/>
        </w:tabs>
        <w:jc w:val="both"/>
        <w:rPr>
          <w:sz w:val="23"/>
          <w:szCs w:val="23"/>
        </w:rPr>
      </w:pPr>
      <w:r w:rsidRPr="00BE7E0A">
        <w:rPr>
          <w:sz w:val="23"/>
          <w:szCs w:val="23"/>
        </w:rPr>
        <w:t>Por su parte, la reclamante considera que no existe dolo por cuanto la hipertensión y la hepatitis fueron diagnosticadas hace años, se refirió incluso que la hipertensión ya había sido superada. No obstante, la hipertensión es una condición que conforme se aprecia de la historia clínica venía siendo tratada, y es claro que la pregunta es expresa cuando indica si “ha requerido de atención médica de presión arterial”, no se hace una pregunta referida a si se trata de una condición antigua o reciente, ni siquiera a si ha sido superada o no, sino a si ha requerido de atención.</w:t>
      </w:r>
    </w:p>
    <w:p w14:paraId="4C681728" w14:textId="77777777" w:rsidR="004C64BF" w:rsidRPr="00BE7E0A" w:rsidRDefault="004C64BF" w:rsidP="004C64BF">
      <w:pPr>
        <w:tabs>
          <w:tab w:val="left" w:pos="709"/>
          <w:tab w:val="left" w:pos="2160"/>
        </w:tabs>
        <w:jc w:val="both"/>
        <w:rPr>
          <w:sz w:val="23"/>
          <w:szCs w:val="23"/>
        </w:rPr>
      </w:pPr>
    </w:p>
    <w:p w14:paraId="504D24E9" w14:textId="77777777" w:rsidR="004C64BF" w:rsidRPr="00BE7E0A" w:rsidRDefault="004C64BF" w:rsidP="004C64BF">
      <w:pPr>
        <w:tabs>
          <w:tab w:val="left" w:pos="709"/>
          <w:tab w:val="left" w:pos="2160"/>
        </w:tabs>
        <w:jc w:val="both"/>
        <w:rPr>
          <w:sz w:val="23"/>
          <w:szCs w:val="23"/>
        </w:rPr>
      </w:pPr>
      <w:r w:rsidRPr="00BE7E0A">
        <w:rPr>
          <w:sz w:val="23"/>
          <w:szCs w:val="23"/>
        </w:rPr>
        <w:t>En particular, se aprecia lo siguiente de uno de los documentos que obran en el expediente:</w:t>
      </w:r>
    </w:p>
    <w:p w14:paraId="3A8DCE25" w14:textId="6CE5D873" w:rsidR="004C64BF" w:rsidRPr="00BE7E0A" w:rsidRDefault="0081355B" w:rsidP="0081355B">
      <w:pPr>
        <w:tabs>
          <w:tab w:val="left" w:pos="709"/>
          <w:tab w:val="left" w:pos="2160"/>
        </w:tabs>
        <w:ind w:left="720" w:hanging="720"/>
        <w:jc w:val="center"/>
        <w:rPr>
          <w:sz w:val="23"/>
          <w:szCs w:val="23"/>
        </w:rPr>
      </w:pPr>
      <w:r w:rsidRPr="006E3750">
        <w:rPr>
          <w:sz w:val="23"/>
          <w:szCs w:val="23"/>
          <w:lang w:val="es-MX"/>
        </w:rPr>
        <w:t>…………………</w:t>
      </w:r>
      <w:r w:rsidR="004C64BF" w:rsidRPr="00BE7E0A">
        <w:rPr>
          <w:sz w:val="23"/>
          <w:szCs w:val="23"/>
        </w:rPr>
        <w:br/>
      </w:r>
    </w:p>
    <w:p w14:paraId="6D2A3090" w14:textId="4DAA5FA0" w:rsidR="004C64BF" w:rsidRPr="00BE7E0A" w:rsidRDefault="004C64BF" w:rsidP="0081355B">
      <w:pPr>
        <w:tabs>
          <w:tab w:val="left" w:pos="709"/>
          <w:tab w:val="left" w:pos="2160"/>
        </w:tabs>
        <w:ind w:left="720" w:hanging="720"/>
        <w:jc w:val="center"/>
        <w:rPr>
          <w:sz w:val="23"/>
          <w:szCs w:val="23"/>
        </w:rPr>
      </w:pPr>
      <w:r w:rsidRPr="00BE7E0A">
        <w:rPr>
          <w:sz w:val="23"/>
          <w:szCs w:val="23"/>
        </w:rPr>
        <w:t>(…)</w:t>
      </w:r>
    </w:p>
    <w:p w14:paraId="0695FD53" w14:textId="49A803E6" w:rsidR="004C64BF" w:rsidRPr="00BE7E0A" w:rsidRDefault="0081355B" w:rsidP="0081355B">
      <w:pPr>
        <w:tabs>
          <w:tab w:val="left" w:pos="709"/>
          <w:tab w:val="left" w:pos="2160"/>
        </w:tabs>
        <w:ind w:left="720" w:hanging="720"/>
        <w:jc w:val="center"/>
        <w:rPr>
          <w:sz w:val="23"/>
          <w:szCs w:val="23"/>
        </w:rPr>
      </w:pPr>
      <w:r w:rsidRPr="006E3750">
        <w:rPr>
          <w:sz w:val="23"/>
          <w:szCs w:val="23"/>
          <w:lang w:val="es-MX"/>
        </w:rPr>
        <w:t>…………………</w:t>
      </w:r>
    </w:p>
    <w:p w14:paraId="43968F3F" w14:textId="77777777" w:rsidR="004C64BF" w:rsidRPr="00BE7E0A" w:rsidRDefault="004C64BF" w:rsidP="004C64BF">
      <w:pPr>
        <w:tabs>
          <w:tab w:val="left" w:pos="709"/>
          <w:tab w:val="left" w:pos="2160"/>
        </w:tabs>
        <w:ind w:left="720" w:hanging="720"/>
        <w:jc w:val="both"/>
        <w:rPr>
          <w:sz w:val="23"/>
          <w:szCs w:val="23"/>
        </w:rPr>
      </w:pPr>
    </w:p>
    <w:p w14:paraId="43241A1E" w14:textId="77777777" w:rsidR="004C64BF" w:rsidRPr="00BE7E0A" w:rsidRDefault="004C64BF" w:rsidP="004C64BF">
      <w:pPr>
        <w:tabs>
          <w:tab w:val="left" w:pos="709"/>
          <w:tab w:val="left" w:pos="2160"/>
        </w:tabs>
        <w:jc w:val="both"/>
        <w:rPr>
          <w:sz w:val="23"/>
          <w:szCs w:val="23"/>
        </w:rPr>
      </w:pPr>
      <w:r w:rsidRPr="00BE7E0A">
        <w:rPr>
          <w:sz w:val="23"/>
          <w:szCs w:val="23"/>
        </w:rPr>
        <w:t>Los antecedentes médicos sí eran relevantes para la aseguradora, y hubieran podido determinar un cambio de condiciones. En este sentido, este colegiado comparte la apreciación de la aseguradora, más aún cuando existió una advertencia expresa tanto en la solicitud y declaración de salud, como en el certificado de seguro, y máxime cuando hay una asimetría informativa en la que el dominio de la información lo tiene el contratante o asegurado, siendo que la aseguradora acepta la declaración de salud y contrata en el marco de una buena fe (principio rector en contratación, y seguros en particular) llevada al extremo máximo: ubérrima buena fe.</w:t>
      </w:r>
    </w:p>
    <w:p w14:paraId="5B0AB6E1" w14:textId="77777777" w:rsidR="004C64BF" w:rsidRPr="00BE7E0A" w:rsidRDefault="004C64BF" w:rsidP="004C64BF">
      <w:pPr>
        <w:tabs>
          <w:tab w:val="left" w:pos="709"/>
          <w:tab w:val="left" w:pos="2160"/>
        </w:tabs>
        <w:jc w:val="both"/>
        <w:rPr>
          <w:sz w:val="23"/>
          <w:szCs w:val="23"/>
        </w:rPr>
      </w:pPr>
    </w:p>
    <w:p w14:paraId="4516C89A" w14:textId="77777777" w:rsidR="004C64BF" w:rsidRPr="00BE7E0A" w:rsidRDefault="004C64BF" w:rsidP="004C64BF">
      <w:pPr>
        <w:tabs>
          <w:tab w:val="left" w:pos="709"/>
          <w:tab w:val="left" w:pos="2160"/>
        </w:tabs>
        <w:jc w:val="both"/>
        <w:rPr>
          <w:sz w:val="23"/>
          <w:szCs w:val="23"/>
        </w:rPr>
      </w:pPr>
      <w:r w:rsidRPr="00BE7E0A">
        <w:rPr>
          <w:sz w:val="23"/>
          <w:szCs w:val="23"/>
        </w:rPr>
        <w:t>Respecto al artículo 15 invocado por la reclamante referido a la subsistencia del contrato de seguro, el mismo solo aplica cuando no media dolo o cuando la declaración inexacta no dolosa no influyó en la producción del siniestro. Cabe señalar que en este caso el asegurado fallece lamentablemente de covid-19, siendo que la hipertensión arterial que presentaba pudo haber influido en el lamentable desenlace, pues ha sido referida por varios estudios como una de las condiciones que influyen en un desenlace fatal de Covid-19, empeorando su pronóstico</w:t>
      </w:r>
      <w:r w:rsidRPr="00BE7E0A">
        <w:rPr>
          <w:rStyle w:val="Refdenotaalpie"/>
          <w:sz w:val="23"/>
          <w:szCs w:val="23"/>
        </w:rPr>
        <w:footnoteReference w:id="1"/>
      </w:r>
    </w:p>
    <w:p w14:paraId="161AA73F" w14:textId="77777777" w:rsidR="004C64BF" w:rsidRPr="00BE7E0A" w:rsidRDefault="004C64BF" w:rsidP="004C64BF">
      <w:pPr>
        <w:tabs>
          <w:tab w:val="left" w:pos="709"/>
          <w:tab w:val="left" w:pos="2160"/>
        </w:tabs>
        <w:jc w:val="both"/>
        <w:rPr>
          <w:sz w:val="23"/>
          <w:szCs w:val="23"/>
        </w:rPr>
      </w:pPr>
    </w:p>
    <w:p w14:paraId="178ED390" w14:textId="77777777" w:rsidR="004C64BF" w:rsidRPr="00BE7E0A" w:rsidRDefault="004C64BF" w:rsidP="004C64BF">
      <w:pPr>
        <w:tabs>
          <w:tab w:val="left" w:pos="2160"/>
        </w:tabs>
        <w:jc w:val="both"/>
        <w:rPr>
          <w:b/>
          <w:bCs/>
          <w:i/>
          <w:iCs/>
          <w:sz w:val="23"/>
          <w:szCs w:val="23"/>
          <w:lang w:val="es-MX"/>
        </w:rPr>
      </w:pPr>
      <w:r w:rsidRPr="00BE7E0A">
        <w:rPr>
          <w:b/>
          <w:bCs/>
          <w:i/>
          <w:iCs/>
          <w:sz w:val="23"/>
          <w:szCs w:val="23"/>
          <w:lang w:val="es-MX"/>
        </w:rPr>
        <w:t xml:space="preserve">7.3. Conocimiento sobreviviente e invocación dentro del plazo: </w:t>
      </w:r>
    </w:p>
    <w:p w14:paraId="5D56ED37" w14:textId="77777777" w:rsidR="004C64BF" w:rsidRPr="00BE7E0A" w:rsidRDefault="004C64BF" w:rsidP="004C64BF">
      <w:pPr>
        <w:tabs>
          <w:tab w:val="left" w:pos="709"/>
          <w:tab w:val="left" w:pos="2160"/>
        </w:tabs>
        <w:jc w:val="both"/>
        <w:rPr>
          <w:sz w:val="23"/>
          <w:szCs w:val="23"/>
          <w:lang w:val="es-PE"/>
        </w:rPr>
      </w:pPr>
      <w:r w:rsidRPr="00BE7E0A">
        <w:rPr>
          <w:sz w:val="23"/>
          <w:szCs w:val="23"/>
        </w:rPr>
        <w:t>El tercer aspecto de la carga probatoria (conocimiento sobreviniente de la aseguradora, esto es, luego de haberse celebrado el contrato de seguro), está probado, en tanto está acreditado que se accede a dicha información al tomar conocimiento de la Historia Clínica, luego del fallecimiento del asegurado</w:t>
      </w:r>
    </w:p>
    <w:p w14:paraId="6AD72FC5" w14:textId="77777777" w:rsidR="004C64BF" w:rsidRPr="00BE7E0A" w:rsidRDefault="004C64BF" w:rsidP="004C64BF">
      <w:pPr>
        <w:tabs>
          <w:tab w:val="left" w:pos="709"/>
          <w:tab w:val="left" w:pos="2160"/>
        </w:tabs>
        <w:jc w:val="both"/>
        <w:rPr>
          <w:sz w:val="23"/>
          <w:szCs w:val="23"/>
        </w:rPr>
      </w:pPr>
    </w:p>
    <w:p w14:paraId="5C507BC5" w14:textId="77777777" w:rsidR="004C64BF" w:rsidRPr="00BE7E0A" w:rsidRDefault="004C64BF" w:rsidP="004C64BF">
      <w:pPr>
        <w:tabs>
          <w:tab w:val="left" w:pos="709"/>
          <w:tab w:val="left" w:pos="2160"/>
        </w:tabs>
        <w:jc w:val="both"/>
        <w:rPr>
          <w:sz w:val="23"/>
          <w:szCs w:val="23"/>
        </w:rPr>
      </w:pPr>
      <w:r w:rsidRPr="00BE7E0A">
        <w:rPr>
          <w:sz w:val="23"/>
          <w:szCs w:val="23"/>
        </w:rPr>
        <w:t xml:space="preserve">Por último, tratándose del cuarto aspecto de la carga probatoria (oportunidad de la invocación de la reticencia: dentro de los treinta (30) días siguientes de la fecha en que se adquirió conocimiento del real estado del riesgo), está acreditado por el hecho de no haber sido controvertido, que el 07 de julio de 2021 se completó la documentación requerida para evaluar el siniestro, y con el cargo de la carta de rechazo de fecha 21 de julio de 2021. </w:t>
      </w:r>
    </w:p>
    <w:p w14:paraId="16A9214A" w14:textId="77777777" w:rsidR="004C64BF" w:rsidRPr="00BE7E0A" w:rsidRDefault="004C64BF" w:rsidP="004C64BF">
      <w:pPr>
        <w:tabs>
          <w:tab w:val="left" w:pos="709"/>
          <w:tab w:val="left" w:pos="2160"/>
        </w:tabs>
        <w:jc w:val="both"/>
        <w:rPr>
          <w:sz w:val="23"/>
          <w:szCs w:val="23"/>
        </w:rPr>
      </w:pPr>
    </w:p>
    <w:p w14:paraId="716EDCDC" w14:textId="77777777" w:rsidR="004C64BF" w:rsidRPr="00BE7E0A" w:rsidRDefault="004C64BF" w:rsidP="004C64BF">
      <w:pPr>
        <w:tabs>
          <w:tab w:val="left" w:pos="709"/>
          <w:tab w:val="left" w:pos="2160"/>
        </w:tabs>
        <w:jc w:val="both"/>
        <w:rPr>
          <w:sz w:val="23"/>
          <w:szCs w:val="23"/>
        </w:rPr>
      </w:pPr>
      <w:r w:rsidRPr="00BE7E0A">
        <w:rPr>
          <w:sz w:val="23"/>
          <w:szCs w:val="23"/>
        </w:rPr>
        <w:t>Por las consideraciones expuestas, este colegiado estima que resultan aplicables las consecuencias legales sancionadas en los artículos 11 y 12 de la Ley del Contrato de seguro, siendo que la culpa inexcusable (dolo próximo o lato) incurrido por el asegurado en su oportunidad conlleva a la nulidad insalvable del contrato de seguro.</w:t>
      </w:r>
    </w:p>
    <w:p w14:paraId="451BE0FA" w14:textId="77777777" w:rsidR="004C64BF" w:rsidRPr="00BE7E0A" w:rsidRDefault="004C64BF" w:rsidP="004C64BF">
      <w:pPr>
        <w:tabs>
          <w:tab w:val="left" w:pos="709"/>
          <w:tab w:val="left" w:pos="2160"/>
        </w:tabs>
        <w:jc w:val="both"/>
        <w:rPr>
          <w:sz w:val="23"/>
          <w:szCs w:val="23"/>
        </w:rPr>
      </w:pPr>
    </w:p>
    <w:p w14:paraId="5992B6CD" w14:textId="77777777" w:rsidR="004C64BF" w:rsidRPr="00BE7E0A" w:rsidRDefault="004C64BF" w:rsidP="004C64BF">
      <w:pPr>
        <w:tabs>
          <w:tab w:val="left" w:pos="709"/>
          <w:tab w:val="left" w:pos="2160"/>
        </w:tabs>
        <w:jc w:val="both"/>
        <w:rPr>
          <w:rStyle w:val="Textoennegrita"/>
          <w:b w:val="0"/>
          <w:sz w:val="23"/>
          <w:szCs w:val="23"/>
        </w:rPr>
      </w:pPr>
      <w:r w:rsidRPr="00BE7E0A">
        <w:rPr>
          <w:sz w:val="23"/>
          <w:szCs w:val="23"/>
        </w:rPr>
        <w:t>Concluyéndose en que, efectivamente la póliza de seguro contratada es nula por declaración reticente del asegurado, lo cual deriva en la ineficacia legal del contrato afectado</w:t>
      </w:r>
      <w:r w:rsidRPr="00BE7E0A">
        <w:rPr>
          <w:rStyle w:val="Textoennegrita"/>
          <w:b w:val="0"/>
          <w:sz w:val="23"/>
          <w:szCs w:val="23"/>
        </w:rPr>
        <w:t>.</w:t>
      </w:r>
    </w:p>
    <w:p w14:paraId="6C7BCA76" w14:textId="77777777" w:rsidR="004C64BF" w:rsidRPr="00BE7E0A" w:rsidRDefault="004C64BF" w:rsidP="004C64BF">
      <w:pPr>
        <w:tabs>
          <w:tab w:val="left" w:pos="2386"/>
        </w:tabs>
        <w:jc w:val="both"/>
        <w:outlineLvl w:val="0"/>
        <w:rPr>
          <w:b/>
          <w:sz w:val="23"/>
          <w:szCs w:val="23"/>
        </w:rPr>
      </w:pPr>
    </w:p>
    <w:p w14:paraId="6412F199" w14:textId="77777777" w:rsidR="004C64BF" w:rsidRPr="00BE7E0A" w:rsidRDefault="004C64BF" w:rsidP="004C64BF">
      <w:pPr>
        <w:tabs>
          <w:tab w:val="left" w:pos="2386"/>
        </w:tabs>
        <w:jc w:val="both"/>
        <w:outlineLvl w:val="0"/>
        <w:rPr>
          <w:b/>
          <w:sz w:val="23"/>
          <w:szCs w:val="23"/>
        </w:rPr>
      </w:pPr>
      <w:r w:rsidRPr="00BE7E0A">
        <w:rPr>
          <w:b/>
          <w:sz w:val="23"/>
          <w:szCs w:val="23"/>
        </w:rPr>
        <w:t xml:space="preserve">Atendiendo a lo expresado, este colegiado concluye su apreciación razonada y conjunta al amparo de lo establecido en su Reglamento, por lo que </w:t>
      </w:r>
    </w:p>
    <w:p w14:paraId="45CB679A" w14:textId="5462C8AC" w:rsidR="004C64BF" w:rsidRPr="00BE7E0A" w:rsidRDefault="004C64BF" w:rsidP="004C64BF">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b/>
          <w:bCs/>
          <w:sz w:val="23"/>
          <w:szCs w:val="23"/>
        </w:rPr>
      </w:pPr>
      <w:r w:rsidRPr="00BE7E0A">
        <w:rPr>
          <w:rFonts w:eastAsia="Arial Unicode MS"/>
          <w:b/>
          <w:bCs/>
          <w:sz w:val="23"/>
          <w:szCs w:val="23"/>
        </w:rPr>
        <w:t>Resuelve:</w:t>
      </w:r>
    </w:p>
    <w:p w14:paraId="6CB95B94" w14:textId="77777777" w:rsidR="004C64BF" w:rsidRPr="00BE7E0A" w:rsidRDefault="004C64BF" w:rsidP="004C64BF">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b/>
          <w:bCs/>
          <w:sz w:val="23"/>
          <w:szCs w:val="23"/>
        </w:rPr>
      </w:pPr>
    </w:p>
    <w:p w14:paraId="275263CD" w14:textId="3088FFD5" w:rsidR="004C64BF" w:rsidRPr="00BE7E0A" w:rsidRDefault="004C64BF" w:rsidP="004C64BF">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3"/>
          <w:szCs w:val="23"/>
        </w:rPr>
      </w:pPr>
      <w:r w:rsidRPr="00BE7E0A">
        <w:rPr>
          <w:rFonts w:eastAsia="Arial Unicode MS"/>
          <w:sz w:val="23"/>
          <w:szCs w:val="23"/>
        </w:rPr>
        <w:t xml:space="preserve">Declarar </w:t>
      </w:r>
      <w:r w:rsidRPr="00BE7E0A">
        <w:rPr>
          <w:rFonts w:eastAsia="Arial Unicode MS"/>
          <w:b/>
          <w:bCs/>
          <w:sz w:val="23"/>
          <w:szCs w:val="23"/>
        </w:rPr>
        <w:t>NULA</w:t>
      </w:r>
      <w:r w:rsidRPr="00BE7E0A">
        <w:rPr>
          <w:rFonts w:eastAsia="Arial Unicode MS"/>
          <w:sz w:val="23"/>
          <w:szCs w:val="23"/>
        </w:rPr>
        <w:t xml:space="preserve"> la afiliación del </w:t>
      </w:r>
      <w:r w:rsidR="0081355B" w:rsidRPr="006E3750">
        <w:rPr>
          <w:sz w:val="23"/>
          <w:szCs w:val="23"/>
          <w:lang w:val="es-MX"/>
        </w:rPr>
        <w:t>…………………</w:t>
      </w:r>
      <w:r w:rsidRPr="00BE7E0A">
        <w:rPr>
          <w:rFonts w:eastAsia="Arial Unicode MS"/>
          <w:sz w:val="23"/>
          <w:szCs w:val="23"/>
        </w:rPr>
        <w:t xml:space="preserve">al </w:t>
      </w:r>
      <w:r w:rsidRPr="00BE7E0A">
        <w:rPr>
          <w:b/>
          <w:sz w:val="23"/>
          <w:szCs w:val="23"/>
          <w:lang w:val="es-MX"/>
        </w:rPr>
        <w:t xml:space="preserve">SEGURO DE DESGRAVAMEN CMAC PIURA PÓLIZA Nº </w:t>
      </w:r>
      <w:r w:rsidR="0081355B" w:rsidRPr="006E3750">
        <w:rPr>
          <w:sz w:val="23"/>
          <w:szCs w:val="23"/>
          <w:lang w:val="es-MX"/>
        </w:rPr>
        <w:t>…………………</w:t>
      </w:r>
      <w:r w:rsidRPr="00BE7E0A">
        <w:rPr>
          <w:b/>
          <w:sz w:val="23"/>
          <w:szCs w:val="23"/>
          <w:lang w:val="es-MX"/>
        </w:rPr>
        <w:t>,</w:t>
      </w:r>
      <w:r w:rsidR="006B2BEB">
        <w:rPr>
          <w:b/>
          <w:sz w:val="23"/>
          <w:szCs w:val="23"/>
          <w:lang w:val="es-MX"/>
        </w:rPr>
        <w:t xml:space="preserve"> </w:t>
      </w:r>
      <w:r w:rsidRPr="00BE7E0A">
        <w:rPr>
          <w:sz w:val="23"/>
          <w:szCs w:val="23"/>
        </w:rPr>
        <w:t xml:space="preserve">y, por consiguiente, </w:t>
      </w:r>
      <w:r w:rsidRPr="00BE7E0A">
        <w:rPr>
          <w:b/>
          <w:bCs/>
          <w:sz w:val="23"/>
          <w:szCs w:val="23"/>
        </w:rPr>
        <w:t>IMPROCEDENTE</w:t>
      </w:r>
      <w:r w:rsidRPr="00BE7E0A">
        <w:rPr>
          <w:sz w:val="23"/>
          <w:szCs w:val="23"/>
        </w:rPr>
        <w:t xml:space="preserve"> </w:t>
      </w:r>
      <w:r w:rsidRPr="00BE7E0A">
        <w:rPr>
          <w:rFonts w:eastAsia="Arial Unicode MS"/>
          <w:sz w:val="23"/>
          <w:szCs w:val="23"/>
        </w:rPr>
        <w:t xml:space="preserve">la reclamación interpuesta por doña </w:t>
      </w:r>
      <w:r w:rsidR="0081355B" w:rsidRPr="006E3750">
        <w:rPr>
          <w:sz w:val="23"/>
          <w:szCs w:val="23"/>
          <w:lang w:val="es-MX"/>
        </w:rPr>
        <w:t>…………………</w:t>
      </w:r>
      <w:r w:rsidRPr="00BE7E0A">
        <w:rPr>
          <w:sz w:val="23"/>
          <w:szCs w:val="23"/>
        </w:rPr>
        <w:t xml:space="preserve">contra </w:t>
      </w:r>
      <w:r w:rsidR="0081355B" w:rsidRPr="006E3750">
        <w:rPr>
          <w:sz w:val="23"/>
          <w:szCs w:val="23"/>
          <w:lang w:val="es-MX"/>
        </w:rPr>
        <w:t>…………………</w:t>
      </w:r>
      <w:r w:rsidRPr="00BE7E0A">
        <w:rPr>
          <w:b/>
          <w:bCs/>
          <w:sz w:val="23"/>
          <w:szCs w:val="23"/>
        </w:rPr>
        <w:t>S</w:t>
      </w:r>
      <w:r w:rsidRPr="00BE7E0A">
        <w:rPr>
          <w:sz w:val="23"/>
          <w:szCs w:val="23"/>
        </w:rPr>
        <w:t xml:space="preserve">, </w:t>
      </w:r>
      <w:r w:rsidRPr="00BE7E0A">
        <w:rPr>
          <w:rFonts w:eastAsia="Arial Unicode MS"/>
          <w:sz w:val="23"/>
          <w:szCs w:val="23"/>
        </w:rPr>
        <w:t>q</w:t>
      </w:r>
      <w:r w:rsidRPr="00BE7E0A">
        <w:rPr>
          <w:sz w:val="23"/>
          <w:szCs w:val="23"/>
        </w:rPr>
        <w:t>uedando a salvo su derecho de recurrir a las instancias que considere pertinentes.</w:t>
      </w:r>
    </w:p>
    <w:p w14:paraId="72CE599F" w14:textId="77777777" w:rsidR="00150853" w:rsidRPr="00BE7E0A" w:rsidRDefault="00150853" w:rsidP="00150853">
      <w:pPr>
        <w:jc w:val="both"/>
        <w:rPr>
          <w:sz w:val="23"/>
          <w:szCs w:val="23"/>
        </w:rPr>
      </w:pPr>
    </w:p>
    <w:p w14:paraId="48C7895B" w14:textId="00B74A27" w:rsidR="001631D6" w:rsidRPr="00BE7E0A" w:rsidRDefault="00F15FBA" w:rsidP="00F202DC">
      <w:pPr>
        <w:jc w:val="right"/>
        <w:outlineLvl w:val="0"/>
        <w:rPr>
          <w:sz w:val="23"/>
          <w:szCs w:val="23"/>
          <w:lang w:val="es-PE"/>
        </w:rPr>
      </w:pPr>
      <w:r w:rsidRPr="00BE7E0A">
        <w:rPr>
          <w:sz w:val="23"/>
          <w:szCs w:val="23"/>
          <w:lang w:val="es-PE"/>
        </w:rPr>
        <w:t xml:space="preserve">Lima, </w:t>
      </w:r>
      <w:r w:rsidR="00C45FF3" w:rsidRPr="00BE7E0A">
        <w:rPr>
          <w:sz w:val="23"/>
          <w:szCs w:val="23"/>
        </w:rPr>
        <w:t>0</w:t>
      </w:r>
      <w:r w:rsidR="00BE7E0A" w:rsidRPr="00BE7E0A">
        <w:rPr>
          <w:sz w:val="23"/>
          <w:szCs w:val="23"/>
        </w:rPr>
        <w:t>9</w:t>
      </w:r>
      <w:r w:rsidR="00195646" w:rsidRPr="00BE7E0A">
        <w:rPr>
          <w:sz w:val="23"/>
          <w:szCs w:val="23"/>
        </w:rPr>
        <w:t xml:space="preserve"> </w:t>
      </w:r>
      <w:r w:rsidRPr="00BE7E0A">
        <w:rPr>
          <w:sz w:val="23"/>
          <w:szCs w:val="23"/>
          <w:lang w:val="es-PE"/>
        </w:rPr>
        <w:t>de</w:t>
      </w:r>
      <w:r w:rsidR="001631D6" w:rsidRPr="00BE7E0A">
        <w:rPr>
          <w:sz w:val="23"/>
          <w:szCs w:val="23"/>
          <w:lang w:val="es-PE"/>
        </w:rPr>
        <w:t xml:space="preserve"> </w:t>
      </w:r>
      <w:r w:rsidR="00C45FF3" w:rsidRPr="00BE7E0A">
        <w:rPr>
          <w:sz w:val="23"/>
          <w:szCs w:val="23"/>
          <w:lang w:val="es-PE"/>
        </w:rPr>
        <w:t>febrero</w:t>
      </w:r>
      <w:r w:rsidR="001631D6" w:rsidRPr="00BE7E0A">
        <w:rPr>
          <w:sz w:val="23"/>
          <w:szCs w:val="23"/>
          <w:lang w:val="es-PE"/>
        </w:rPr>
        <w:t xml:space="preserve"> </w:t>
      </w:r>
      <w:r w:rsidRPr="00BE7E0A">
        <w:rPr>
          <w:sz w:val="23"/>
          <w:szCs w:val="23"/>
          <w:lang w:val="es-PE"/>
        </w:rPr>
        <w:t>de 20</w:t>
      </w:r>
      <w:r w:rsidR="001631D6" w:rsidRPr="00BE7E0A">
        <w:rPr>
          <w:sz w:val="23"/>
          <w:szCs w:val="23"/>
          <w:lang w:val="es-PE"/>
        </w:rPr>
        <w:t>2</w:t>
      </w:r>
      <w:r w:rsidR="00444D29" w:rsidRPr="00BE7E0A">
        <w:rPr>
          <w:sz w:val="23"/>
          <w:szCs w:val="23"/>
          <w:lang w:val="es-PE"/>
        </w:rPr>
        <w:t>2</w:t>
      </w:r>
    </w:p>
    <w:p w14:paraId="55EA6443" w14:textId="77777777" w:rsidR="00F202DC" w:rsidRPr="00BE7E0A" w:rsidRDefault="00F202DC" w:rsidP="001631D6">
      <w:pPr>
        <w:jc w:val="both"/>
        <w:rPr>
          <w:sz w:val="23"/>
          <w:szCs w:val="23"/>
        </w:rPr>
      </w:pPr>
    </w:p>
    <w:p w14:paraId="265ABE8B" w14:textId="2FC53CE0" w:rsidR="001631D6" w:rsidRPr="00BE7E0A" w:rsidRDefault="001631D6" w:rsidP="001631D6">
      <w:pPr>
        <w:jc w:val="both"/>
        <w:rPr>
          <w:b/>
          <w:bCs/>
          <w:i/>
          <w:iCs/>
          <w:sz w:val="23"/>
          <w:szCs w:val="23"/>
          <w:lang w:val="es-ES_tradnl"/>
        </w:rPr>
      </w:pPr>
      <w:r w:rsidRPr="00BE7E0A">
        <w:rPr>
          <w:b/>
          <w:bCs/>
          <w:i/>
          <w:iCs/>
          <w:sz w:val="23"/>
          <w:szCs w:val="23"/>
          <w:lang w:val="es-ES_tradnl"/>
        </w:rPr>
        <w:t>La Secretaría Técnica certifica que la presente resolución cuenta con el voto de los vocales cuyos nombres figuran en el presente documento.</w:t>
      </w:r>
    </w:p>
    <w:p w14:paraId="024CA4C1" w14:textId="77777777" w:rsidR="001631D6" w:rsidRPr="00BE7E0A" w:rsidRDefault="001631D6" w:rsidP="001631D6">
      <w:pPr>
        <w:jc w:val="both"/>
        <w:rPr>
          <w:b/>
          <w:bCs/>
          <w:i/>
          <w:iCs/>
          <w:sz w:val="23"/>
          <w:szCs w:val="23"/>
          <w:lang w:val="es-ES_tradnl"/>
        </w:rPr>
      </w:pPr>
    </w:p>
    <w:p w14:paraId="7E9839D4" w14:textId="5DB01808" w:rsidR="003E6BA6" w:rsidRPr="00BE7E0A" w:rsidRDefault="003E6BA6" w:rsidP="003E6BA6">
      <w:pPr>
        <w:spacing w:line="360" w:lineRule="auto"/>
        <w:jc w:val="center"/>
        <w:rPr>
          <w:b/>
          <w:bCs/>
          <w:sz w:val="23"/>
          <w:szCs w:val="23"/>
        </w:rPr>
      </w:pPr>
      <w:r w:rsidRPr="00BE7E0A">
        <w:rPr>
          <w:b/>
          <w:bCs/>
          <w:sz w:val="23"/>
          <w:szCs w:val="23"/>
        </w:rPr>
        <w:t>María Eugenia Valdez Fernández Baca – Presidente</w:t>
      </w:r>
    </w:p>
    <w:p w14:paraId="515933D0" w14:textId="2ADBD884" w:rsidR="001631D6" w:rsidRPr="00BE7E0A" w:rsidRDefault="001631D6" w:rsidP="001631D6">
      <w:pPr>
        <w:spacing w:line="360" w:lineRule="auto"/>
        <w:jc w:val="center"/>
        <w:rPr>
          <w:b/>
          <w:bCs/>
          <w:sz w:val="23"/>
          <w:szCs w:val="23"/>
        </w:rPr>
      </w:pPr>
      <w:r w:rsidRPr="00BE7E0A">
        <w:rPr>
          <w:b/>
          <w:bCs/>
          <w:sz w:val="23"/>
          <w:szCs w:val="23"/>
        </w:rPr>
        <w:t xml:space="preserve">Rolando Eyzaguirre Maccan – </w:t>
      </w:r>
      <w:r w:rsidR="003E6BA6" w:rsidRPr="00BE7E0A">
        <w:rPr>
          <w:b/>
          <w:bCs/>
          <w:sz w:val="23"/>
          <w:szCs w:val="23"/>
        </w:rPr>
        <w:t>Vocal</w:t>
      </w:r>
    </w:p>
    <w:p w14:paraId="4F0DFB4C" w14:textId="5305E030" w:rsidR="00E958A9" w:rsidRPr="00BE7E0A" w:rsidRDefault="00E958A9" w:rsidP="003E772B">
      <w:pPr>
        <w:spacing w:line="360" w:lineRule="auto"/>
        <w:jc w:val="center"/>
        <w:rPr>
          <w:b/>
          <w:bCs/>
          <w:sz w:val="23"/>
          <w:szCs w:val="23"/>
        </w:rPr>
      </w:pPr>
      <w:r w:rsidRPr="00BE7E0A">
        <w:rPr>
          <w:b/>
          <w:bCs/>
          <w:sz w:val="23"/>
          <w:szCs w:val="23"/>
        </w:rPr>
        <w:t>Marco Antonio Ortega Piana – Vocal</w:t>
      </w:r>
    </w:p>
    <w:p w14:paraId="44059E74" w14:textId="419A9DDE" w:rsidR="001631D6" w:rsidRPr="00BE7E0A" w:rsidRDefault="001631D6" w:rsidP="001631D6">
      <w:pPr>
        <w:spacing w:line="360" w:lineRule="auto"/>
        <w:jc w:val="center"/>
        <w:rPr>
          <w:b/>
          <w:bCs/>
          <w:sz w:val="23"/>
          <w:szCs w:val="23"/>
        </w:rPr>
      </w:pPr>
      <w:r w:rsidRPr="00BE7E0A">
        <w:rPr>
          <w:b/>
          <w:bCs/>
          <w:sz w:val="23"/>
          <w:szCs w:val="23"/>
        </w:rPr>
        <w:t xml:space="preserve">Gonzalo Abad del Busto </w:t>
      </w:r>
      <w:r w:rsidR="00916337" w:rsidRPr="00BE7E0A">
        <w:rPr>
          <w:b/>
          <w:bCs/>
          <w:sz w:val="23"/>
          <w:szCs w:val="23"/>
        </w:rPr>
        <w:t>–</w:t>
      </w:r>
      <w:r w:rsidRPr="00BE7E0A">
        <w:rPr>
          <w:b/>
          <w:bCs/>
          <w:sz w:val="23"/>
          <w:szCs w:val="23"/>
        </w:rPr>
        <w:t xml:space="preserve"> Vocal</w:t>
      </w:r>
    </w:p>
    <w:p w14:paraId="1742F25E" w14:textId="77777777" w:rsidR="00916337" w:rsidRPr="003E772B" w:rsidRDefault="00916337" w:rsidP="001631D6">
      <w:pPr>
        <w:spacing w:line="360" w:lineRule="auto"/>
        <w:jc w:val="center"/>
      </w:pPr>
    </w:p>
    <w:p w14:paraId="0DA96C46" w14:textId="77777777" w:rsidR="001631D6" w:rsidRPr="003E772B" w:rsidRDefault="001631D6" w:rsidP="00F15FBA">
      <w:pPr>
        <w:jc w:val="both"/>
        <w:rPr>
          <w:lang w:val="es-PE"/>
        </w:rPr>
      </w:pPr>
    </w:p>
    <w:p w14:paraId="22C77427" w14:textId="77777777" w:rsidR="00F15FBA" w:rsidRPr="003E772B" w:rsidRDefault="00F15FBA" w:rsidP="00F15FBA"/>
    <w:p w14:paraId="58BFC23A" w14:textId="77777777" w:rsidR="00F15FBA" w:rsidRPr="003E772B" w:rsidRDefault="00F15FBA" w:rsidP="00F15FBA"/>
    <w:p w14:paraId="164CAA9F" w14:textId="77777777" w:rsidR="006B2BEB" w:rsidRPr="003E772B" w:rsidRDefault="006B2BEB"/>
    <w:sectPr w:rsidR="00517989" w:rsidRPr="003E772B" w:rsidSect="00F552B2">
      <w:headerReference w:type="default" r:id="rId11"/>
      <w:footerReference w:type="default" r:id="rId12"/>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DC9BC" w14:textId="77777777" w:rsidR="00D25C4B" w:rsidRDefault="00D25C4B" w:rsidP="005F148C">
      <w:r>
        <w:separator/>
      </w:r>
    </w:p>
  </w:endnote>
  <w:endnote w:type="continuationSeparator" w:id="0">
    <w:p w14:paraId="6EA7CE26" w14:textId="77777777" w:rsidR="00D25C4B" w:rsidRDefault="00D25C4B"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560F1" w14:textId="77777777" w:rsidR="00D25C4B" w:rsidRDefault="00D25C4B" w:rsidP="005F148C">
      <w:r>
        <w:separator/>
      </w:r>
    </w:p>
  </w:footnote>
  <w:footnote w:type="continuationSeparator" w:id="0">
    <w:p w14:paraId="69683E45" w14:textId="77777777" w:rsidR="00D25C4B" w:rsidRDefault="00D25C4B" w:rsidP="005F148C">
      <w:r>
        <w:continuationSeparator/>
      </w:r>
    </w:p>
  </w:footnote>
  <w:footnote w:id="1">
    <w:p w14:paraId="1ECB75AF" w14:textId="77777777" w:rsidR="004C64BF" w:rsidRDefault="004C64BF" w:rsidP="004C64BF">
      <w:pPr>
        <w:pStyle w:val="Textonotapie"/>
        <w:rPr>
          <w:rFonts w:ascii="Calibri" w:eastAsia="Calibri" w:hAnsi="Calibri"/>
        </w:rPr>
      </w:pPr>
      <w:r>
        <w:rPr>
          <w:rStyle w:val="Refdenotaalpie"/>
        </w:rPr>
        <w:footnoteRef/>
      </w:r>
      <w:r>
        <w:t xml:space="preserve"> https://www.clinicbarcelona.org/noticias/tener-hipertension-aumenta-el-riesgo-de-muerte-por-coronavirus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9"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842354261">
    <w:abstractNumId w:val="0"/>
  </w:num>
  <w:num w:numId="2" w16cid:durableId="2048025497">
    <w:abstractNumId w:val="5"/>
  </w:num>
  <w:num w:numId="3" w16cid:durableId="548540887">
    <w:abstractNumId w:val="4"/>
  </w:num>
  <w:num w:numId="4" w16cid:durableId="367265202">
    <w:abstractNumId w:val="6"/>
  </w:num>
  <w:num w:numId="5" w16cid:durableId="16449688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1417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4274114">
    <w:abstractNumId w:val="9"/>
  </w:num>
  <w:num w:numId="8" w16cid:durableId="2066752037">
    <w:abstractNumId w:val="7"/>
  </w:num>
  <w:num w:numId="9" w16cid:durableId="3310333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09258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325F"/>
    <w:rsid w:val="00094DDA"/>
    <w:rsid w:val="000B4405"/>
    <w:rsid w:val="000D2700"/>
    <w:rsid w:val="000E1883"/>
    <w:rsid w:val="00103188"/>
    <w:rsid w:val="00131FAD"/>
    <w:rsid w:val="00140C67"/>
    <w:rsid w:val="00150853"/>
    <w:rsid w:val="001631D6"/>
    <w:rsid w:val="00177464"/>
    <w:rsid w:val="00195646"/>
    <w:rsid w:val="001A3593"/>
    <w:rsid w:val="001A791E"/>
    <w:rsid w:val="001B6607"/>
    <w:rsid w:val="001C2B16"/>
    <w:rsid w:val="001D01FD"/>
    <w:rsid w:val="001E1429"/>
    <w:rsid w:val="001E6B7D"/>
    <w:rsid w:val="001F004E"/>
    <w:rsid w:val="002024EE"/>
    <w:rsid w:val="0020442B"/>
    <w:rsid w:val="00233ED8"/>
    <w:rsid w:val="002370F4"/>
    <w:rsid w:val="00265628"/>
    <w:rsid w:val="00281026"/>
    <w:rsid w:val="002A2188"/>
    <w:rsid w:val="002B14D5"/>
    <w:rsid w:val="002E35A4"/>
    <w:rsid w:val="002E708C"/>
    <w:rsid w:val="002F7E39"/>
    <w:rsid w:val="00302CD3"/>
    <w:rsid w:val="00316A1B"/>
    <w:rsid w:val="0032570B"/>
    <w:rsid w:val="00372156"/>
    <w:rsid w:val="003977C8"/>
    <w:rsid w:val="003B46E3"/>
    <w:rsid w:val="003B4770"/>
    <w:rsid w:val="003B5737"/>
    <w:rsid w:val="003E6BA6"/>
    <w:rsid w:val="003E772B"/>
    <w:rsid w:val="003F48E1"/>
    <w:rsid w:val="00417664"/>
    <w:rsid w:val="00417E23"/>
    <w:rsid w:val="004419E4"/>
    <w:rsid w:val="00444D29"/>
    <w:rsid w:val="00467825"/>
    <w:rsid w:val="00477D05"/>
    <w:rsid w:val="004854D9"/>
    <w:rsid w:val="00491944"/>
    <w:rsid w:val="004C64BF"/>
    <w:rsid w:val="004E50D6"/>
    <w:rsid w:val="00506323"/>
    <w:rsid w:val="00516549"/>
    <w:rsid w:val="00531FBE"/>
    <w:rsid w:val="0053358C"/>
    <w:rsid w:val="0058358B"/>
    <w:rsid w:val="005B7ECC"/>
    <w:rsid w:val="005C5922"/>
    <w:rsid w:val="005D1456"/>
    <w:rsid w:val="005F1349"/>
    <w:rsid w:val="005F148C"/>
    <w:rsid w:val="00647AEE"/>
    <w:rsid w:val="00651449"/>
    <w:rsid w:val="0069382D"/>
    <w:rsid w:val="006A1077"/>
    <w:rsid w:val="006B2BEB"/>
    <w:rsid w:val="006D33B8"/>
    <w:rsid w:val="006E3750"/>
    <w:rsid w:val="0072229D"/>
    <w:rsid w:val="007224F7"/>
    <w:rsid w:val="00734447"/>
    <w:rsid w:val="00742D07"/>
    <w:rsid w:val="007474DB"/>
    <w:rsid w:val="00782489"/>
    <w:rsid w:val="00793F6A"/>
    <w:rsid w:val="0079416E"/>
    <w:rsid w:val="007A22CF"/>
    <w:rsid w:val="007B49ED"/>
    <w:rsid w:val="007C2FC5"/>
    <w:rsid w:val="007C3730"/>
    <w:rsid w:val="007D353F"/>
    <w:rsid w:val="00812270"/>
    <w:rsid w:val="0081355B"/>
    <w:rsid w:val="00834DFE"/>
    <w:rsid w:val="00835D6A"/>
    <w:rsid w:val="00864800"/>
    <w:rsid w:val="00865B73"/>
    <w:rsid w:val="00892A1F"/>
    <w:rsid w:val="008930FB"/>
    <w:rsid w:val="00895FF5"/>
    <w:rsid w:val="008A1DAB"/>
    <w:rsid w:val="008A67AB"/>
    <w:rsid w:val="008D0547"/>
    <w:rsid w:val="008D2D71"/>
    <w:rsid w:val="009029DF"/>
    <w:rsid w:val="00916337"/>
    <w:rsid w:val="0092266A"/>
    <w:rsid w:val="00934888"/>
    <w:rsid w:val="0093542F"/>
    <w:rsid w:val="009716DF"/>
    <w:rsid w:val="009767BB"/>
    <w:rsid w:val="00977F56"/>
    <w:rsid w:val="009A589C"/>
    <w:rsid w:val="009A7580"/>
    <w:rsid w:val="009B3934"/>
    <w:rsid w:val="009C28AE"/>
    <w:rsid w:val="009C4A1C"/>
    <w:rsid w:val="00A14315"/>
    <w:rsid w:val="00A223FC"/>
    <w:rsid w:val="00A26BA7"/>
    <w:rsid w:val="00A433D8"/>
    <w:rsid w:val="00A5329C"/>
    <w:rsid w:val="00A54A78"/>
    <w:rsid w:val="00A663A2"/>
    <w:rsid w:val="00A80BAD"/>
    <w:rsid w:val="00AC68FA"/>
    <w:rsid w:val="00AC7D5A"/>
    <w:rsid w:val="00AE33DC"/>
    <w:rsid w:val="00AE40BA"/>
    <w:rsid w:val="00B04114"/>
    <w:rsid w:val="00B51C10"/>
    <w:rsid w:val="00B60E25"/>
    <w:rsid w:val="00B74729"/>
    <w:rsid w:val="00B773DA"/>
    <w:rsid w:val="00B84F66"/>
    <w:rsid w:val="00BA6133"/>
    <w:rsid w:val="00BC6134"/>
    <w:rsid w:val="00BC633A"/>
    <w:rsid w:val="00BD5FD0"/>
    <w:rsid w:val="00BE7E0A"/>
    <w:rsid w:val="00C04395"/>
    <w:rsid w:val="00C11655"/>
    <w:rsid w:val="00C21994"/>
    <w:rsid w:val="00C45FF3"/>
    <w:rsid w:val="00C71B0D"/>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72DD"/>
    <w:rsid w:val="00E42BD6"/>
    <w:rsid w:val="00E50B36"/>
    <w:rsid w:val="00E908BC"/>
    <w:rsid w:val="00E958A9"/>
    <w:rsid w:val="00EC2694"/>
    <w:rsid w:val="00EF4FF0"/>
    <w:rsid w:val="00F029DD"/>
    <w:rsid w:val="00F1075C"/>
    <w:rsid w:val="00F15FBA"/>
    <w:rsid w:val="00F202DC"/>
    <w:rsid w:val="00F42DC6"/>
    <w:rsid w:val="00F465F7"/>
    <w:rsid w:val="00F46707"/>
    <w:rsid w:val="00F6424C"/>
    <w:rsid w:val="00F71D17"/>
    <w:rsid w:val="00F97A17"/>
    <w:rsid w:val="00FF2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customStyle="1" w:styleId="TextonotapieCar">
    <w:name w:val="Texto nota pie Car"/>
    <w:basedOn w:val="Fuentedeprrafopredeter"/>
    <w:link w:val="Textonotapie"/>
    <w:uiPriority w:val="99"/>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customStyle="1" w:styleId="Default">
    <w:name w:val="Default"/>
    <w:rsid w:val="003E772B"/>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eastAsiaTheme="minorHAnsi" w:hAnsiTheme="minorHAnsi" w:cstheme="minorBidi"/>
      <w:sz w:val="22"/>
      <w:szCs w:val="22"/>
      <w:lang w:val="es-PE" w:eastAsia="en-US"/>
    </w:rPr>
  </w:style>
  <w:style w:type="character" w:customStyle="1" w:styleId="TextoindependienteCar">
    <w:name w:val="Texto independiente Car"/>
    <w:basedOn w:val="Fuentedeprrafopredeter"/>
    <w:link w:val="Textoindependiente"/>
    <w:uiPriority w:val="99"/>
    <w:semiHidden/>
    <w:rsid w:val="00150853"/>
    <w:rPr>
      <w:lang w:val="es-PE"/>
    </w:rPr>
  </w:style>
  <w:style w:type="character" w:customStyle="1" w:styleId="Ttulo2Car">
    <w:name w:val="Título 2 Car"/>
    <w:basedOn w:val="Fuentedeprrafopredeter"/>
    <w:link w:val="Ttulo2"/>
    <w:semiHidden/>
    <w:rsid w:val="00DD7C71"/>
    <w:rPr>
      <w:rFonts w:ascii="Times New Roman" w:eastAsia="Times New Roman" w:hAnsi="Times New Roman" w:cs="Times New Roman"/>
      <w:b/>
      <w:bCs/>
      <w:sz w:val="24"/>
      <w:szCs w:val="24"/>
      <w:lang w:val="es-MX" w:eastAsia="es-ES"/>
    </w:rPr>
  </w:style>
  <w:style w:type="paragraph" w:customStyle="1" w:styleId="paragraph">
    <w:name w:val="paragraph"/>
    <w:basedOn w:val="Normal"/>
    <w:rsid w:val="00DD7C71"/>
    <w:pPr>
      <w:spacing w:before="100" w:beforeAutospacing="1" w:after="100" w:afterAutospacing="1"/>
    </w:pPr>
    <w:rPr>
      <w:lang w:val="es-MX" w:eastAsia="es-MX"/>
    </w:rPr>
  </w:style>
  <w:style w:type="character" w:customStyle="1" w:styleId="normaltextrun">
    <w:name w:val="normaltextrun"/>
    <w:basedOn w:val="Fuentedeprrafopredeter"/>
    <w:rsid w:val="00DD7C71"/>
  </w:style>
  <w:style w:type="character" w:customStyle="1" w:styleId="eop">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B9C7A6B-9D0C-47B3-8D78-C89DDF316570}"/>
</file>

<file path=customXml/itemProps3.xml><?xml version="1.0" encoding="utf-8"?>
<ds:datastoreItem xmlns:ds="http://schemas.openxmlformats.org/officeDocument/2006/customXml" ds:itemID="{4A31D1D2-FC6F-4532-9852-68278ADB1F2F}"/>
</file>

<file path=customXml/itemProps4.xml><?xml version="1.0" encoding="utf-8"?>
<ds:datastoreItem xmlns:ds="http://schemas.openxmlformats.org/officeDocument/2006/customXml" ds:itemID="{ED24E166-CAC6-438B-BE55-CB295C0AA36A}"/>
</file>

<file path=docProps/app.xml><?xml version="1.0" encoding="utf-8"?>
<Properties xmlns="http://schemas.openxmlformats.org/officeDocument/2006/extended-properties" xmlns:vt="http://schemas.openxmlformats.org/officeDocument/2006/docPropsVTypes">
  <Template>Normal</Template>
  <TotalTime>59</TotalTime>
  <Pages>6</Pages>
  <Words>2183</Words>
  <Characters>12010</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69</cp:revision>
  <cp:lastPrinted>2022-02-14T14:20:00Z</cp:lastPrinted>
  <dcterms:created xsi:type="dcterms:W3CDTF">2020-12-18T20:09:00Z</dcterms:created>
  <dcterms:modified xsi:type="dcterms:W3CDTF">2025-03-20T17:33:00Z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