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C2F84" w:rsidR="00F15FBA" w:rsidP="00F15FBA" w:rsidRDefault="00F15FBA" w14:paraId="6BA6C8A5" w14:textId="56C1294C">
      <w:pPr>
        <w:pStyle w:val="Ttulo"/>
        <w:outlineLvl w:val="0"/>
        <w:rPr>
          <w:lang w:val="es-PE"/>
        </w:rPr>
      </w:pPr>
      <w:r w:rsidRPr="003C2F84">
        <w:rPr>
          <w:lang w:val="es-PE"/>
        </w:rPr>
        <w:t xml:space="preserve">RESOLUCIÓN </w:t>
      </w:r>
      <w:proofErr w:type="spellStart"/>
      <w:r w:rsidRPr="003C2F84">
        <w:rPr>
          <w:lang w:val="es-PE"/>
        </w:rPr>
        <w:t>N</w:t>
      </w:r>
      <w:r w:rsidRPr="003C2F84" w:rsidR="001631D6">
        <w:rPr>
          <w:lang w:val="es-PE"/>
        </w:rPr>
        <w:t>°</w:t>
      </w:r>
      <w:proofErr w:type="spellEnd"/>
      <w:r w:rsidRPr="003C2F84" w:rsidR="001631D6">
        <w:rPr>
          <w:lang w:val="es-PE"/>
        </w:rPr>
        <w:t xml:space="preserve"> </w:t>
      </w:r>
      <w:r w:rsidRPr="003C2F84" w:rsidR="003E6BA6">
        <w:rPr>
          <w:lang w:val="es-PE"/>
        </w:rPr>
        <w:t>0</w:t>
      </w:r>
      <w:r w:rsidRPr="003C2F84" w:rsidR="002C236D">
        <w:rPr>
          <w:lang w:val="es-PE"/>
        </w:rPr>
        <w:t>30</w:t>
      </w:r>
      <w:r w:rsidRPr="003C2F84" w:rsidR="001631D6">
        <w:rPr>
          <w:lang w:val="es-PE"/>
        </w:rPr>
        <w:t>/2</w:t>
      </w:r>
      <w:r w:rsidRPr="003C2F84" w:rsidR="00444D29">
        <w:rPr>
          <w:lang w:val="es-PE"/>
        </w:rPr>
        <w:t>2</w:t>
      </w:r>
    </w:p>
    <w:p w:rsidRPr="003C2F84" w:rsidR="00C5693C" w:rsidP="00251FD7" w:rsidRDefault="00C5693C" w14:paraId="48E39662" w14:textId="77777777">
      <w:pPr>
        <w:jc w:val="both"/>
        <w:rPr>
          <w:b/>
          <w:bCs/>
          <w:lang w:val="es-MX"/>
        </w:rPr>
      </w:pPr>
    </w:p>
    <w:p w:rsidRPr="003C2F84" w:rsidR="003C2F84" w:rsidP="003C2F84" w:rsidRDefault="003C2F84" w14:paraId="460209C3" w14:textId="77777777">
      <w:pPr>
        <w:jc w:val="both"/>
        <w:outlineLvl w:val="0"/>
        <w:rPr>
          <w:b/>
          <w:bCs/>
          <w:lang w:val="es-PE"/>
        </w:rPr>
      </w:pPr>
      <w:r w:rsidRPr="003C2F84">
        <w:rPr>
          <w:b/>
          <w:bCs/>
          <w:lang w:val="es-PE"/>
        </w:rPr>
        <w:t>VISTOS:</w:t>
      </w:r>
    </w:p>
    <w:p w:rsidRPr="003C2F84" w:rsidR="003C2F84" w:rsidP="003C2F84" w:rsidRDefault="003C2F84" w14:paraId="573D51FC" w14:textId="77777777">
      <w:pPr>
        <w:jc w:val="both"/>
        <w:rPr>
          <w:b/>
          <w:bCs/>
          <w:lang w:val="es-PE"/>
        </w:rPr>
      </w:pPr>
    </w:p>
    <w:p w:rsidRPr="003C2F84" w:rsidR="003C2F84" w:rsidP="35354FF1" w:rsidRDefault="003C2F84" w14:paraId="667F09B6" w14:textId="39EF7897">
      <w:pPr>
        <w:jc w:val="both"/>
        <w:rPr>
          <w:b w:val="1"/>
          <w:bCs w:val="1"/>
          <w:lang w:val="es-MX"/>
        </w:rPr>
      </w:pPr>
      <w:r w:rsidRPr="35354FF1" w:rsidR="003C2F84">
        <w:rPr>
          <w:lang w:val="es-PE"/>
        </w:rPr>
        <w:t xml:space="preserve">Que, </w:t>
      </w:r>
      <w:r w:rsidRPr="35354FF1" w:rsidR="4C8B243C">
        <w:rPr>
          <w:lang w:val="es-PE"/>
        </w:rPr>
        <w:t>...........................................</w:t>
      </w:r>
      <w:r w:rsidRPr="35354FF1" w:rsidR="003C2F84">
        <w:rPr>
          <w:b w:val="1"/>
          <w:bCs w:val="1"/>
          <w:lang w:val="es-MX"/>
        </w:rPr>
        <w:t xml:space="preserve"> </w:t>
      </w:r>
      <w:r w:rsidRPr="35354FF1" w:rsidR="003C2F84">
        <w:rPr>
          <w:lang w:val="es-PE"/>
        </w:rPr>
        <w:t xml:space="preserve">interpone reclamación ante esta Defensoría del Asegurado (DEFASEG), solicitando que </w:t>
      </w:r>
      <w:r w:rsidRPr="35354FF1" w:rsidR="287AF8D3">
        <w:rPr>
          <w:lang w:val="es-PE"/>
        </w:rPr>
        <w:t>.......................................</w:t>
      </w:r>
      <w:r w:rsidRPr="35354FF1" w:rsidR="003C2F84">
        <w:rPr>
          <w:lang w:val="es-PE"/>
        </w:rPr>
        <w:t xml:space="preserve"> otorgue cobertura al siniestro que afectó a su vehículo asegurado de placa </w:t>
      </w:r>
      <w:r w:rsidRPr="35354FF1" w:rsidR="7550CDB6">
        <w:rPr>
          <w:lang w:val="es-PE"/>
        </w:rPr>
        <w:t>....................</w:t>
      </w:r>
      <w:r w:rsidRPr="35354FF1" w:rsidR="003C2F84">
        <w:rPr>
          <w:lang w:val="es-PE"/>
        </w:rPr>
        <w:t xml:space="preserve">, el 8 de junio de 2021, </w:t>
      </w:r>
      <w:bookmarkStart w:name="OLE_LINK2" w:id="0"/>
      <w:r w:rsidRPr="35354FF1" w:rsidR="003C2F84">
        <w:rPr>
          <w:lang w:val="es-PE"/>
        </w:rPr>
        <w:t xml:space="preserve">conforme a los términos y condiciones del </w:t>
      </w:r>
      <w:r w:rsidRPr="35354FF1" w:rsidR="003C2F84">
        <w:rPr>
          <w:b w:val="1"/>
          <w:bCs w:val="1"/>
          <w:lang w:val="es-MX"/>
        </w:rPr>
        <w:t xml:space="preserve">SEGURO DE AUTO A </w:t>
      </w:r>
      <w:r w:rsidRPr="35354FF1" w:rsidR="003C2F84">
        <w:rPr>
          <w:b w:val="1"/>
          <w:bCs w:val="1"/>
          <w:lang w:val="es-MX"/>
        </w:rPr>
        <w:t>MEDIDA  –</w:t>
      </w:r>
      <w:r w:rsidRPr="35354FF1" w:rsidR="003C2F84">
        <w:rPr>
          <w:b w:val="1"/>
          <w:bCs w:val="1"/>
          <w:lang w:val="es-MX"/>
        </w:rPr>
        <w:t xml:space="preserve"> PÓLIZA</w:t>
      </w:r>
      <w:r w:rsidRPr="35354FF1" w:rsidR="40974B19">
        <w:rPr>
          <w:b w:val="1"/>
          <w:bCs w:val="1"/>
          <w:lang w:val="es-MX"/>
        </w:rPr>
        <w:t>....................</w:t>
      </w:r>
      <w:bookmarkEnd w:id="0"/>
    </w:p>
    <w:p w:rsidRPr="003C2F84" w:rsidR="003C2F84" w:rsidP="003C2F84" w:rsidRDefault="003C2F84" w14:paraId="32A46AC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C2F84" w:rsidR="003C2F84" w:rsidP="003C2F84" w:rsidRDefault="003C2F84" w14:paraId="68A21296" w14:textId="77777777">
      <w:pPr>
        <w:jc w:val="both"/>
        <w:rPr>
          <w:rFonts w:eastAsia="Arial Unicode MS"/>
          <w:lang w:val="es-PE"/>
        </w:rPr>
      </w:pPr>
      <w:r w:rsidRPr="003C2F84">
        <w:rPr>
          <w:rFonts w:eastAsia="Arial Unicode MS"/>
          <w:lang w:val="es-PE"/>
        </w:rPr>
        <w:t>Que, la señalada reclamación cumple con los requisitos de materia, cuantía y oportunidad establecidos en el Reglamento de la DEFASEG (http://www.defaseg.com.pe/reglamento);</w:t>
      </w:r>
    </w:p>
    <w:p w:rsidRPr="003C2F84" w:rsidR="003C2F84" w:rsidP="003C2F84" w:rsidRDefault="003C2F84" w14:paraId="2CAFF5B6" w14:textId="77777777">
      <w:pPr>
        <w:tabs>
          <w:tab w:val="left" w:pos="2160"/>
        </w:tabs>
        <w:jc w:val="both"/>
        <w:rPr>
          <w:lang w:val="es-PE"/>
        </w:rPr>
      </w:pPr>
    </w:p>
    <w:p w:rsidRPr="003C2F84" w:rsidR="003C2F84" w:rsidP="003C2F84" w:rsidRDefault="003C2F84" w14:paraId="75720C33" w14:textId="77777777">
      <w:pPr>
        <w:tabs>
          <w:tab w:val="num" w:pos="720"/>
          <w:tab w:val="left" w:pos="6425"/>
        </w:tabs>
        <w:jc w:val="both"/>
        <w:rPr>
          <w:lang w:val="es-PE"/>
        </w:rPr>
      </w:pPr>
      <w:r w:rsidRPr="003C2F84">
        <w:rPr>
          <w:lang w:val="es-PE"/>
        </w:rPr>
        <w:t>Que, la aseguradora presentó sus descargos y la documentación relativa al rechazo, incluida la respectiva póliza;</w:t>
      </w:r>
    </w:p>
    <w:p w:rsidRPr="003C2F84" w:rsidR="003C2F84" w:rsidP="003C2F84" w:rsidRDefault="003C2F84" w14:paraId="334AEC80" w14:textId="77777777">
      <w:pPr>
        <w:tabs>
          <w:tab w:val="num" w:pos="720"/>
        </w:tabs>
        <w:jc w:val="both"/>
        <w:rPr>
          <w:lang w:val="es-PE"/>
        </w:rPr>
      </w:pPr>
    </w:p>
    <w:p w:rsidRPr="003C2F84" w:rsidR="003C2F84" w:rsidP="003C2F84" w:rsidRDefault="003C2F84" w14:paraId="5C5FBA99" w14:textId="77777777">
      <w:pPr>
        <w:tabs>
          <w:tab w:val="num" w:pos="720"/>
        </w:tabs>
        <w:jc w:val="both"/>
        <w:rPr>
          <w:lang w:val="es-PE"/>
        </w:rPr>
      </w:pPr>
      <w:r w:rsidRPr="003C2F84">
        <w:rPr>
          <w:lang w:val="es-PE"/>
        </w:rPr>
        <w:t>Que, el 24 de enero de 2022 se realizó la audiencia de vista virtual con la participación a la videoconferencia de ambas partes, las que sustentaron su respectiva posición sobre los alcances de la reclamación, absolviendo las preguntas formuladas por este colegiado, conforme consta de la correspondiente acta;</w:t>
      </w:r>
    </w:p>
    <w:p w:rsidRPr="003C2F84" w:rsidR="003C2F84" w:rsidP="003C2F84" w:rsidRDefault="003C2F84" w14:paraId="5F866017" w14:textId="77777777">
      <w:pPr>
        <w:tabs>
          <w:tab w:val="num" w:pos="720"/>
        </w:tabs>
        <w:jc w:val="both"/>
        <w:rPr>
          <w:lang w:val="es-PE"/>
        </w:rPr>
      </w:pPr>
    </w:p>
    <w:p w:rsidRPr="003C2F84" w:rsidR="003C2F84" w:rsidP="003C2F84" w:rsidRDefault="003C2F84" w14:paraId="41212A65" w14:textId="2202DB14">
      <w:pPr>
        <w:jc w:val="both"/>
      </w:pPr>
      <w:r w:rsidRPr="35354FF1" w:rsidR="003C2F84">
        <w:rPr>
          <w:lang w:val="es-PE"/>
        </w:rPr>
        <w:t xml:space="preserve">Que, conforme al escrito presentado y a lo tratado en la audiencia de vista, la reclamación se sustenta resumidamente en lo siguiente: (1) </w:t>
      </w:r>
      <w:r w:rsidR="003C2F84">
        <w:rPr/>
        <w:t>c</w:t>
      </w:r>
      <w:r w:rsidR="003C2F84">
        <w:rPr/>
        <w:t xml:space="preserve">onsidera que la aseguradora ha fundado el rechazo en un informe policial que contiene manifestaciones inexactas y, además no se ha valorado debidamente su reporte y sus declaraciones, situación no ha permitido que la aseguradora establezca cuales fueron las causas reales del accidente; (2) desde un principio ha venido sosteniendo en cuanto a cuál fue la causa real del siniestro, pero la aseguradora le ha dado valor solamente a las conclusiones de la investigación policial, en donde en la inspección Técnica Policial efectuada IN SITU, declaraciones y demás diligencias efectuadas, indican que el  vehículo asegurado invade el carril contrario, demás esta decir, que solo tomaron en cuenta las declaraciones del conductor del ómnibus, que probadamente se comprueba que ha mentido en sus declaraciones para evadir su responsabilidad ante la pasividad de la policía; (3) se deben valorar sus manifestaciones, que fueron brindadas desde el principio de manera sincera, espontánea y oportuna, tanto a nivel policial, como frente a la compañía de seguros, quienes deben de tener el audio de la conversación de su reporte, como prueba adicional de lo que viene sosteniendo y establecer realmente la causa próxima del siniestro; (4) no se han tomado en cuenta sus declaraciones frente la autoridad policial, ante la pregunta: </w:t>
      </w:r>
      <w:r w:rsidRPr="35354FF1" w:rsidR="003C2F84">
        <w:rPr>
          <w:i w:val="1"/>
          <w:iCs w:val="1"/>
        </w:rPr>
        <w:t xml:space="preserve">(…) 4. DECLARANTE DIGA: Narre </w:t>
      </w:r>
      <w:r w:rsidRPr="35354FF1" w:rsidR="003C2F84">
        <w:rPr>
          <w:i w:val="1"/>
          <w:iCs w:val="1"/>
        </w:rPr>
        <w:t>Ud</w:t>
      </w:r>
      <w:r w:rsidRPr="35354FF1" w:rsidR="003C2F84">
        <w:rPr>
          <w:i w:val="1"/>
          <w:iCs w:val="1"/>
        </w:rPr>
        <w:t xml:space="preserve">: ¿la forma y circunstancia de cómo ocurrieron los hechos materia de la presente investigación en el Accidente de Tránsito choque con daños materiales ocurrido en la Oroya? Dijo:---El día 08JUN2021, estaba conduciendo mi vehículo automóvil de placa de rodaje BSB-328, hacia mi recorrido de Lima con destino a Huancayo, para visitar a un familiar, estaba oscuro toda vez que el accidente habría ocurrido a las 00:55 de la madrugada, y cuando estaba en una vía recta, faltando pocos metros para entrar a una curva hacia la derecha, veo de manera repentina la aparición de dos luces de un vehículo que me enceguecen la visibilidad y ante ello yo entrecerré los ojos, por el deslumbramiento de las luces, seguidamente siento un impacto en la parte lateral izquierda de mi vehículo, lo siguiente fue que vi que algo se habría (bolsas de aire), que me golpearon la cara, producto de ello más el impacto a mi vehículo quede </w:t>
      </w:r>
      <w:r w:rsidRPr="35354FF1" w:rsidR="003C2F84">
        <w:rPr>
          <w:i w:val="1"/>
          <w:iCs w:val="1"/>
        </w:rPr>
        <w:t>aturdida, quedando mi vehículo en la pista no pudiendo precisar en cuál de los carriles por la oscuridad de la zona (…)”</w:t>
      </w:r>
      <w:r w:rsidR="003C2F84">
        <w:rPr/>
        <w:t>; (5) cuando reportó el siniestro a la aseguradora, manifestó, ante la pregunta de cuál había sido la causa del accidente, “</w:t>
      </w:r>
      <w:r w:rsidRPr="35354FF1" w:rsidR="003C2F84">
        <w:rPr>
          <w:i w:val="1"/>
          <w:iCs w:val="1"/>
        </w:rPr>
        <w:t>(…) Que las luces de un vehículo que venía en sentido contrario me enceguecen la visibilidad (…)”</w:t>
      </w:r>
      <w:r w:rsidR="003C2F84">
        <w:rPr/>
        <w:t xml:space="preserve"> Del mismo modo, cuando se apersono al lugar del accidente el personal policial de la Comisaria de la Oroya, en el acta de intervención policial , manifestó de manera directa y espontanea, que el vehículo de placa </w:t>
      </w:r>
      <w:r w:rsidR="02C0EAE8">
        <w:rPr/>
        <w:t>.............</w:t>
      </w:r>
      <w:r w:rsidR="003C2F84">
        <w:rPr/>
        <w:t>, le empaño la visión con la LUZ ALTA, produciéndose el accidente; (6) si bien es cierto, la posición final de su automóvil producto del accidente, es la de quedar invadiendo la vía contraria, la invasión del carril contrario no es la causa del accidente, siendo que la causa del mismo es la falta de visibilidad que le produce la aparición de las luces altas del vehículo que venía en sentido contario y que aparece de manera repentina en la curva; (7) la Policía en su investigación, ha obviado esta parte de su declaración, probablemente por no tener o existir pruebas más allá de su manifestación, sin embargo, le asiste la duda razonable, cuando en su manifestación policial el conductor de la otra unidad declara lo siguiente: “</w:t>
      </w:r>
      <w:r w:rsidRPr="35354FF1" w:rsidR="003C2F84">
        <w:rPr>
          <w:i w:val="1"/>
          <w:iCs w:val="1"/>
        </w:rPr>
        <w:t>(…) 5. DECLARANTE DIGA: ¿Estando a la respuesta que antecede, narre la forma y circunstancias en que se produjo el accidente de tránsito choque con daños materiales entre el vehículo ómnibus que conducía y el vehículo de placa de rodaje BSB-328? “durante todo mi recorrido fue de manera normal, circulando a una velocidad máxima de 60 Km/h, hasta llegar al lugar del accidente, cuando cerrando la curva que hay por el lugar, observo que se me viene de frente un automóvil de color oscuro, optando por realizar una maniobra de sacar la volante hacia la derecha hacia la tierra con la finalidad de evitar la colisión frontal, y como había un desnivel entre la carretera y la zona de tierra, motivo por el cual casi me volteo y como estaba llevando pasajeros, pudiendo observar que la señorita tenía los ojos cerrados al momento que se estaba acercando, llegando a impactarme a la parte de la llanta delantera lado izquierdo del conductor” (…)</w:t>
      </w:r>
      <w:r w:rsidR="003C2F84">
        <w:rPr/>
        <w:t xml:space="preserve">”; (8) lo declarado por el chofer resulta totalmente contradictorio con lo declarado por la asegurada en la siguiente pregunta de su manifestación: </w:t>
      </w:r>
      <w:r w:rsidRPr="35354FF1" w:rsidR="003C2F84">
        <w:rPr>
          <w:i w:val="1"/>
          <w:iCs w:val="1"/>
        </w:rPr>
        <w:t xml:space="preserve">(..) 17 DECLARANTE DIGA: ¿Si tiene algo que agregar quitar o modificar a su presente declaración? </w:t>
      </w:r>
      <w:r w:rsidRPr="35354FF1" w:rsidR="003C2F84">
        <w:rPr>
          <w:i w:val="1"/>
          <w:iCs w:val="1"/>
        </w:rPr>
        <w:t>Dijo:--</w:t>
      </w:r>
      <w:r w:rsidRPr="35354FF1" w:rsidR="003C2F84">
        <w:rPr>
          <w:i w:val="1"/>
          <w:iCs w:val="1"/>
        </w:rPr>
        <w:t xml:space="preserve"> Si quiero agregar que yo uso lentes para la conducción de mi vehículo, asimismo que mis lentes son especiales para evitar los reflejos de luz de los autos pese a ello ante las luces del ómnibus me cegaron la visibilidad (…)</w:t>
      </w:r>
      <w:r w:rsidR="003C2F84">
        <w:rPr/>
        <w:t>”; (9) resulta imposible que el conductor del ómnibus haya podido, según lo que manifiesta, observar que tenía los ojos cerrados al momento del accidente, porque los vidrios de sus anteojos se oscurecen automáticamente con las luces de los vehículos que los impactan. Por lo que se desprende que el chofer del ómnibus ha mentido en sus declaraciones, ante la pasividad de la policía, asimismo, cuando le preguntan: “</w:t>
      </w:r>
      <w:r w:rsidRPr="35354FF1" w:rsidR="003C2F84">
        <w:rPr>
          <w:i w:val="1"/>
          <w:iCs w:val="1"/>
        </w:rPr>
        <w:t xml:space="preserve">(…) 15. DECLARANTE DIGA: ¿Si ha sido infraccionado por contravenir las normas establecidas en el Reglamento Nacional de Tránsito, de ser así, precise el motivo y en </w:t>
      </w:r>
      <w:r w:rsidRPr="35354FF1" w:rsidR="003C2F84">
        <w:rPr>
          <w:i w:val="1"/>
          <w:iCs w:val="1"/>
        </w:rPr>
        <w:t>que</w:t>
      </w:r>
      <w:r w:rsidRPr="35354FF1" w:rsidR="003C2F84">
        <w:rPr>
          <w:i w:val="1"/>
          <w:iCs w:val="1"/>
        </w:rPr>
        <w:t xml:space="preserve"> fecha fue merecedor de sanción? Dijo: Que, no cuento con infracción al reglamento nacional de tránsito. (…)”</w:t>
      </w:r>
      <w:r w:rsidR="003C2F84">
        <w:rPr/>
        <w:t>.</w:t>
      </w:r>
      <w:r w:rsidRPr="35354FF1" w:rsidR="003C2F84">
        <w:rPr>
          <w:i w:val="1"/>
          <w:iCs w:val="1"/>
        </w:rPr>
        <w:t xml:space="preserve"> </w:t>
      </w:r>
      <w:r w:rsidR="003C2F84">
        <w:rPr/>
        <w:t xml:space="preserve">Sin embargo, en la misma investigación policial, a través del sistema de Licencias de Conducir por Puntos – SLCP, se determina que el citado conductor tiene dos Infracciones al Reglamento Nacional de Tránsito, una papeleta Muy Grave (G-10) del 03/12/2020, y otra falta Grave (M18), del 15/01/2019, lo que demuestra que esta persona ha mentido en su manifestación y lo declarado referente al accidente no se ajusta a la verdad, y oculta que la causa del accidente ha sido su negligencia por circular con las luces altas en la carretera, estando prohibido en el Reglamento Nacional de Tránsito. </w:t>
      </w:r>
    </w:p>
    <w:p w:rsidRPr="003C2F84" w:rsidR="003C2F84" w:rsidP="003C2F84" w:rsidRDefault="003C2F84" w14:paraId="30644EF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C2F84" w:rsidR="003C2F84" w:rsidP="003C2F84" w:rsidRDefault="003C2F84" w14:paraId="13353CC2" w14:textId="7191A03D">
      <w:pPr>
        <w:jc w:val="both"/>
      </w:pPr>
      <w:r w:rsidRPr="35354FF1" w:rsidR="003C2F84">
        <w:rPr>
          <w:lang w:val="es-PE"/>
        </w:rPr>
        <w:t xml:space="preserve">Que, por su parte, </w:t>
      </w:r>
      <w:r w:rsidRPr="35354FF1" w:rsidR="4789380A">
        <w:rPr>
          <w:lang w:val="es-PE"/>
        </w:rPr>
        <w:t>.......................................</w:t>
      </w:r>
      <w:r w:rsidRPr="35354FF1" w:rsidR="003C2F84">
        <w:rPr>
          <w:lang w:val="es-PE"/>
        </w:rPr>
        <w:t xml:space="preserve"> ratificando el rechazo de cobertura, </w:t>
      </w:r>
      <w:r w:rsidR="003C2F84">
        <w:rPr/>
        <w:t xml:space="preserve">expresa fundamentalmente lo siguiente: (1) no procede la cobertura del siniestro por cuanto, </w:t>
      </w:r>
      <w:r w:rsidR="003C2F84">
        <w:rPr/>
        <w:t>conforme a las exclusiones específicas de las condiciones generales del Seguro de Autos, no se indemnizan “</w:t>
      </w:r>
      <w:r w:rsidRPr="35354FF1" w:rsidR="003C2F84">
        <w:rPr>
          <w:i w:val="1"/>
          <w:iCs w:val="1"/>
        </w:rPr>
        <w:t>las pérdidas o daños causados, originados, agravados o que sean consecuencia de, o por: 20. Circule en sentido contrario al tránsito autorizado o invadiendo el carril contrario”</w:t>
      </w:r>
      <w:r w:rsidR="003C2F84">
        <w:rPr/>
        <w:t>; (2) en la evaluación realizada del evento, considerando el Informe N°380 -21 del 01.07.2021 emitido por la PNP Oroya - Junín, el cual en su contenido señala: VI. RELACION DEL HECHO “</w:t>
      </w:r>
      <w:r w:rsidRPr="35354FF1" w:rsidR="003C2F84">
        <w:rPr>
          <w:i w:val="1"/>
          <w:iCs w:val="1"/>
        </w:rPr>
        <w:t>F. De la inspección técnica Policial efectuada IN SITU, declaraciones y demás diligencias efectuada se puede evidenciar que el presente hecho reviste un ACCDIDENTE DE TRANSITO Choque lateral izquierdo con daños materiales y al realizar el análisis integral se evidencia que la (UT1), era desplazada por su conductor por la carretera central (lima - la oroya) Km. 159+600 (Sector de San Miguel);hacia su recorrido de Oeste a este (Lima – Oroya) carril derecho (lados sur), es así que invade el carril contrario e impacta con su parte anterior lado izquierdo a la parte lateral izquierdo de UT2 que hacia su recorrido de Este a Oeste (Oroya - lima) quedando ambos vehículos con daños materiales en su estructura..</w:t>
      </w:r>
      <w:r w:rsidR="003C2F84">
        <w:rPr/>
        <w:t xml:space="preserve">”; (3) en el análisis del caso, del informe policial se confirma que el siniestro se produjo por la invasión de carril de la unidad asegurada acción que se encuentra excluida dentro del contrato de la póliza de seguros contratada; (4) </w:t>
      </w:r>
      <w:r w:rsidRPr="35354FF1" w:rsidR="003C2F84">
        <w:rPr>
          <w:color w:val="000000" w:themeColor="text1" w:themeTint="FF" w:themeShade="FF"/>
          <w:lang w:val="es-PE" w:eastAsia="es-PE"/>
        </w:rPr>
        <w:t xml:space="preserve">el rechazo de cobertura es </w:t>
      </w:r>
      <w:r w:rsidR="003C2F84">
        <w:rPr/>
        <w:t>debido a que se incurrió en una exclusión de cobertura expresamente estipulada en la póliza contratada; (5) el contrato de seguro de la asegurada contiene la exclusión invocada, esto es que la cobertura de Daño propio al vehículo asegurado (la cual fue reclamada por la asegurada) tiene establecida como una de sus exclusiones las pérdidas o daños causados, originados, agravados o que sean consecuencia de, o por la circulación invadiendo el carril contrario; (6) se incurrió en el supuesto de hecho que corresponde a la exclusión, toda vez que en las investigaciones policiales realizadas sobre el accidente de tránsito ocurrido, la autoridad policial determinó que, en base a las declaraciones de ambos conductores a nivel policial, la inspección técnico policial y las pericias realizadas, el accidente de tránsito en cuestión ocurrió debido a que la asegurada (conductora de la UT1) invadió el carril contrario al suyo, impactando así a la UT2 y generándose los daños a ambos vehículos; (7) no se encuentra acreditado lo manifestado por la asegurada en su reclamo de que en realidad el accidente se habría dado por que las luces del otro vehículo la enceguecieron; (8) los medios de prueba señalan una situación totalmente contraria a lo manifestado por la asegurada, ya que, como se puede apreciar de la declaración del conductor de la UT2, este manifestó que vio a la asegurada con los ojos cerrados al momento del accidente; (9) la misma asegurada ha indicado que tiene unos anteojos especiales para que la luz de los vehículos no la cieguen, lo que no guarda relación con su relato pues de ser así no se habría cegado como menciona.</w:t>
      </w:r>
    </w:p>
    <w:p w:rsidRPr="003C2F84" w:rsidR="003C2F84" w:rsidP="003C2F84" w:rsidRDefault="003C2F84" w14:paraId="7C68A3B5" w14:textId="77777777">
      <w:pPr>
        <w:pStyle w:val="MailingInstructions"/>
        <w:tabs>
          <w:tab w:val="left" w:pos="2160"/>
          <w:tab w:val="left" w:pos="2880"/>
        </w:tabs>
        <w:jc w:val="both"/>
        <w:rPr>
          <w:lang w:val="es-PE"/>
        </w:rPr>
      </w:pPr>
    </w:p>
    <w:p w:rsidRPr="003C2F84" w:rsidR="003C2F84" w:rsidP="003C2F84" w:rsidRDefault="003C2F84" w14:paraId="555D50A9" w14:textId="77777777">
      <w:pPr>
        <w:jc w:val="both"/>
        <w:outlineLvl w:val="0"/>
        <w:rPr>
          <w:lang w:val="es-PE"/>
        </w:rPr>
      </w:pPr>
      <w:r w:rsidRPr="003C2F84">
        <w:rPr>
          <w:rStyle w:val="Textoennegrita"/>
          <w:lang w:val="es-PE"/>
        </w:rPr>
        <w:t>CONSIDERANDO:</w:t>
      </w:r>
    </w:p>
    <w:p w:rsidRPr="003C2F84" w:rsidR="003C2F84" w:rsidP="003C2F84" w:rsidRDefault="003C2F84" w14:paraId="77EC519C" w14:textId="77777777">
      <w:pPr>
        <w:jc w:val="both"/>
        <w:rPr>
          <w:lang w:val="es-PE"/>
        </w:rPr>
      </w:pPr>
    </w:p>
    <w:p w:rsidRPr="003C2F84" w:rsidR="003C2F84" w:rsidP="003C2F84" w:rsidRDefault="003C2F84" w14:paraId="4003D54B" w14:textId="77777777">
      <w:pPr>
        <w:jc w:val="both"/>
        <w:rPr>
          <w:lang w:val="es-PE"/>
        </w:rPr>
      </w:pPr>
      <w:r w:rsidRPr="003C2F84">
        <w:rPr>
          <w:b/>
          <w:u w:val="single"/>
          <w:lang w:val="es-PE"/>
        </w:rPr>
        <w:t>PRIMERO</w:t>
      </w:r>
      <w:r w:rsidRPr="003C2F84">
        <w:rPr>
          <w:b/>
          <w:lang w:val="es-PE"/>
        </w:rPr>
        <w:t xml:space="preserve">: </w:t>
      </w:r>
      <w:r w:rsidRPr="003C2F84">
        <w:rPr>
          <w:lang w:val="es-PE"/>
        </w:rPr>
        <w:t>Conforme a su Reglamento, la</w:t>
      </w:r>
      <w:r w:rsidRPr="003C2F84">
        <w:rPr>
          <w:b/>
          <w:bCs/>
          <w:lang w:val="es-PE"/>
        </w:rPr>
        <w:t xml:space="preserve"> </w:t>
      </w:r>
      <w:r w:rsidRPr="003C2F8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C2F84" w:rsidR="003C2F84" w:rsidP="003C2F84" w:rsidRDefault="003C2F84" w14:paraId="6E1A6F64" w14:textId="77777777">
      <w:pPr>
        <w:jc w:val="both"/>
        <w:rPr>
          <w:rStyle w:val="Textoennegrita"/>
          <w:b w:val="0"/>
        </w:rPr>
      </w:pPr>
    </w:p>
    <w:p w:rsidRPr="003C2F84" w:rsidR="003C2F84" w:rsidP="003C2F84" w:rsidRDefault="003C2F84" w14:paraId="073044AB" w14:textId="77777777">
      <w:pPr>
        <w:jc w:val="both"/>
        <w:rPr>
          <w:rStyle w:val="Textoennegrita"/>
          <w:b w:val="0"/>
          <w:lang w:val="es-PE"/>
        </w:rPr>
      </w:pPr>
      <w:r w:rsidRPr="003C2F84">
        <w:rPr>
          <w:rStyle w:val="Textoennegrita"/>
          <w:u w:val="single"/>
          <w:lang w:val="es-PE"/>
        </w:rPr>
        <w:t>SEGUNDO</w:t>
      </w:r>
      <w:r w:rsidRPr="003C2F84">
        <w:rPr>
          <w:rStyle w:val="Textoennegrita"/>
          <w:lang w:val="es-PE"/>
        </w:rPr>
        <w:t>:</w:t>
      </w:r>
      <w:r w:rsidRPr="003C2F84">
        <w:rPr>
          <w:rStyle w:val="Textoennegrita"/>
          <w:b w:val="0"/>
          <w:lang w:val="es-PE"/>
        </w:rPr>
        <w:t xml:space="preserve"> </w:t>
      </w:r>
      <w:r w:rsidRPr="003C2F84">
        <w:rPr>
          <w:lang w:val="es-PE"/>
        </w:rPr>
        <w:t xml:space="preserve">Asimismo, </w:t>
      </w:r>
      <w:proofErr w:type="gramStart"/>
      <w:r w:rsidRPr="003C2F84">
        <w:rPr>
          <w:lang w:val="es-PE"/>
        </w:rPr>
        <w:t>de acuerdo a</w:t>
      </w:r>
      <w:proofErr w:type="gramEnd"/>
      <w:r w:rsidRPr="003C2F84">
        <w:rPr>
          <w:lang w:val="es-PE"/>
        </w:rPr>
        <w:t xml:space="preserve"> </w:t>
      </w:r>
      <w:r w:rsidRPr="003C2F84">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w:t>
      </w:r>
      <w:r w:rsidRPr="003C2F84">
        <w:rPr>
          <w:rStyle w:val="Textoennegrita"/>
          <w:b w:val="0"/>
          <w:lang w:val="es-PE"/>
        </w:rPr>
        <w:lastRenderedPageBreak/>
        <w:t>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3C2F84" w:rsidR="003C2F84" w:rsidP="003C2F84" w:rsidRDefault="003C2F84" w14:paraId="61C718FA" w14:textId="77777777">
      <w:pPr>
        <w:jc w:val="both"/>
      </w:pPr>
    </w:p>
    <w:p w:rsidRPr="003C2F84" w:rsidR="003C2F84" w:rsidP="003C2F84" w:rsidRDefault="003C2F84" w14:paraId="2E162C40" w14:textId="77777777">
      <w:pPr>
        <w:jc w:val="both"/>
        <w:rPr>
          <w:lang w:val="es-PE"/>
        </w:rPr>
      </w:pPr>
      <w:r w:rsidRPr="003C2F84">
        <w:rPr>
          <w:rStyle w:val="Textoennegrita"/>
          <w:u w:val="single"/>
          <w:lang w:val="es-PE"/>
        </w:rPr>
        <w:t>TERCERO</w:t>
      </w:r>
      <w:r w:rsidRPr="003C2F84">
        <w:rPr>
          <w:rStyle w:val="Textoennegrita"/>
          <w:lang w:val="es-PE"/>
        </w:rPr>
        <w:t>:</w:t>
      </w:r>
      <w:r w:rsidRPr="003C2F84">
        <w:rPr>
          <w:lang w:val="es-PE"/>
        </w:rPr>
        <w:t xml:space="preserve"> Que, conforme a lo dispuesto en la Ley Nro. </w:t>
      </w:r>
      <w:r w:rsidRPr="003C2F84">
        <w:t xml:space="preserve">29946 – Ley del Contrato de Seguro, </w:t>
      </w:r>
      <w:r w:rsidRPr="003C2F8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C2F84" w:rsidR="003C2F84" w:rsidP="003C2F84" w:rsidRDefault="003C2F84" w14:paraId="23AC6FA3" w14:textId="77777777">
      <w:pPr>
        <w:jc w:val="both"/>
        <w:rPr>
          <w:b/>
          <w:u w:val="single"/>
          <w:lang w:val="es-PE"/>
        </w:rPr>
      </w:pPr>
    </w:p>
    <w:p w:rsidRPr="003C2F84" w:rsidR="003C2F84" w:rsidP="003C2F84" w:rsidRDefault="003C2F84" w14:paraId="294398A2" w14:textId="77777777">
      <w:pPr>
        <w:jc w:val="both"/>
        <w:rPr>
          <w:lang w:val="es-PE"/>
        </w:rPr>
      </w:pPr>
      <w:r w:rsidRPr="003C2F84">
        <w:rPr>
          <w:b/>
          <w:u w:val="single"/>
          <w:lang w:val="es-PE"/>
        </w:rPr>
        <w:t>CUARTO</w:t>
      </w:r>
      <w:r w:rsidRPr="003C2F84">
        <w:rPr>
          <w:b/>
          <w:lang w:val="es-PE"/>
        </w:rPr>
        <w:t>:</w:t>
      </w:r>
      <w:r w:rsidRPr="003C2F8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C2F84" w:rsidR="003C2F84" w:rsidP="003C2F84" w:rsidRDefault="003C2F84" w14:paraId="21433F38" w14:textId="77777777">
      <w:pPr>
        <w:jc w:val="both"/>
        <w:rPr>
          <w:rStyle w:val="Textoennegrita"/>
          <w:b w:val="0"/>
        </w:rPr>
      </w:pPr>
    </w:p>
    <w:p w:rsidRPr="003C2F84" w:rsidR="003C2F84" w:rsidP="003C2F84" w:rsidRDefault="003C2F84" w14:paraId="2BDCFBF2" w14:textId="77777777">
      <w:pPr>
        <w:jc w:val="both"/>
      </w:pPr>
      <w:r w:rsidRPr="003C2F84">
        <w:rPr>
          <w:rStyle w:val="Textoennegrita"/>
          <w:u w:val="single"/>
          <w:lang w:val="es-PE"/>
        </w:rPr>
        <w:t>QUINTO</w:t>
      </w:r>
      <w:r w:rsidRPr="003C2F84">
        <w:rPr>
          <w:rStyle w:val="Textoennegrita"/>
          <w:lang w:val="es-PE"/>
        </w:rPr>
        <w:t>:</w:t>
      </w:r>
      <w:r w:rsidRPr="003C2F84">
        <w:rPr>
          <w:rStyle w:val="Textoennegrita"/>
          <w:b w:val="0"/>
          <w:lang w:val="es-PE"/>
        </w:rPr>
        <w:t xml:space="preserve"> Que, conforme al </w:t>
      </w:r>
      <w:r w:rsidRPr="003C2F84">
        <w:rPr>
          <w:lang w:val="es-PE"/>
        </w:rPr>
        <w:t>artículo 196 del Código Procesal Civil, corresponde a quien invoca hechos probar su existencia, así como a quien los contradice invocando nuevos hechos; sin perjuicio de aplicarse las presunciones legales correspondientes.</w:t>
      </w:r>
    </w:p>
    <w:p w:rsidRPr="003C2F84" w:rsidR="003C2F84" w:rsidP="003C2F84" w:rsidRDefault="003C2F84" w14:paraId="57BA3A05" w14:textId="77777777">
      <w:pPr>
        <w:jc w:val="both"/>
        <w:rPr>
          <w:lang w:val="es-PE"/>
        </w:rPr>
      </w:pPr>
    </w:p>
    <w:p w:rsidRPr="003C2F84" w:rsidR="003C2F84" w:rsidP="003C2F84" w:rsidRDefault="003C2F84" w14:paraId="1E50BA1E" w14:textId="77777777">
      <w:pPr>
        <w:tabs>
          <w:tab w:val="left" w:pos="2160"/>
        </w:tabs>
        <w:jc w:val="both"/>
        <w:rPr>
          <w:lang w:val="es-PE"/>
        </w:rPr>
      </w:pPr>
      <w:r w:rsidRPr="003C2F84">
        <w:rPr>
          <w:b/>
          <w:u w:val="single"/>
          <w:lang w:val="es-PE"/>
        </w:rPr>
        <w:t>SEXTO</w:t>
      </w:r>
      <w:r w:rsidRPr="003C2F84">
        <w:rPr>
          <w:b/>
          <w:lang w:val="es-PE"/>
        </w:rPr>
        <w:t>:</w:t>
      </w:r>
      <w:r w:rsidRPr="003C2F84">
        <w:rPr>
          <w:lang w:val="es-PE"/>
        </w:rPr>
        <w:t xml:space="preserve"> Sobre la base de los términos contenidos en la reclamación y en su absolución, la cuestión controvertida radica en determinar si el rechazo de cobertura es legítimo o no, considerando que el mismo se sustenta, en la exclusión de cobertura consistente en siniestros ocasionados por </w:t>
      </w:r>
      <w:r w:rsidRPr="003C2F84">
        <w:rPr>
          <w:i/>
          <w:iCs/>
          <w:lang w:val="es-PE"/>
        </w:rPr>
        <w:t>“20. Circule en sentido contrario al tránsito autorizado o invadiendo el carril contrario”</w:t>
      </w:r>
      <w:r w:rsidRPr="003C2F84">
        <w:rPr>
          <w:lang w:val="es-PE"/>
        </w:rPr>
        <w:t xml:space="preserve"> (artículo 2, literal D Exclusiones Específicas, numeral 21 de las Condiciones Generales del Seguro de Autos), siendo que la forma en que se materializó el siniestro ha sido determinada por la autoridad policial.</w:t>
      </w:r>
    </w:p>
    <w:p w:rsidRPr="003C2F84" w:rsidR="003C2F84" w:rsidP="003C2F84" w:rsidRDefault="003C2F84" w14:paraId="1A00E4BF" w14:textId="77777777">
      <w:pPr>
        <w:tabs>
          <w:tab w:val="left" w:pos="2160"/>
        </w:tabs>
        <w:jc w:val="both"/>
        <w:rPr>
          <w:lang w:val="es-PE"/>
        </w:rPr>
      </w:pPr>
    </w:p>
    <w:p w:rsidRPr="003C2F84" w:rsidR="003C2F84" w:rsidP="003C2F84" w:rsidRDefault="003C2F84" w14:paraId="2F5430AE" w14:textId="77777777">
      <w:pPr>
        <w:tabs>
          <w:tab w:val="left" w:pos="2160"/>
        </w:tabs>
        <w:jc w:val="both"/>
        <w:rPr>
          <w:lang w:val="es-PE"/>
        </w:rPr>
      </w:pPr>
      <w:r w:rsidRPr="003C2F84">
        <w:rPr>
          <w:b/>
          <w:u w:val="single"/>
          <w:lang w:val="es-PE"/>
        </w:rPr>
        <w:t>SÉPTIMO</w:t>
      </w:r>
      <w:r w:rsidRPr="003C2F84">
        <w:rPr>
          <w:b/>
          <w:lang w:val="es-PE"/>
        </w:rPr>
        <w:t>:</w:t>
      </w:r>
      <w:r w:rsidRPr="003C2F84">
        <w:rPr>
          <w:lang w:val="es-PE"/>
        </w:rPr>
        <w:t xml:space="preserve"> Atendiendo a lo anterior, corresponde verificar si lo sucedido en el accidente de tránsito que involucra la unidad asegurada corresponde exactamente con el supuesto de hecho enunciado en la exclusión.</w:t>
      </w:r>
    </w:p>
    <w:p w:rsidRPr="003C2F84" w:rsidR="003C2F84" w:rsidP="003C2F84" w:rsidRDefault="003C2F84" w14:paraId="4BDC4D04" w14:textId="77777777">
      <w:pPr>
        <w:tabs>
          <w:tab w:val="left" w:pos="2160"/>
        </w:tabs>
        <w:jc w:val="both"/>
        <w:rPr>
          <w:lang w:val="es-PE"/>
        </w:rPr>
      </w:pPr>
    </w:p>
    <w:p w:rsidRPr="003C2F84" w:rsidR="003C2F84" w:rsidP="003C2F84" w:rsidRDefault="003C2F84" w14:paraId="5D836912" w14:textId="77777777">
      <w:pPr>
        <w:tabs>
          <w:tab w:val="left" w:pos="709"/>
          <w:tab w:val="left" w:pos="2160"/>
        </w:tabs>
        <w:jc w:val="both"/>
        <w:rPr>
          <w:lang w:val="es-PE"/>
        </w:rPr>
      </w:pPr>
      <w:r w:rsidRPr="003C2F84">
        <w:rPr>
          <w:lang w:val="es-PE"/>
        </w:rPr>
        <w:t>Conforme a lo anterior, cabe reiterar que la única exclusión invocada para fines del rechazo corresponde al siguiente evento:</w:t>
      </w:r>
    </w:p>
    <w:p w:rsidRPr="003C2F84" w:rsidR="003C2F84" w:rsidP="003C2F84" w:rsidRDefault="003C2F84" w14:paraId="1562B07B" w14:textId="77777777">
      <w:pPr>
        <w:tabs>
          <w:tab w:val="left" w:pos="709"/>
          <w:tab w:val="left" w:pos="2160"/>
        </w:tabs>
        <w:jc w:val="both"/>
        <w:rPr>
          <w:lang w:val="es-PE"/>
        </w:rPr>
      </w:pPr>
    </w:p>
    <w:p w:rsidRPr="003C2F84" w:rsidR="003C2F84" w:rsidP="003C2F84" w:rsidRDefault="003C2F84" w14:paraId="06192977" w14:textId="77777777">
      <w:pPr>
        <w:autoSpaceDE w:val="0"/>
        <w:autoSpaceDN w:val="0"/>
        <w:adjustRightInd w:val="0"/>
        <w:ind w:left="709"/>
        <w:jc w:val="both"/>
        <w:rPr>
          <w:b/>
          <w:bCs/>
          <w:i/>
          <w:iCs/>
          <w:lang w:val="es-PE" w:eastAsia="es-PE"/>
        </w:rPr>
      </w:pPr>
      <w:r w:rsidRPr="003C2F84">
        <w:rPr>
          <w:b/>
          <w:bCs/>
          <w:i/>
          <w:iCs/>
          <w:lang w:val="es-PE" w:eastAsia="es-PE"/>
        </w:rPr>
        <w:t>“D. EXCLUSIONES ESPECÍFICAS</w:t>
      </w:r>
    </w:p>
    <w:p w:rsidRPr="003C2F84" w:rsidR="003C2F84" w:rsidP="35354FF1" w:rsidRDefault="003C2F84" w14:paraId="0E587859" w14:textId="5CE3FA95">
      <w:pPr>
        <w:autoSpaceDE w:val="0"/>
        <w:autoSpaceDN w:val="0"/>
        <w:adjustRightInd w:val="0"/>
        <w:ind w:left="709"/>
        <w:jc w:val="both"/>
        <w:rPr>
          <w:b w:val="1"/>
          <w:bCs w:val="1"/>
          <w:i w:val="1"/>
          <w:iCs w:val="1"/>
          <w:lang w:val="es-PE" w:eastAsia="es-PE"/>
        </w:rPr>
      </w:pPr>
      <w:r w:rsidRPr="35354FF1" w:rsidR="003C2F84">
        <w:rPr>
          <w:b w:val="1"/>
          <w:bCs w:val="1"/>
          <w:i w:val="1"/>
          <w:iCs w:val="1"/>
          <w:lang w:val="es-PE" w:eastAsia="es-PE"/>
        </w:rPr>
        <w:t xml:space="preserve">En adición a las EXCLUSIONES GENERALES señaladas en estas Condiciones Generales, </w:t>
      </w:r>
      <w:r w:rsidRPr="35354FF1" w:rsidR="674F81F5">
        <w:rPr>
          <w:b w:val="1"/>
          <w:bCs w:val="1"/>
          <w:i w:val="1"/>
          <w:iCs w:val="1"/>
          <w:lang w:val="es-PE" w:eastAsia="es-PE"/>
        </w:rPr>
        <w:t>.....................................</w:t>
      </w:r>
      <w:r w:rsidRPr="35354FF1" w:rsidR="003C2F84">
        <w:rPr>
          <w:b w:val="1"/>
          <w:bCs w:val="1"/>
          <w:i w:val="1"/>
          <w:iCs w:val="1"/>
          <w:lang w:val="es-PE" w:eastAsia="es-PE"/>
        </w:rPr>
        <w:t xml:space="preserve"> no indemnizará al CONTRATANTE y/o ASEGURADO, las pérdidas o daños causados, originados, agravados o que sean consecuencia de, o por:</w:t>
      </w:r>
    </w:p>
    <w:p w:rsidRPr="003C2F84" w:rsidR="003C2F84" w:rsidP="003C2F84" w:rsidRDefault="003C2F84" w14:paraId="730DB80F" w14:textId="77777777">
      <w:pPr>
        <w:autoSpaceDE w:val="0"/>
        <w:autoSpaceDN w:val="0"/>
        <w:adjustRightInd w:val="0"/>
        <w:ind w:left="709"/>
        <w:jc w:val="both"/>
        <w:rPr>
          <w:b/>
          <w:bCs/>
          <w:i/>
          <w:iCs/>
          <w:lang w:val="es-PE" w:eastAsia="es-PE"/>
        </w:rPr>
      </w:pPr>
    </w:p>
    <w:p w:rsidRPr="003C2F84" w:rsidR="003C2F84" w:rsidP="003C2F84" w:rsidRDefault="003C2F84" w14:paraId="705B0D75" w14:textId="5D9CB258">
      <w:pPr>
        <w:tabs>
          <w:tab w:val="left" w:pos="709"/>
          <w:tab w:val="left" w:pos="2160"/>
        </w:tabs>
        <w:jc w:val="center"/>
        <w:rPr>
          <w:lang w:val="es-PE"/>
        </w:rPr>
      </w:pPr>
      <w:r w:rsidRPr="003C2F84">
        <w:rPr>
          <w:noProof/>
        </w:rPr>
        <w:drawing>
          <wp:inline distT="0" distB="0" distL="0" distR="0" wp14:anchorId="281CC75D" wp14:editId="07EAF911">
            <wp:extent cx="4991100" cy="262959"/>
            <wp:effectExtent l="0" t="0" r="0" b="381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2852" cy="267266"/>
                    </a:xfrm>
                    <a:prstGeom prst="rect">
                      <a:avLst/>
                    </a:prstGeom>
                    <a:noFill/>
                    <a:ln>
                      <a:noFill/>
                    </a:ln>
                  </pic:spPr>
                </pic:pic>
              </a:graphicData>
            </a:graphic>
          </wp:inline>
        </w:drawing>
      </w:r>
    </w:p>
    <w:p w:rsidRPr="003C2F84" w:rsidR="003C2F84" w:rsidP="003C2F84" w:rsidRDefault="003C2F84" w14:paraId="70204500" w14:textId="77777777">
      <w:pPr>
        <w:tabs>
          <w:tab w:val="left" w:pos="709"/>
          <w:tab w:val="left" w:pos="2160"/>
        </w:tabs>
        <w:jc w:val="both"/>
        <w:rPr>
          <w:lang w:val="es-PE"/>
        </w:rPr>
      </w:pPr>
    </w:p>
    <w:p w:rsidRPr="003C2F84" w:rsidR="003C2F84" w:rsidP="003C2F84" w:rsidRDefault="003C2F84" w14:paraId="210408D0" w14:textId="77777777">
      <w:pPr>
        <w:tabs>
          <w:tab w:val="left" w:pos="709"/>
          <w:tab w:val="left" w:pos="2160"/>
        </w:tabs>
        <w:jc w:val="both"/>
        <w:rPr>
          <w:lang w:val="es-PE"/>
        </w:rPr>
      </w:pPr>
      <w:r w:rsidRPr="003C2F84">
        <w:rPr>
          <w:lang w:val="es-PE"/>
        </w:rPr>
        <w:t>En consecuencia, lo que corresponde es determinar si el siniestro invocado calza, coincide o concuerda exacta y literalmente con el evento estipulado como exclusión o no.</w:t>
      </w:r>
    </w:p>
    <w:p w:rsidRPr="003C2F84" w:rsidR="003C2F84" w:rsidP="003C2F84" w:rsidRDefault="003C2F84" w14:paraId="32D2D81F" w14:textId="77777777">
      <w:pPr>
        <w:tabs>
          <w:tab w:val="left" w:pos="709"/>
          <w:tab w:val="left" w:pos="2160"/>
        </w:tabs>
        <w:jc w:val="both"/>
        <w:rPr>
          <w:lang w:val="es-PE"/>
        </w:rPr>
      </w:pPr>
    </w:p>
    <w:p w:rsidRPr="003C2F84" w:rsidR="003C2F84" w:rsidP="003C2F84" w:rsidRDefault="003C2F84" w14:paraId="5DB9FED1" w14:textId="77777777">
      <w:pPr>
        <w:tabs>
          <w:tab w:val="left" w:pos="709"/>
          <w:tab w:val="left" w:pos="2160"/>
        </w:tabs>
        <w:jc w:val="both"/>
        <w:rPr>
          <w:lang w:val="es-PE"/>
        </w:rPr>
      </w:pPr>
      <w:r w:rsidRPr="003C2F84">
        <w:rPr>
          <w:lang w:val="es-PE"/>
        </w:rPr>
        <w:lastRenderedPageBreak/>
        <w:t xml:space="preserve">De acuerdo con el Informe No 40-2021-VI-MACREPOL-J/REGPOL-J/DIVOPUS-H/COM.OROYA-SIAT de fecha 1 de julio de 2021, la autoridad policial determina que el accidente de tránsito fue como consecuencia de que la unidad asegurada invadió el carril contrario: </w:t>
      </w:r>
    </w:p>
    <w:p w:rsidRPr="003C2F84" w:rsidR="003C2F84" w:rsidP="003C2F84" w:rsidRDefault="003C2F84" w14:paraId="437184CC" w14:textId="77777777">
      <w:pPr>
        <w:tabs>
          <w:tab w:val="left" w:pos="709"/>
          <w:tab w:val="left" w:pos="2160"/>
        </w:tabs>
        <w:jc w:val="both"/>
        <w:rPr>
          <w:lang w:val="es-PE"/>
        </w:rPr>
      </w:pPr>
    </w:p>
    <w:p w:rsidRPr="003C2F84" w:rsidR="003C2F84" w:rsidP="003C2F84" w:rsidRDefault="003C2F84" w14:paraId="75005D06" w14:textId="1836305E">
      <w:pPr>
        <w:tabs>
          <w:tab w:val="left" w:pos="709"/>
          <w:tab w:val="left" w:pos="2160"/>
        </w:tabs>
        <w:jc w:val="center"/>
        <w:rPr>
          <w:lang w:val="es-PE"/>
        </w:rPr>
      </w:pPr>
      <w:r w:rsidRPr="003C2F84">
        <w:rPr>
          <w:noProof/>
        </w:rPr>
        <w:drawing>
          <wp:inline distT="0" distB="0" distL="0" distR="0" wp14:anchorId="7318F47A" wp14:editId="4D88F30B">
            <wp:extent cx="4705350" cy="218080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3932" cy="2184779"/>
                    </a:xfrm>
                    <a:prstGeom prst="rect">
                      <a:avLst/>
                    </a:prstGeom>
                    <a:noFill/>
                    <a:ln>
                      <a:noFill/>
                    </a:ln>
                  </pic:spPr>
                </pic:pic>
              </a:graphicData>
            </a:graphic>
          </wp:inline>
        </w:drawing>
      </w:r>
    </w:p>
    <w:p w:rsidRPr="003C2F84" w:rsidR="003C2F84" w:rsidP="003C2F84" w:rsidRDefault="003C2F84" w14:paraId="29FDA3FF" w14:textId="77777777">
      <w:pPr>
        <w:tabs>
          <w:tab w:val="left" w:pos="709"/>
          <w:tab w:val="left" w:pos="2160"/>
        </w:tabs>
        <w:jc w:val="both"/>
        <w:rPr>
          <w:lang w:val="es-PE"/>
        </w:rPr>
      </w:pPr>
    </w:p>
    <w:p w:rsidRPr="003C2F84" w:rsidR="003C2F84" w:rsidP="003C2F84" w:rsidRDefault="003C2F84" w14:paraId="02892803" w14:textId="77777777">
      <w:pPr>
        <w:tabs>
          <w:tab w:val="left" w:pos="709"/>
          <w:tab w:val="left" w:pos="2160"/>
        </w:tabs>
        <w:jc w:val="both"/>
        <w:rPr>
          <w:lang w:val="es-PE"/>
        </w:rPr>
      </w:pPr>
      <w:r w:rsidRPr="003C2F84">
        <w:rPr>
          <w:lang w:val="es-PE"/>
        </w:rPr>
        <w:t>Durante la investigación técnico policial, la asegurada ha sostenido que el siniestro tuvo como causa determinante que la otra unidad vehicular era conducida con luces altas que enceguecieron a la asegurada:</w:t>
      </w:r>
    </w:p>
    <w:p w:rsidRPr="003C2F84" w:rsidR="003C2F84" w:rsidP="003C2F84" w:rsidRDefault="003C2F84" w14:paraId="62D09B4F" w14:textId="77777777">
      <w:pPr>
        <w:tabs>
          <w:tab w:val="left" w:pos="709"/>
          <w:tab w:val="left" w:pos="2160"/>
        </w:tabs>
        <w:jc w:val="both"/>
        <w:rPr>
          <w:lang w:val="es-PE"/>
        </w:rPr>
      </w:pPr>
    </w:p>
    <w:p w:rsidRPr="003C2F84" w:rsidR="003C2F84" w:rsidP="003C2F84" w:rsidRDefault="003C2F84" w14:paraId="77E30395" w14:textId="27E5648B">
      <w:pPr>
        <w:tabs>
          <w:tab w:val="left" w:pos="709"/>
          <w:tab w:val="left" w:pos="2160"/>
        </w:tabs>
        <w:jc w:val="center"/>
      </w:pPr>
      <w:r w:rsidR="159A3438">
        <w:rPr/>
        <w:t>..................................................................................</w:t>
      </w:r>
    </w:p>
    <w:p w:rsidR="35354FF1" w:rsidP="35354FF1" w:rsidRDefault="35354FF1" w14:paraId="23E82B01" w14:textId="619C26DA">
      <w:pPr>
        <w:tabs>
          <w:tab w:val="left" w:leader="none" w:pos="709"/>
          <w:tab w:val="left" w:leader="none" w:pos="2160"/>
        </w:tabs>
        <w:jc w:val="center"/>
      </w:pPr>
    </w:p>
    <w:p w:rsidRPr="003C2F84" w:rsidR="003C2F84" w:rsidP="003C2F84" w:rsidRDefault="003C2F84" w14:paraId="5B0D72D3" w14:textId="77777777">
      <w:pPr>
        <w:tabs>
          <w:tab w:val="left" w:pos="709"/>
          <w:tab w:val="left" w:pos="2160"/>
        </w:tabs>
        <w:jc w:val="both"/>
        <w:rPr>
          <w:lang w:val="es-PE"/>
        </w:rPr>
      </w:pPr>
    </w:p>
    <w:p w:rsidRPr="003C2F84" w:rsidR="003C2F84" w:rsidP="003C2F84" w:rsidRDefault="003C2F84" w14:paraId="2DFAE0B2" w14:textId="77777777">
      <w:pPr>
        <w:tabs>
          <w:tab w:val="left" w:pos="709"/>
          <w:tab w:val="left" w:pos="2160"/>
        </w:tabs>
        <w:jc w:val="both"/>
        <w:rPr>
          <w:lang w:val="es-PE"/>
        </w:rPr>
      </w:pPr>
      <w:r w:rsidRPr="003C2F84">
        <w:rPr>
          <w:lang w:val="es-PE"/>
        </w:rPr>
        <w:t>Sobre esta circunstancia esta Defensoría aprecia que el dicho de la asegurada no ha sido acreditado con otros elementos de prueba distintos a su sola manifestación.</w:t>
      </w:r>
    </w:p>
    <w:p w:rsidRPr="003C2F84" w:rsidR="003C2F84" w:rsidP="003C2F84" w:rsidRDefault="003C2F84" w14:paraId="0C8AD08D" w14:textId="77777777">
      <w:pPr>
        <w:tabs>
          <w:tab w:val="left" w:pos="709"/>
          <w:tab w:val="left" w:pos="2160"/>
        </w:tabs>
        <w:jc w:val="both"/>
        <w:rPr>
          <w:lang w:val="es-PE"/>
        </w:rPr>
      </w:pPr>
    </w:p>
    <w:p w:rsidRPr="003C2F84" w:rsidR="003C2F84" w:rsidP="003C2F84" w:rsidRDefault="003C2F84" w14:paraId="446F7A6D" w14:textId="77777777">
      <w:pPr>
        <w:tabs>
          <w:tab w:val="left" w:pos="709"/>
          <w:tab w:val="left" w:pos="2160"/>
        </w:tabs>
        <w:jc w:val="both"/>
        <w:rPr>
          <w:lang w:val="es-PE"/>
        </w:rPr>
      </w:pPr>
      <w:r w:rsidRPr="003C2F84">
        <w:rPr>
          <w:lang w:val="es-PE"/>
        </w:rPr>
        <w:t>Además, asumiendo hipotéticamente que se haya producido el enceguecimiento alegado, este colegiado considera que esa circunstancia no es causa adecuada para que normalmente un conductor invada el carril contrario. En efecto, ante un supuesto de deslumbramiento lo normal es que el conductor frene o disminuya la velocidad de su vehículo, incluso la maniobra común es virar al sentido contrario a la dirección de donde viene la luz alta.</w:t>
      </w:r>
    </w:p>
    <w:p w:rsidRPr="003C2F84" w:rsidR="003C2F84" w:rsidP="003C2F84" w:rsidRDefault="003C2F84" w14:paraId="03B89333" w14:textId="77777777">
      <w:pPr>
        <w:tabs>
          <w:tab w:val="left" w:pos="709"/>
          <w:tab w:val="left" w:pos="2160"/>
        </w:tabs>
        <w:jc w:val="both"/>
        <w:rPr>
          <w:lang w:val="es-PE"/>
        </w:rPr>
      </w:pPr>
    </w:p>
    <w:p w:rsidRPr="003C2F84" w:rsidR="003C2F84" w:rsidP="003C2F84" w:rsidRDefault="003C2F84" w14:paraId="5AF3B8B5" w14:textId="77777777">
      <w:pPr>
        <w:tabs>
          <w:tab w:val="left" w:pos="709"/>
          <w:tab w:val="left" w:pos="2160"/>
        </w:tabs>
        <w:jc w:val="both"/>
        <w:rPr>
          <w:lang w:val="es-PE"/>
        </w:rPr>
      </w:pPr>
      <w:r w:rsidRPr="003C2F84">
        <w:rPr>
          <w:lang w:val="es-PE"/>
        </w:rPr>
        <w:lastRenderedPageBreak/>
        <w:t xml:space="preserve">Incluso, se advierte </w:t>
      </w:r>
      <w:proofErr w:type="gramStart"/>
      <w:r w:rsidRPr="003C2F84">
        <w:rPr>
          <w:lang w:val="es-PE"/>
        </w:rPr>
        <w:t>que</w:t>
      </w:r>
      <w:proofErr w:type="gramEnd"/>
      <w:r w:rsidRPr="003C2F84">
        <w:rPr>
          <w:lang w:val="es-PE"/>
        </w:rPr>
        <w:t xml:space="preserve"> estando la vía oscura, las eventuales luces altas pueden verse con antelación, de manera que ante un deslumbramiento se pueden adoptar las medidas normales de prevención como frenar o mantener la derecha del propio carril.</w:t>
      </w:r>
    </w:p>
    <w:p w:rsidRPr="003C2F84" w:rsidR="003C2F84" w:rsidP="003C2F84" w:rsidRDefault="003C2F84" w14:paraId="5301E5E6" w14:textId="77777777">
      <w:pPr>
        <w:tabs>
          <w:tab w:val="left" w:pos="709"/>
          <w:tab w:val="left" w:pos="2160"/>
        </w:tabs>
        <w:jc w:val="both"/>
        <w:rPr>
          <w:lang w:val="es-PE"/>
        </w:rPr>
      </w:pPr>
    </w:p>
    <w:p w:rsidRPr="003C2F84" w:rsidR="003C2F84" w:rsidP="003C2F84" w:rsidRDefault="003C2F84" w14:paraId="0ADD82D9" w14:textId="77777777">
      <w:pPr>
        <w:tabs>
          <w:tab w:val="left" w:pos="709"/>
          <w:tab w:val="left" w:pos="2160"/>
        </w:tabs>
        <w:jc w:val="both"/>
        <w:rPr>
          <w:lang w:val="es-PE"/>
        </w:rPr>
      </w:pPr>
      <w:r w:rsidRPr="003C2F84">
        <w:rPr>
          <w:lang w:val="es-PE"/>
        </w:rPr>
        <w:t>En el presente caso, la asegurada ha declarado que conducía a una velocidad de 30km/hora o menos. En esas circunstancias, lo lógico y normal sería que la conductora frene su unidad o mantenga la conducción por su carril.</w:t>
      </w:r>
    </w:p>
    <w:p w:rsidRPr="003C2F84" w:rsidR="003C2F84" w:rsidP="003C2F84" w:rsidRDefault="003C2F84" w14:paraId="6EF16D96" w14:textId="77777777">
      <w:pPr>
        <w:tabs>
          <w:tab w:val="left" w:pos="709"/>
          <w:tab w:val="left" w:pos="2160"/>
        </w:tabs>
        <w:jc w:val="both"/>
        <w:rPr>
          <w:lang w:val="es-PE"/>
        </w:rPr>
      </w:pPr>
    </w:p>
    <w:p w:rsidRPr="003C2F84" w:rsidR="003C2F84" w:rsidP="003C2F84" w:rsidRDefault="003C2F84" w14:paraId="3F05FA85" w14:textId="5E319EEC">
      <w:pPr>
        <w:tabs>
          <w:tab w:val="left" w:pos="709"/>
          <w:tab w:val="left" w:pos="2160"/>
        </w:tabs>
        <w:jc w:val="center"/>
      </w:pPr>
      <w:r w:rsidR="48FE9716">
        <w:rPr/>
        <w:t>.....................................................................</w:t>
      </w:r>
    </w:p>
    <w:p w:rsidRPr="003C2F84" w:rsidR="003C2F84" w:rsidP="003C2F84" w:rsidRDefault="003C2F84" w14:paraId="636890DD" w14:textId="77777777">
      <w:pPr>
        <w:tabs>
          <w:tab w:val="left" w:pos="709"/>
          <w:tab w:val="left" w:pos="2160"/>
        </w:tabs>
        <w:jc w:val="both"/>
        <w:rPr>
          <w:lang w:val="es-PE"/>
        </w:rPr>
      </w:pPr>
    </w:p>
    <w:p w:rsidRPr="003C2F84" w:rsidR="003C2F84" w:rsidP="003C2F84" w:rsidRDefault="003C2F84" w14:paraId="3D8A523D" w14:textId="77777777">
      <w:pPr>
        <w:tabs>
          <w:tab w:val="left" w:pos="709"/>
          <w:tab w:val="left" w:pos="2160"/>
        </w:tabs>
        <w:jc w:val="both"/>
        <w:rPr>
          <w:lang w:val="es-PE"/>
        </w:rPr>
      </w:pPr>
      <w:r w:rsidRPr="003C2F84">
        <w:rPr>
          <w:lang w:val="es-PE"/>
        </w:rPr>
        <w:t xml:space="preserve">De lo expuesto el colegiado verifica la existencia de constataciones policiales no contradichas con otros elementos probatorios, de que el evento dañoso sucedió cuando la conductora de la unidad asegurada circulaba invadiendo el carril contrario. </w:t>
      </w:r>
    </w:p>
    <w:p w:rsidRPr="003C2F84" w:rsidR="003C2F84" w:rsidP="003C2F84" w:rsidRDefault="003C2F84" w14:paraId="7E81D3D6" w14:textId="77777777">
      <w:pPr>
        <w:tabs>
          <w:tab w:val="left" w:pos="709"/>
          <w:tab w:val="left" w:pos="2160"/>
        </w:tabs>
        <w:jc w:val="both"/>
        <w:rPr>
          <w:lang w:val="es-PE"/>
        </w:rPr>
      </w:pPr>
    </w:p>
    <w:p w:rsidRPr="003C2F84" w:rsidR="003C2F84" w:rsidP="003C2F84" w:rsidRDefault="003C2F84" w14:paraId="55A8A53D" w14:textId="77777777">
      <w:pPr>
        <w:tabs>
          <w:tab w:val="left" w:pos="709"/>
          <w:tab w:val="left" w:pos="2160"/>
        </w:tabs>
        <w:jc w:val="both"/>
        <w:rPr>
          <w:lang w:val="es-PE"/>
        </w:rPr>
      </w:pPr>
      <w:r w:rsidRPr="003C2F84">
        <w:rPr>
          <w:lang w:val="es-PE"/>
        </w:rPr>
        <w:t xml:space="preserve">En consecuencia, </w:t>
      </w:r>
      <w:proofErr w:type="gramStart"/>
      <w:r w:rsidRPr="003C2F84">
        <w:rPr>
          <w:lang w:val="es-PE"/>
        </w:rPr>
        <w:t>en razón de</w:t>
      </w:r>
      <w:proofErr w:type="gramEnd"/>
      <w:r w:rsidRPr="003C2F84">
        <w:rPr>
          <w:lang w:val="es-PE"/>
        </w:rPr>
        <w:t xml:space="preserve"> lo expuesto, debe concluirse que el rechazo de cobertura se ajusta a los términos y condiciones contractuales.</w:t>
      </w:r>
    </w:p>
    <w:p w:rsidRPr="003C2F84" w:rsidR="003C2F84" w:rsidP="003C2F84" w:rsidRDefault="003C2F84" w14:paraId="41D7EF99" w14:textId="77777777">
      <w:pPr>
        <w:tabs>
          <w:tab w:val="left" w:pos="709"/>
          <w:tab w:val="left" w:pos="2160"/>
        </w:tabs>
        <w:jc w:val="both"/>
        <w:rPr>
          <w:lang w:val="es-PE"/>
        </w:rPr>
      </w:pPr>
    </w:p>
    <w:p w:rsidRPr="003C2F84" w:rsidR="003C2F84" w:rsidP="003C2F84" w:rsidRDefault="003C2F84" w14:paraId="140FA3A4" w14:textId="77777777">
      <w:pPr>
        <w:tabs>
          <w:tab w:val="left" w:pos="2386"/>
        </w:tabs>
        <w:jc w:val="both"/>
        <w:outlineLvl w:val="0"/>
        <w:rPr>
          <w:b/>
        </w:rPr>
      </w:pPr>
      <w:r w:rsidRPr="003C2F84">
        <w:rPr>
          <w:b/>
          <w:lang w:val="es-PE"/>
        </w:rPr>
        <w:t xml:space="preserve">Atendiendo a lo expresado, este colegiado </w:t>
      </w:r>
      <w:r w:rsidRPr="003C2F84">
        <w:rPr>
          <w:b/>
        </w:rPr>
        <w:t>concluye su apreciación razonada y conjunta, al amparo de lo establecido en su Reglamento, estimando que el rechazo de cobertura al cual se contrae la presente reclamación es legítimo, por lo que</w:t>
      </w:r>
      <w:r w:rsidRPr="003C2F84">
        <w:rPr>
          <w:b/>
          <w:lang w:val="es-PE"/>
        </w:rPr>
        <w:t xml:space="preserve"> resuelve:</w:t>
      </w:r>
    </w:p>
    <w:p w:rsidRPr="003C2F84" w:rsidR="003C2F84" w:rsidP="003C2F84" w:rsidRDefault="003C2F84" w14:paraId="37058300" w14:textId="77777777">
      <w:pPr>
        <w:jc w:val="both"/>
        <w:rPr>
          <w:rFonts w:eastAsia="Arial Unicode MS"/>
          <w:lang w:val="es-PE"/>
        </w:rPr>
      </w:pPr>
    </w:p>
    <w:p w:rsidRPr="003C2F84" w:rsidR="003C2F84" w:rsidP="35354FF1" w:rsidRDefault="003C2F84" w14:paraId="697F6838" w14:textId="344C4118">
      <w:pPr>
        <w:tabs>
          <w:tab w:val="left" w:leader="none" w:pos="1416"/>
        </w:tabs>
        <w:jc w:val="both"/>
        <w:rPr>
          <w:lang w:val="es-PE"/>
        </w:rPr>
      </w:pPr>
      <w:r w:rsidRPr="35354FF1" w:rsidR="003C2F84">
        <w:rPr>
          <w:rFonts w:eastAsia="Arial Unicode MS"/>
          <w:lang w:val="es-PE"/>
        </w:rPr>
        <w:t xml:space="preserve">Declarar </w:t>
      </w:r>
      <w:r w:rsidRPr="35354FF1" w:rsidR="003C2F84">
        <w:rPr>
          <w:rFonts w:eastAsia="Arial Unicode MS"/>
          <w:b w:val="1"/>
          <w:bCs w:val="1"/>
          <w:lang w:val="es-PE"/>
        </w:rPr>
        <w:t>IN</w:t>
      </w:r>
      <w:r w:rsidRPr="35354FF1" w:rsidR="003C2F84">
        <w:rPr>
          <w:rFonts w:eastAsia="Arial Unicode MS"/>
          <w:b w:val="1"/>
          <w:bCs w:val="1"/>
          <w:lang w:val="es-PE"/>
        </w:rPr>
        <w:t>FUNDADA</w:t>
      </w:r>
      <w:r w:rsidRPr="35354FF1" w:rsidR="003C2F84">
        <w:rPr>
          <w:rFonts w:eastAsia="Arial Unicode MS"/>
          <w:lang w:val="es-PE"/>
        </w:rPr>
        <w:t xml:space="preserve"> la reclamación interpuesta por</w:t>
      </w:r>
      <w:r w:rsidRPr="35354FF1" w:rsidR="003C2F84">
        <w:rPr>
          <w:lang w:val="es-PE"/>
        </w:rPr>
        <w:t xml:space="preserve"> </w:t>
      </w:r>
      <w:r w:rsidRPr="35354FF1" w:rsidR="5D635248">
        <w:rPr>
          <w:lang w:val="es-PE"/>
        </w:rPr>
        <w:t>................................................................</w:t>
      </w:r>
      <w:r w:rsidRPr="35354FF1" w:rsidR="003C2F84">
        <w:rPr>
          <w:b w:val="1"/>
          <w:bCs w:val="1"/>
          <w:lang w:val="es-MX"/>
        </w:rPr>
        <w:t xml:space="preserve"> </w:t>
      </w:r>
      <w:r w:rsidRPr="35354FF1" w:rsidR="003C2F84">
        <w:rPr>
          <w:lang w:val="es-PE"/>
        </w:rPr>
        <w:t xml:space="preserve">contra </w:t>
      </w:r>
      <w:r w:rsidRPr="35354FF1" w:rsidR="7399C7DA">
        <w:rPr>
          <w:lang w:val="es-PE"/>
        </w:rPr>
        <w:t>........................................</w:t>
      </w:r>
      <w:r w:rsidRPr="35354FF1" w:rsidR="003C2F84">
        <w:rPr>
          <w:lang w:val="es-PE"/>
        </w:rPr>
        <w:t xml:space="preserve"> quedando a salvo su derecho de recurrir a las instancias que considere pertinentes.</w:t>
      </w:r>
    </w:p>
    <w:p w:rsidRPr="003C2F84" w:rsidR="00150853" w:rsidP="00150853" w:rsidRDefault="00150853" w14:paraId="72CE599F" w14:textId="77777777">
      <w:pPr>
        <w:jc w:val="both"/>
        <w:rPr>
          <w:lang w:val="es-PE"/>
        </w:rPr>
      </w:pPr>
    </w:p>
    <w:p w:rsidRPr="003C2F84" w:rsidR="001631D6" w:rsidP="00F202DC" w:rsidRDefault="00F15FBA" w14:paraId="48C7895B" w14:textId="56FB523F">
      <w:pPr>
        <w:jc w:val="right"/>
        <w:outlineLvl w:val="0"/>
        <w:rPr>
          <w:lang w:val="es-PE"/>
        </w:rPr>
      </w:pPr>
      <w:r w:rsidRPr="003C2F84">
        <w:rPr>
          <w:lang w:val="es-PE"/>
        </w:rPr>
        <w:t xml:space="preserve">Lima, </w:t>
      </w:r>
      <w:r w:rsidRPr="003C2F84" w:rsidR="00AE6ED7">
        <w:t>21</w:t>
      </w:r>
      <w:r w:rsidRPr="003C2F84" w:rsidR="00195646">
        <w:t xml:space="preserve"> </w:t>
      </w:r>
      <w:r w:rsidRPr="003C2F84">
        <w:rPr>
          <w:lang w:val="es-PE"/>
        </w:rPr>
        <w:t>de</w:t>
      </w:r>
      <w:r w:rsidRPr="003C2F84" w:rsidR="001631D6">
        <w:rPr>
          <w:lang w:val="es-PE"/>
        </w:rPr>
        <w:t xml:space="preserve"> </w:t>
      </w:r>
      <w:r w:rsidRPr="003C2F84" w:rsidR="00C45FF3">
        <w:rPr>
          <w:lang w:val="es-PE"/>
        </w:rPr>
        <w:t>febrero</w:t>
      </w:r>
      <w:r w:rsidRPr="003C2F84" w:rsidR="001631D6">
        <w:rPr>
          <w:lang w:val="es-PE"/>
        </w:rPr>
        <w:t xml:space="preserve"> </w:t>
      </w:r>
      <w:r w:rsidRPr="003C2F84">
        <w:rPr>
          <w:lang w:val="es-PE"/>
        </w:rPr>
        <w:t>de 20</w:t>
      </w:r>
      <w:r w:rsidRPr="003C2F84" w:rsidR="001631D6">
        <w:rPr>
          <w:lang w:val="es-PE"/>
        </w:rPr>
        <w:t>2</w:t>
      </w:r>
      <w:r w:rsidRPr="003C2F84" w:rsidR="00444D29">
        <w:rPr>
          <w:lang w:val="es-PE"/>
        </w:rPr>
        <w:t>2</w:t>
      </w:r>
    </w:p>
    <w:p w:rsidRPr="003C2F84" w:rsidR="00F202DC" w:rsidP="001631D6" w:rsidRDefault="00F202DC" w14:paraId="55EA6443" w14:textId="77777777">
      <w:pPr>
        <w:jc w:val="both"/>
      </w:pPr>
    </w:p>
    <w:p w:rsidRPr="003C2F84" w:rsidR="001631D6" w:rsidP="001631D6" w:rsidRDefault="001631D6" w14:paraId="54F717D9" w14:textId="77777777">
      <w:pPr>
        <w:jc w:val="both"/>
        <w:rPr>
          <w:b/>
          <w:bCs/>
          <w:i/>
          <w:iCs/>
          <w:lang w:val="es-ES_tradnl"/>
        </w:rPr>
      </w:pPr>
      <w:r w:rsidRPr="003C2F84">
        <w:rPr>
          <w:b/>
          <w:bCs/>
          <w:i/>
          <w:iCs/>
          <w:lang w:val="es-ES_tradnl"/>
        </w:rPr>
        <w:t>La Secretaría Técnica certifica que la presente resolución cuenta con el voto de los vocales cuyos nombres figuran en el presente documento.</w:t>
      </w:r>
    </w:p>
    <w:p w:rsidRPr="003C2F84" w:rsidR="001631D6" w:rsidP="001631D6" w:rsidRDefault="001631D6" w14:paraId="265ABE8B" w14:textId="77777777">
      <w:pPr>
        <w:jc w:val="both"/>
        <w:rPr>
          <w:b/>
          <w:bCs/>
          <w:i/>
          <w:iCs/>
          <w:lang w:val="es-ES_tradnl"/>
        </w:rPr>
      </w:pPr>
    </w:p>
    <w:p w:rsidRPr="003C2F84" w:rsidR="001631D6" w:rsidP="001631D6" w:rsidRDefault="001631D6" w14:paraId="024CA4C1" w14:textId="77777777">
      <w:pPr>
        <w:jc w:val="both"/>
        <w:rPr>
          <w:b/>
          <w:bCs/>
          <w:i/>
          <w:iCs/>
          <w:lang w:val="es-ES_tradnl"/>
        </w:rPr>
      </w:pPr>
    </w:p>
    <w:p w:rsidRPr="003C2F84" w:rsidR="003E6BA6" w:rsidP="003E6BA6" w:rsidRDefault="003E6BA6" w14:paraId="7E9839D4" w14:textId="5DB01808">
      <w:pPr>
        <w:spacing w:line="360" w:lineRule="auto"/>
        <w:jc w:val="center"/>
        <w:rPr>
          <w:b/>
          <w:bCs/>
        </w:rPr>
      </w:pPr>
      <w:r w:rsidRPr="003C2F84">
        <w:rPr>
          <w:b/>
          <w:bCs/>
        </w:rPr>
        <w:t xml:space="preserve">María Eugenia Valdez Fernández Baca – </w:t>
      </w:r>
      <w:proofErr w:type="gramStart"/>
      <w:r w:rsidRPr="003C2F84">
        <w:rPr>
          <w:b/>
          <w:bCs/>
        </w:rPr>
        <w:t>Presidente</w:t>
      </w:r>
      <w:proofErr w:type="gramEnd"/>
    </w:p>
    <w:p w:rsidRPr="003C2F84" w:rsidR="001631D6" w:rsidP="001631D6" w:rsidRDefault="001631D6" w14:paraId="515933D0" w14:textId="2ADBD884">
      <w:pPr>
        <w:spacing w:line="360" w:lineRule="auto"/>
        <w:jc w:val="center"/>
        <w:rPr>
          <w:b/>
          <w:bCs/>
        </w:rPr>
      </w:pPr>
      <w:r w:rsidRPr="003C2F84">
        <w:rPr>
          <w:b/>
          <w:bCs/>
        </w:rPr>
        <w:t xml:space="preserve">Rolando Eyzaguirre </w:t>
      </w:r>
      <w:proofErr w:type="spellStart"/>
      <w:r w:rsidRPr="003C2F84">
        <w:rPr>
          <w:b/>
          <w:bCs/>
        </w:rPr>
        <w:t>Maccan</w:t>
      </w:r>
      <w:proofErr w:type="spellEnd"/>
      <w:r w:rsidRPr="003C2F84">
        <w:rPr>
          <w:b/>
          <w:bCs/>
        </w:rPr>
        <w:t xml:space="preserve"> – </w:t>
      </w:r>
      <w:r w:rsidRPr="003C2F84" w:rsidR="003E6BA6">
        <w:rPr>
          <w:b/>
          <w:bCs/>
        </w:rPr>
        <w:t>Vocal</w:t>
      </w:r>
    </w:p>
    <w:p w:rsidRPr="003C2F84" w:rsidR="00E958A9" w:rsidP="003E772B" w:rsidRDefault="00E958A9" w14:paraId="4F0DFB4C" w14:textId="5305E030">
      <w:pPr>
        <w:spacing w:line="360" w:lineRule="auto"/>
        <w:jc w:val="center"/>
        <w:rPr>
          <w:b/>
          <w:bCs/>
        </w:rPr>
      </w:pPr>
      <w:r w:rsidRPr="003C2F84">
        <w:rPr>
          <w:b/>
          <w:bCs/>
        </w:rPr>
        <w:t>Marco Antonio Ortega Piana – Vocal</w:t>
      </w:r>
    </w:p>
    <w:p w:rsidRPr="003C2F84" w:rsidR="001631D6" w:rsidP="001631D6" w:rsidRDefault="001631D6" w14:paraId="44059E74" w14:textId="419A9DDE">
      <w:pPr>
        <w:spacing w:line="360" w:lineRule="auto"/>
        <w:jc w:val="center"/>
        <w:rPr>
          <w:b/>
          <w:bCs/>
        </w:rPr>
      </w:pPr>
      <w:r w:rsidRPr="003C2F84">
        <w:rPr>
          <w:b/>
          <w:bCs/>
        </w:rPr>
        <w:t xml:space="preserve">Gonzalo Abad del Busto </w:t>
      </w:r>
      <w:r w:rsidRPr="003C2F84" w:rsidR="00916337">
        <w:rPr>
          <w:b/>
          <w:bCs/>
        </w:rPr>
        <w:t>–</w:t>
      </w:r>
      <w:r w:rsidRPr="003C2F84">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AC5B57" w14:paraId="164CAA9F" w14:textId="77777777"/>
    <w:sectPr w:rsidRPr="003E772B"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4BDB" w:rsidP="005F148C" w:rsidRDefault="007C4BDB" w14:paraId="37A31A66" w14:textId="77777777">
      <w:r>
        <w:separator/>
      </w:r>
    </w:p>
  </w:endnote>
  <w:endnote w:type="continuationSeparator" w:id="0">
    <w:p w:rsidR="007C4BDB" w:rsidP="005F148C" w:rsidRDefault="007C4BDB" w14:paraId="21B1DB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4BDB" w:rsidP="005F148C" w:rsidRDefault="007C4BDB" w14:paraId="56AAE1BC" w14:textId="77777777">
      <w:r>
        <w:separator/>
      </w:r>
    </w:p>
  </w:footnote>
  <w:footnote w:type="continuationSeparator" w:id="0">
    <w:p w:rsidR="007C4BDB" w:rsidP="005F148C" w:rsidRDefault="007C4BDB" w14:paraId="246C98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33ED8"/>
    <w:rsid w:val="002370F4"/>
    <w:rsid w:val="00251FD7"/>
    <w:rsid w:val="00265628"/>
    <w:rsid w:val="00281026"/>
    <w:rsid w:val="002A2188"/>
    <w:rsid w:val="002B14D5"/>
    <w:rsid w:val="002C236D"/>
    <w:rsid w:val="002E35A4"/>
    <w:rsid w:val="002E708C"/>
    <w:rsid w:val="002F7E39"/>
    <w:rsid w:val="00302CD3"/>
    <w:rsid w:val="00316A1B"/>
    <w:rsid w:val="0032570B"/>
    <w:rsid w:val="00372156"/>
    <w:rsid w:val="003977C8"/>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77FBF"/>
    <w:rsid w:val="0069382D"/>
    <w:rsid w:val="006A1077"/>
    <w:rsid w:val="006D33B8"/>
    <w:rsid w:val="0072229D"/>
    <w:rsid w:val="007224F7"/>
    <w:rsid w:val="00734447"/>
    <w:rsid w:val="007408CA"/>
    <w:rsid w:val="00742D07"/>
    <w:rsid w:val="007474DB"/>
    <w:rsid w:val="00782489"/>
    <w:rsid w:val="00793F6A"/>
    <w:rsid w:val="0079416E"/>
    <w:rsid w:val="007A22CF"/>
    <w:rsid w:val="007B49ED"/>
    <w:rsid w:val="007C2FC5"/>
    <w:rsid w:val="007C3730"/>
    <w:rsid w:val="007C4BDB"/>
    <w:rsid w:val="007D353F"/>
    <w:rsid w:val="007D77D3"/>
    <w:rsid w:val="00812270"/>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D5FD0"/>
    <w:rsid w:val="00BE7E0A"/>
    <w:rsid w:val="00C04395"/>
    <w:rsid w:val="00C11655"/>
    <w:rsid w:val="00C15D24"/>
    <w:rsid w:val="00C21994"/>
    <w:rsid w:val="00C45FF3"/>
    <w:rsid w:val="00C5693C"/>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2C0EAE8"/>
    <w:rsid w:val="067C2AB0"/>
    <w:rsid w:val="11C36EDB"/>
    <w:rsid w:val="159A3438"/>
    <w:rsid w:val="287AF8D3"/>
    <w:rsid w:val="35354FF1"/>
    <w:rsid w:val="36174C22"/>
    <w:rsid w:val="40974B19"/>
    <w:rsid w:val="4789380A"/>
    <w:rsid w:val="48FE9716"/>
    <w:rsid w:val="4C8B243C"/>
    <w:rsid w:val="4CA5E669"/>
    <w:rsid w:val="55830E7B"/>
    <w:rsid w:val="5D635248"/>
    <w:rsid w:val="674F81F5"/>
    <w:rsid w:val="6E3817AF"/>
    <w:rsid w:val="728CAE7E"/>
    <w:rsid w:val="7399C7DA"/>
    <w:rsid w:val="7550C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05BF3B-67DD-4384-919A-1012E58FC463}"/>
</file>

<file path=customXml/itemProps3.xml><?xml version="1.0" encoding="utf-8"?>
<ds:datastoreItem xmlns:ds="http://schemas.openxmlformats.org/officeDocument/2006/customXml" ds:itemID="{6C0515CD-8E8F-4B6D-949D-39BCD7613302}"/>
</file>

<file path=customXml/itemProps4.xml><?xml version="1.0" encoding="utf-8"?>
<ds:datastoreItem xmlns:ds="http://schemas.openxmlformats.org/officeDocument/2006/customXml" ds:itemID="{E5A67F15-1884-4B6D-A5C2-2357285630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89</cp:revision>
  <cp:lastPrinted>2022-02-22T15:44:00Z</cp:lastPrinted>
  <dcterms:created xsi:type="dcterms:W3CDTF">2020-12-18T20:09:00Z</dcterms:created>
  <dcterms:modified xsi:type="dcterms:W3CDTF">2025-03-24T17:15:03Z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