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154D3B" w:rsidR="00F15FBA" w:rsidP="00F15FBA" w:rsidRDefault="00F15FBA" w14:paraId="6BA6C8A5" w14:textId="09A911FF">
      <w:pPr>
        <w:pStyle w:val="Ttulo"/>
        <w:outlineLvl w:val="0"/>
        <w:rPr>
          <w:lang w:val="es-PE"/>
        </w:rPr>
      </w:pPr>
      <w:r w:rsidRPr="00154D3B">
        <w:rPr>
          <w:lang w:val="es-PE"/>
        </w:rPr>
        <w:t xml:space="preserve">RESOLUCIÓN </w:t>
      </w:r>
      <w:proofErr w:type="spellStart"/>
      <w:r w:rsidRPr="00154D3B">
        <w:rPr>
          <w:lang w:val="es-PE"/>
        </w:rPr>
        <w:t>N</w:t>
      </w:r>
      <w:r w:rsidRPr="00154D3B" w:rsidR="001631D6">
        <w:rPr>
          <w:lang w:val="es-PE"/>
        </w:rPr>
        <w:t>°</w:t>
      </w:r>
      <w:proofErr w:type="spellEnd"/>
      <w:r w:rsidRPr="00154D3B" w:rsidR="001631D6">
        <w:rPr>
          <w:lang w:val="es-PE"/>
        </w:rPr>
        <w:t xml:space="preserve"> </w:t>
      </w:r>
      <w:r w:rsidRPr="00154D3B" w:rsidR="001D30D1">
        <w:rPr>
          <w:lang w:val="es-PE"/>
        </w:rPr>
        <w:t>5</w:t>
      </w:r>
      <w:r w:rsidRPr="00154D3B" w:rsidR="00AB76D5">
        <w:rPr>
          <w:lang w:val="es-PE"/>
        </w:rPr>
        <w:t>4</w:t>
      </w:r>
      <w:r w:rsidRPr="00154D3B" w:rsidR="001631D6">
        <w:rPr>
          <w:lang w:val="es-PE"/>
        </w:rPr>
        <w:t>/2</w:t>
      </w:r>
      <w:r w:rsidRPr="00154D3B" w:rsidR="00444D29">
        <w:rPr>
          <w:lang w:val="es-PE"/>
        </w:rPr>
        <w:t>2</w:t>
      </w:r>
    </w:p>
    <w:p w:rsidRPr="00154D3B" w:rsidR="00154D3B" w:rsidP="00154D3B" w:rsidRDefault="00154D3B" w14:paraId="2243A765" w14:textId="77777777">
      <w:pPr>
        <w:jc w:val="both"/>
        <w:outlineLvl w:val="0"/>
        <w:rPr>
          <w:b/>
          <w:bCs/>
          <w:lang w:val="es-PE"/>
        </w:rPr>
      </w:pPr>
      <w:r w:rsidRPr="00154D3B">
        <w:rPr>
          <w:b/>
          <w:bCs/>
          <w:lang w:val="es-PE"/>
        </w:rPr>
        <w:t>Vistos:</w:t>
      </w:r>
    </w:p>
    <w:p w:rsidRPr="00154D3B" w:rsidR="00154D3B" w:rsidP="00154D3B" w:rsidRDefault="00154D3B" w14:paraId="18798F55" w14:textId="77777777">
      <w:pPr>
        <w:jc w:val="both"/>
        <w:rPr>
          <w:b/>
          <w:bCs/>
          <w:lang w:val="es-PE"/>
        </w:rPr>
      </w:pPr>
    </w:p>
    <w:p w:rsidRPr="00154D3B" w:rsidR="00154D3B" w:rsidP="5F7E251B" w:rsidRDefault="00154D3B" w14:paraId="61A8E3F8" w14:textId="7C3E8A6E">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5F7E251B" w:rsidR="0ECD33A5">
        <w:rPr>
          <w:lang w:val="es-PE"/>
        </w:rPr>
        <w:t xml:space="preserve">El reclamo presentado por doña </w:t>
      </w:r>
      <w:r w:rsidRPr="5F7E251B" w:rsidR="1A81CA7C">
        <w:rPr>
          <w:lang w:val="es-PE"/>
        </w:rPr>
        <w:t>....................................................</w:t>
      </w:r>
      <w:r w:rsidRPr="5F7E251B" w:rsidR="0ECD33A5">
        <w:rPr>
          <w:lang w:val="es-PE"/>
        </w:rPr>
        <w:t xml:space="preserve"> representada por </w:t>
      </w:r>
      <w:r w:rsidRPr="5F7E251B" w:rsidR="567B8D05">
        <w:rPr>
          <w:lang w:val="es-PE"/>
        </w:rPr>
        <w:t>...........................................................</w:t>
      </w:r>
      <w:r w:rsidRPr="5F7E251B" w:rsidR="0ECD33A5">
        <w:rPr>
          <w:lang w:val="es-PE"/>
        </w:rPr>
        <w:t xml:space="preserve"> ante esta Defensoría del Asegurado (DEFASEG) solicitando que </w:t>
      </w:r>
      <w:r w:rsidRPr="5F7E251B" w:rsidR="3D4E5756">
        <w:rPr>
          <w:lang w:val="es-PE"/>
        </w:rPr>
        <w:t>.............................................................</w:t>
      </w:r>
      <w:r w:rsidRPr="5F7E251B" w:rsidR="0ECD33A5">
        <w:rPr>
          <w:lang w:val="es-PE"/>
        </w:rPr>
        <w:t xml:space="preserve"> otorgue cobertura de seguro de Invalidez Total y Permanente por Enfermedad, conforme a la Póliza de Seguro de Vida Individual</w:t>
      </w:r>
      <w:r w:rsidRPr="5F7E251B" w:rsidR="437041A1">
        <w:rPr>
          <w:lang w:val="es-PE"/>
        </w:rPr>
        <w:t>.....................................</w:t>
      </w:r>
    </w:p>
    <w:p w:rsidRPr="00154D3B" w:rsidR="00154D3B" w:rsidP="00154D3B" w:rsidRDefault="00154D3B" w14:paraId="273E8FC4" w14:textId="77777777">
      <w:pPr>
        <w:jc w:val="both"/>
        <w:rPr>
          <w:rFonts w:eastAsia="Arial Unicode MS"/>
          <w:lang w:val="es-PE"/>
        </w:rPr>
      </w:pPr>
      <w:r w:rsidRPr="00154D3B">
        <w:rPr>
          <w:rFonts w:eastAsia="Arial Unicode MS"/>
          <w:lang w:val="es-PE"/>
        </w:rPr>
        <w:t xml:space="preserve">Que, la señalada reclamación cumple con los requisitos de materia y oportunidad establecidos en el Reglamento de la DEFASEG (http://www.defaseg.com.pe/reglamento.html), siendo necesario determinar si cumple con los requisitos de cuantía, lo que será analizado en la parte resolutiva; </w:t>
      </w:r>
    </w:p>
    <w:p w:rsidRPr="00154D3B" w:rsidR="00154D3B" w:rsidP="00154D3B" w:rsidRDefault="00154D3B" w14:paraId="261E108C" w14:textId="77777777">
      <w:pPr>
        <w:tabs>
          <w:tab w:val="left" w:pos="2160"/>
        </w:tabs>
        <w:jc w:val="both"/>
        <w:rPr>
          <w:lang w:val="es-PE"/>
        </w:rPr>
      </w:pPr>
    </w:p>
    <w:p w:rsidRPr="00154D3B" w:rsidR="00154D3B" w:rsidP="00154D3B" w:rsidRDefault="00154D3B" w14:paraId="6A6D8321" w14:textId="77777777">
      <w:pPr>
        <w:tabs>
          <w:tab w:val="num" w:pos="720"/>
        </w:tabs>
        <w:jc w:val="both"/>
        <w:rPr>
          <w:lang w:val="es-PE"/>
        </w:rPr>
      </w:pPr>
      <w:r w:rsidRPr="00154D3B">
        <w:rPr>
          <w:lang w:val="es-PE"/>
        </w:rPr>
        <w:t>Que, habiéndosele corrido traslado de la respectiva reclamación con fechas 29 de noviembre de 2021 y 09 de diciembre de 2021, la aseguradora presentó sus descargos, acompañando copia de la documentación del caso;</w:t>
      </w:r>
    </w:p>
    <w:p w:rsidRPr="00154D3B" w:rsidR="00154D3B" w:rsidP="00154D3B" w:rsidRDefault="00154D3B" w14:paraId="064C72A4" w14:textId="77777777">
      <w:pPr>
        <w:tabs>
          <w:tab w:val="num" w:pos="720"/>
        </w:tabs>
        <w:jc w:val="both"/>
        <w:rPr>
          <w:lang w:val="es-PE"/>
        </w:rPr>
      </w:pPr>
    </w:p>
    <w:p w:rsidRPr="00154D3B" w:rsidR="00154D3B" w:rsidP="00154D3B" w:rsidRDefault="00154D3B" w14:paraId="3DD6B566" w14:textId="77777777">
      <w:pPr>
        <w:tabs>
          <w:tab w:val="left" w:pos="2160"/>
        </w:tabs>
        <w:jc w:val="both"/>
      </w:pPr>
      <w:r w:rsidRPr="00154D3B">
        <w:rPr>
          <w:lang w:val="es-PE"/>
        </w:rPr>
        <w:t xml:space="preserve">Que, la parte reclamante sustenta su reclamo expresando resumidamente lo siguiente: </w:t>
      </w:r>
      <w:r w:rsidRPr="00154D3B">
        <w:t>a) La aseguradora ha rechazado la cobertura pues considera que el diagnóstico que invalida a la asegurada (trastorno esquizofrénico tipo depresivo) fue realizado en julio 2019, fecha anterior a la contratación de la póliza que fue el 15 de mayo; b) dicha fecha es un error de redacción dada en el informe del Dr. Manuel Alejandro Ñique, pues debió poner julio 2020, dado que la enfermedad se presenta el 22 de mayo 2020; c) la aseguradora también rechaza la cobertura por haber omitido información médica importante en la declaración de salud que de haber sido informada hubiera variado la suscripción de la póliza; en este caso el diagnostico recién fue dado en julio de 2020, antes de eso se asistía a consultas en la clínica San Pablo por un hecho de Stress; de otro lado, el llenado de la solicitud de seguro fue hecho por la vendedora de la compañía y no por la asegurada; por lo que la asegurada no fue interrogada sobre su salud, y por tanto no incurrió en un supuesto de reticencia sino que fue víctima del abuso y vulneración de sus derechos; d) de acuerdo a ley, la aseguradora es responsable de cualquier error cometido por los comercializadores por lo que no se tiene responsabilidad alguna sobre la declaración de salud completada por terceros; por lo que solicita se le otorgue la cobertura de seguro.</w:t>
      </w:r>
    </w:p>
    <w:p w:rsidRPr="00154D3B" w:rsidR="00154D3B" w:rsidP="00154D3B" w:rsidRDefault="00154D3B" w14:paraId="70F9F041" w14:textId="77777777">
      <w:pPr>
        <w:tabs>
          <w:tab w:val="left" w:pos="2160"/>
        </w:tabs>
        <w:jc w:val="both"/>
        <w:rPr>
          <w:lang w:val="es-PE"/>
        </w:rPr>
      </w:pPr>
    </w:p>
    <w:p w:rsidRPr="00154D3B" w:rsidR="00154D3B" w:rsidP="00154D3B" w:rsidRDefault="00154D3B" w14:paraId="3F82E486" w14:textId="68C09276">
      <w:pPr>
        <w:jc w:val="both"/>
      </w:pPr>
      <w:r w:rsidRPr="5F7E251B" w:rsidR="0ECD33A5">
        <w:rPr>
          <w:lang w:val="es-PE"/>
        </w:rPr>
        <w:t>Que, por su parte, en su contestación a la reclamación, la aseguradora solicita que esta sea desestimada, por las razones que se enuncian resumidamente a continuación</w:t>
      </w:r>
      <w:r w:rsidRPr="5F7E251B" w:rsidR="0ECD33A5">
        <w:rPr>
          <w:rFonts w:eastAsia="Calibri" w:eastAsiaTheme="minorAscii"/>
          <w:lang w:eastAsia="en-US"/>
        </w:rPr>
        <w:t xml:space="preserve"> </w:t>
      </w:r>
      <w:r w:rsidR="0ECD33A5">
        <w:rPr/>
        <w:t xml:space="preserve">a) la señora </w:t>
      </w:r>
      <w:r w:rsidR="71A71576">
        <w:rPr/>
        <w:t>..............</w:t>
      </w:r>
      <w:r w:rsidR="0ECD33A5">
        <w:rPr/>
        <w:t xml:space="preserve"> con fecha 11/05/2020 firmó un contrato – póliza de seguro de vida individual; b) únicamente se pagó una prima y ahora se pretende cobrar el seguro cuando la póliza quedo anulada por falta de pago por atraso de más de 90 días; c) la solicitud y declaración de salud se encuentra firmada por la asegurada donde respondió negativamente a todas las preguntas de salud; d) en el mes de enero de 2021 recibieron la solicitud de cobertura presentada por el reclamante, a la cual respondieron informando la documentación que se requería para evaluar el caso; e) en los meses de marzo, julio, y agosto (26/8/22) se presentó información adicional requerida para evaluar el caso; f) con fecha 07/09/21 se emitió y entregó a la denunciante la carta de rechazo por preexistencia y reticencia; pues de las evidencias médicas encontradas en la historia clínica se aprecia que antes de la contratación del seguro ya presentaba una alteración del estado de salud, siendo que la asegurada respondió que no </w:t>
      </w:r>
      <w:r w:rsidR="0ECD33A5">
        <w:rPr/>
        <w:t>presentaba enfermedades mentales o nerviosas, y que no recibía tratamiento médico ambulatorio y/o hospitalario alguno; g) en particular se evidencia que en el año 2019 la asegurada tuvo atención médica en la Clínica San Pablo de Trujillo, donde el médico consignó los diagnósticos con los códigos que corresponden a trastorno esquizoafectivo de tipo maníaco y trastorno bipolar; adicionalmente  existe documentación médica que señala que la paciente recibe tratamiento psiquiátrico desde los 18 años por cuadro psicótico, siendo que la invalidez total y permanente ha sido dictaminada con el diagnostico Trastorno esquizoafectivo de tipo depresivo; h) adicionalmente mediante carta de fecha 03/09/2021 se le informo que no se atendería su caso por falta de pago; i), por lo que el contrato es nulo por reticencia y han rechazado el seguro de acuerdo a ley.</w:t>
      </w:r>
    </w:p>
    <w:p w:rsidRPr="00154D3B" w:rsidR="00154D3B" w:rsidP="00154D3B" w:rsidRDefault="00154D3B" w14:paraId="1B85CCB6" w14:textId="77777777">
      <w:pPr>
        <w:jc w:val="both"/>
        <w:rPr>
          <w:lang w:val="es-PE"/>
        </w:rPr>
      </w:pPr>
    </w:p>
    <w:p w:rsidRPr="00154D3B" w:rsidR="00154D3B" w:rsidP="00154D3B" w:rsidRDefault="00154D3B" w14:paraId="770B2866" w14:textId="77777777">
      <w:pPr>
        <w:tabs>
          <w:tab w:val="num" w:pos="720"/>
        </w:tabs>
        <w:jc w:val="both"/>
        <w:rPr>
          <w:lang w:val="es-PE"/>
        </w:rPr>
      </w:pPr>
      <w:r w:rsidRPr="00154D3B">
        <w:rPr>
          <w:lang w:val="es-PE"/>
        </w:rPr>
        <w:t>Que, el 21 de febrero de 2021 se realizó la correspondiente audiencia virtual de vista con la concurrencia de ambas partes, conforme consta de la correspondiente acta;  que en dicha oportunidad se consultó a la reclamante sobre el monto reclamado toda vez que la suma asegurada para la cobertura de invalidez total y permanente ascendía de acuerdo a la póliza a US$100,000, por lo que este colegiado solo podía conocer del caso en la medida que el mismo no excediera de la suma de US$50,000; siendo que en dicha oportunidad el reclamante manifestó que limitaba su pretensión a dicha suma renunciando al exceso lo cual cumpliría con formalizar por escrito.</w:t>
      </w:r>
    </w:p>
    <w:p w:rsidRPr="00154D3B" w:rsidR="00154D3B" w:rsidP="00154D3B" w:rsidRDefault="00154D3B" w14:paraId="0219B96F" w14:textId="77777777">
      <w:pPr>
        <w:tabs>
          <w:tab w:val="num" w:pos="720"/>
        </w:tabs>
        <w:jc w:val="both"/>
        <w:rPr>
          <w:lang w:val="es-PE"/>
        </w:rPr>
      </w:pPr>
    </w:p>
    <w:p w:rsidRPr="00154D3B" w:rsidR="00154D3B" w:rsidP="00154D3B" w:rsidRDefault="00154D3B" w14:paraId="2FEB8BDA" w14:textId="77777777">
      <w:pPr>
        <w:tabs>
          <w:tab w:val="num" w:pos="720"/>
        </w:tabs>
        <w:jc w:val="both"/>
        <w:rPr>
          <w:lang w:val="es-PE"/>
        </w:rPr>
      </w:pPr>
      <w:r w:rsidRPr="00154D3B">
        <w:rPr>
          <w:lang w:val="es-PE"/>
        </w:rPr>
        <w:t xml:space="preserve">Que la parte reclamante presentó un escrito a través del cual renunció a cualquier reclamo en exceso de la suma de US$50,000, en la medida que su reclamo sea finalmente declarado fundado, </w:t>
      </w:r>
      <w:proofErr w:type="gramStart"/>
      <w:r w:rsidRPr="00154D3B">
        <w:rPr>
          <w:lang w:val="es-PE"/>
        </w:rPr>
        <w:t>a fin que</w:t>
      </w:r>
      <w:proofErr w:type="gramEnd"/>
      <w:r w:rsidRPr="00154D3B">
        <w:rPr>
          <w:lang w:val="es-PE"/>
        </w:rPr>
        <w:t xml:space="preserve"> el mismo pudiera ser conocido por esta Defensoría.</w:t>
      </w:r>
    </w:p>
    <w:p w:rsidRPr="00154D3B" w:rsidR="00154D3B" w:rsidP="00154D3B" w:rsidRDefault="00154D3B" w14:paraId="7A60EA55" w14:textId="77777777">
      <w:pPr>
        <w:jc w:val="both"/>
        <w:rPr>
          <w:lang w:val="es-PE"/>
        </w:rPr>
      </w:pPr>
    </w:p>
    <w:p w:rsidRPr="00154D3B" w:rsidR="00154D3B" w:rsidP="00154D3B" w:rsidRDefault="00154D3B" w14:paraId="730AC24D" w14:textId="7FDE6B1A">
      <w:pPr>
        <w:jc w:val="both"/>
        <w:rPr>
          <w:lang w:val="es-PE"/>
        </w:rPr>
      </w:pPr>
      <w:r w:rsidRPr="5F7E251B" w:rsidR="0ECD33A5">
        <w:rPr>
          <w:lang w:val="es-PE"/>
        </w:rPr>
        <w:t xml:space="preserve">Que, con fecha 4 de marzo de 2022 la aseguradora, absolviendo el requerimiento formulado por la DEFASEG, informó </w:t>
      </w:r>
      <w:r w:rsidRPr="5F7E251B" w:rsidR="0ECD33A5">
        <w:rPr>
          <w:lang w:val="es-PE"/>
        </w:rPr>
        <w:t>que</w:t>
      </w:r>
      <w:r w:rsidRPr="5F7E251B" w:rsidR="0ECD33A5">
        <w:rPr>
          <w:lang w:val="es-PE"/>
        </w:rPr>
        <w:t xml:space="preserve"> en respuesta a un correo cursado por el reclamante, con fecha 09 de setiembre de 2021 se le indicó que procederían con la reevaluación del caso para la cual le solicitaron la historia clínica completa desde el 2018 del Hospital San Pablo de Trujillo y Hospital </w:t>
      </w:r>
      <w:r w:rsidRPr="5F7E251B" w:rsidR="0ECD33A5">
        <w:rPr>
          <w:lang w:val="es-PE"/>
        </w:rPr>
        <w:t>Victor</w:t>
      </w:r>
      <w:r w:rsidRPr="5F7E251B" w:rsidR="0ECD33A5">
        <w:rPr>
          <w:lang w:val="es-PE"/>
        </w:rPr>
        <w:t xml:space="preserve"> Larco Trujillo. Que por su parte investigaron el caso y el 14/09/21 y el 24/09/21 les enviaron el informe de investigación indicando que se encontró la historia de la Clínica de San Pablo de Trujillo y la historia clínica del hospital Víctor Larco de Trujillo, que confirma que la fecha de inicio de invalidez es posterior al inicio de vigencia de la póliza. Que se debe tener en cuenta que el familiar envío reiteradas veces la misma historia clínica, sin </w:t>
      </w:r>
      <w:r w:rsidRPr="5F7E251B" w:rsidR="0ECD33A5">
        <w:rPr>
          <w:lang w:val="es-PE"/>
        </w:rPr>
        <w:t>embargo</w:t>
      </w:r>
      <w:r w:rsidRPr="5F7E251B" w:rsidR="0ECD33A5">
        <w:rPr>
          <w:lang w:val="es-PE"/>
        </w:rPr>
        <w:t xml:space="preserve"> esta no contenía la información solicitada por </w:t>
      </w:r>
      <w:r w:rsidRPr="5F7E251B" w:rsidR="7339129F">
        <w:rPr>
          <w:lang w:val="es-PE"/>
        </w:rPr>
        <w:t>..............................</w:t>
      </w:r>
      <w:r w:rsidRPr="5F7E251B" w:rsidR="0ECD33A5">
        <w:rPr>
          <w:lang w:val="es-PE"/>
        </w:rPr>
        <w:t xml:space="preserve">. </w:t>
      </w:r>
      <w:r w:rsidRPr="5F7E251B" w:rsidR="0ECD33A5">
        <w:rPr>
          <w:lang w:val="es-PE"/>
        </w:rPr>
        <w:t>Asimismo</w:t>
      </w:r>
      <w:r w:rsidRPr="5F7E251B" w:rsidR="0ECD33A5">
        <w:rPr>
          <w:lang w:val="es-PE"/>
        </w:rPr>
        <w:t xml:space="preserve"> informó que con fecha 30/06/2020 venció la segunda prima y en adelante no se realizó pago alguno.</w:t>
      </w:r>
    </w:p>
    <w:p w:rsidRPr="00154D3B" w:rsidR="00154D3B" w:rsidP="00154D3B" w:rsidRDefault="00154D3B" w14:paraId="7ECCF4E3" w14:textId="77777777">
      <w:pPr>
        <w:jc w:val="both"/>
        <w:rPr>
          <w:lang w:val="es-PE"/>
        </w:rPr>
      </w:pPr>
    </w:p>
    <w:p w:rsidRPr="00154D3B" w:rsidR="00154D3B" w:rsidP="00154D3B" w:rsidRDefault="00154D3B" w14:paraId="17DB9E7B" w14:textId="77777777">
      <w:pPr>
        <w:jc w:val="both"/>
        <w:rPr>
          <w:lang w:val="es-PE"/>
        </w:rPr>
      </w:pPr>
      <w:r w:rsidRPr="00154D3B">
        <w:rPr>
          <w:lang w:val="es-PE"/>
        </w:rPr>
        <w:t xml:space="preserve">Que, con fecha 8 de marzo de 2022 el reclamante presentó un escrito adicional señalando que después de haber presentado el Dictamen COMAFP la aseguradora continuó requiriendo la historia clínica pese a que </w:t>
      </w:r>
      <w:r w:rsidRPr="00154D3B">
        <w:t xml:space="preserve">pese a que el resumen de fechas y diagnósticos de las evaluaciones medicas realizadas se encontraba plasmado en el dictamen de la COMAFP ya entregado a la aseguradora. </w:t>
      </w:r>
      <w:r w:rsidRPr="00154D3B">
        <w:rPr>
          <w:lang w:val="es-PE"/>
        </w:rPr>
        <w:t>Que cumplieron con presentar la información requerida con fecha 10 de setiembre de 2021, información que fue reenviada el 05 de octubre de 2021.</w:t>
      </w:r>
    </w:p>
    <w:p w:rsidRPr="00154D3B" w:rsidR="00154D3B" w:rsidP="00154D3B" w:rsidRDefault="00154D3B" w14:paraId="5F5B8B74" w14:textId="77777777">
      <w:pPr>
        <w:jc w:val="both"/>
        <w:rPr>
          <w:lang w:val="es-PE"/>
        </w:rPr>
      </w:pPr>
    </w:p>
    <w:p w:rsidRPr="00154D3B" w:rsidR="00154D3B" w:rsidP="00154D3B" w:rsidRDefault="00154D3B" w14:paraId="5601D8E0" w14:textId="77777777">
      <w:pPr>
        <w:jc w:val="both"/>
        <w:outlineLvl w:val="0"/>
        <w:rPr>
          <w:lang w:val="es-PE"/>
        </w:rPr>
      </w:pPr>
      <w:r w:rsidRPr="00154D3B">
        <w:rPr>
          <w:rStyle w:val="Textoennegrita"/>
          <w:lang w:val="es-PE"/>
        </w:rPr>
        <w:t>Considerando:</w:t>
      </w:r>
    </w:p>
    <w:p w:rsidRPr="00154D3B" w:rsidR="00154D3B" w:rsidP="00154D3B" w:rsidRDefault="00154D3B" w14:paraId="1FE9ED42" w14:textId="77777777">
      <w:pPr>
        <w:jc w:val="both"/>
        <w:rPr>
          <w:lang w:val="es-PE"/>
        </w:rPr>
      </w:pPr>
    </w:p>
    <w:p w:rsidRPr="00154D3B" w:rsidR="00154D3B" w:rsidP="00154D3B" w:rsidRDefault="00154D3B" w14:paraId="6C3FB552" w14:textId="77777777">
      <w:pPr>
        <w:jc w:val="both"/>
        <w:rPr>
          <w:lang w:val="es-PE"/>
        </w:rPr>
      </w:pPr>
      <w:r w:rsidRPr="00154D3B">
        <w:rPr>
          <w:b/>
          <w:u w:val="single"/>
          <w:lang w:val="es-PE"/>
        </w:rPr>
        <w:t>Primero</w:t>
      </w:r>
      <w:r w:rsidRPr="00154D3B">
        <w:rPr>
          <w:b/>
          <w:lang w:val="es-PE"/>
        </w:rPr>
        <w:t xml:space="preserve">: </w:t>
      </w:r>
      <w:r w:rsidRPr="00154D3B">
        <w:rPr>
          <w:lang w:val="es-PE"/>
        </w:rPr>
        <w:t>Que, conforme a su Reglamento, la</w:t>
      </w:r>
      <w:r w:rsidRPr="00154D3B">
        <w:rPr>
          <w:b/>
          <w:bCs/>
          <w:lang w:val="es-PE"/>
        </w:rPr>
        <w:t xml:space="preserve"> </w:t>
      </w:r>
      <w:r w:rsidRPr="00154D3B">
        <w:rPr>
          <w:lang w:val="es-PE"/>
        </w:rPr>
        <w:t xml:space="preserve">DEFASEG está orientada a la protección de los derechos de los asegurados o usuarios de los servicios del seguro privado contratados en </w:t>
      </w:r>
      <w:r w:rsidRPr="00154D3B">
        <w:rPr>
          <w:lang w:val="es-PE"/>
        </w:rPr>
        <w:t>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154D3B" w:rsidR="00154D3B" w:rsidP="00154D3B" w:rsidRDefault="00154D3B" w14:paraId="631BFB68" w14:textId="77777777">
      <w:pPr>
        <w:jc w:val="both"/>
        <w:rPr>
          <w:rStyle w:val="Textoennegrita"/>
          <w:b w:val="0"/>
        </w:rPr>
      </w:pPr>
    </w:p>
    <w:p w:rsidRPr="00154D3B" w:rsidR="00154D3B" w:rsidP="00154D3B" w:rsidRDefault="00154D3B" w14:paraId="43889EEC" w14:textId="77777777">
      <w:pPr>
        <w:jc w:val="both"/>
        <w:rPr>
          <w:rStyle w:val="Textoennegrita"/>
          <w:b w:val="0"/>
          <w:lang w:val="es-PE"/>
        </w:rPr>
      </w:pPr>
      <w:r w:rsidRPr="00154D3B">
        <w:rPr>
          <w:rStyle w:val="Textoennegrita"/>
          <w:u w:val="single"/>
          <w:lang w:val="es-PE"/>
        </w:rPr>
        <w:t>Segundo</w:t>
      </w:r>
      <w:r w:rsidRPr="00154D3B">
        <w:rPr>
          <w:rStyle w:val="Textoennegrita"/>
          <w:lang w:val="es-PE"/>
        </w:rPr>
        <w:t xml:space="preserve">: </w:t>
      </w:r>
      <w:r w:rsidRPr="00154D3B">
        <w:rPr>
          <w:lang w:val="es-PE"/>
        </w:rPr>
        <w:t xml:space="preserve">Asimismo, de acuerdo a </w:t>
      </w:r>
      <w:r w:rsidRPr="00154D3B">
        <w:rPr>
          <w:rStyle w:val="Textoennegrita"/>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154D3B" w:rsidR="00154D3B" w:rsidP="00154D3B" w:rsidRDefault="00154D3B" w14:paraId="6B458AEA" w14:textId="77777777">
      <w:pPr>
        <w:jc w:val="both"/>
      </w:pPr>
    </w:p>
    <w:p w:rsidRPr="00154D3B" w:rsidR="00154D3B" w:rsidP="00154D3B" w:rsidRDefault="00154D3B" w14:paraId="65EF2246" w14:textId="77777777">
      <w:pPr>
        <w:jc w:val="both"/>
        <w:rPr>
          <w:lang w:val="es-PE"/>
        </w:rPr>
      </w:pPr>
      <w:r w:rsidRPr="00154D3B">
        <w:rPr>
          <w:rStyle w:val="Textoennegrita"/>
          <w:u w:val="single"/>
          <w:lang w:val="es-PE"/>
        </w:rPr>
        <w:t>Tercero:</w:t>
      </w:r>
      <w:r w:rsidRPr="00154D3B">
        <w:rPr>
          <w:rStyle w:val="Textoennegrita"/>
          <w:lang w:val="es-PE"/>
        </w:rPr>
        <w:t xml:space="preserve"> Que, en lo que respecta a la cuantía </w:t>
      </w:r>
      <w:r w:rsidRPr="00154D3B">
        <w:rPr>
          <w:lang w:val="es-PE"/>
        </w:rPr>
        <w:t>el Reglamento de la Defensoría del Asegurado que señala que:</w:t>
      </w:r>
    </w:p>
    <w:p w:rsidRPr="00154D3B" w:rsidR="00154D3B" w:rsidP="00154D3B" w:rsidRDefault="00154D3B" w14:paraId="2202CD98" w14:textId="77777777">
      <w:pPr>
        <w:tabs>
          <w:tab w:val="left" w:pos="2160"/>
        </w:tabs>
        <w:jc w:val="both"/>
        <w:rPr>
          <w:lang w:val="es-PE"/>
        </w:rPr>
      </w:pPr>
    </w:p>
    <w:p w:rsidRPr="00154D3B" w:rsidR="00154D3B" w:rsidP="00154D3B" w:rsidRDefault="00154D3B" w14:paraId="609604DA" w14:textId="77777777">
      <w:pPr>
        <w:tabs>
          <w:tab w:val="left" w:pos="2520"/>
        </w:tabs>
        <w:ind w:left="720"/>
        <w:jc w:val="both"/>
        <w:rPr>
          <w:i/>
          <w:iCs/>
          <w:shd w:val="clear" w:color="auto" w:fill="FFFFFF"/>
        </w:rPr>
      </w:pPr>
      <w:r w:rsidRPr="00154D3B">
        <w:rPr>
          <w:i/>
          <w:iCs/>
          <w:shd w:val="clear" w:color="auto" w:fill="FFFFFF"/>
        </w:rPr>
        <w:t>“La Defensoría conoce los reclamos que plantean los usuarios de seguros, ello siempre y cuando cumplan con los siguientes requisitos de admisibilidad de manera concurrente:</w:t>
      </w:r>
    </w:p>
    <w:p w:rsidRPr="00154D3B" w:rsidR="00154D3B" w:rsidP="00154D3B" w:rsidRDefault="00154D3B" w14:paraId="764507B8" w14:textId="77777777">
      <w:pPr>
        <w:tabs>
          <w:tab w:val="left" w:pos="2520"/>
        </w:tabs>
        <w:ind w:left="720"/>
        <w:jc w:val="both"/>
        <w:rPr>
          <w:i/>
          <w:iCs/>
          <w:shd w:val="clear" w:color="auto" w:fill="FFFFFF"/>
        </w:rPr>
      </w:pPr>
      <w:r w:rsidRPr="00154D3B">
        <w:rPr>
          <w:i/>
          <w:iCs/>
          <w:shd w:val="clear" w:color="auto" w:fill="FFFFFF"/>
        </w:rPr>
        <w:t>(…)</w:t>
      </w:r>
    </w:p>
    <w:p w:rsidRPr="00154D3B" w:rsidR="00154D3B" w:rsidP="00154D3B" w:rsidRDefault="00154D3B" w14:paraId="51460698" w14:textId="77777777">
      <w:pPr>
        <w:tabs>
          <w:tab w:val="left" w:pos="2520"/>
        </w:tabs>
        <w:ind w:left="720"/>
        <w:jc w:val="both"/>
        <w:rPr>
          <w:i/>
          <w:iCs/>
          <w:lang w:val="es-PE"/>
        </w:rPr>
      </w:pPr>
      <w:r w:rsidRPr="00154D3B">
        <w:rPr>
          <w:i/>
          <w:iCs/>
          <w:shd w:val="clear" w:color="auto" w:fill="FFFFFF"/>
        </w:rPr>
        <w:t>3. El total de la indemnización solicitada a la empresa de seguros no debe exceder los US$ 50,000.”</w:t>
      </w:r>
      <w:r w:rsidRPr="00154D3B">
        <w:rPr>
          <w:i/>
          <w:iCs/>
          <w:lang w:val="es-PE"/>
        </w:rPr>
        <w:tab/>
      </w:r>
    </w:p>
    <w:p w:rsidRPr="00154D3B" w:rsidR="00154D3B" w:rsidP="00154D3B" w:rsidRDefault="00154D3B" w14:paraId="0677CCAA" w14:textId="77777777">
      <w:pPr>
        <w:tabs>
          <w:tab w:val="left" w:pos="2160"/>
        </w:tabs>
        <w:jc w:val="both"/>
        <w:rPr>
          <w:lang w:val="es-PE"/>
        </w:rPr>
      </w:pPr>
    </w:p>
    <w:p w:rsidRPr="00154D3B" w:rsidR="00154D3B" w:rsidP="00154D3B" w:rsidRDefault="00154D3B" w14:paraId="3CF34843" w14:textId="77777777">
      <w:pPr>
        <w:jc w:val="both"/>
        <w:rPr>
          <w:lang w:val="es-PE"/>
        </w:rPr>
      </w:pPr>
      <w:r w:rsidRPr="00154D3B">
        <w:rPr>
          <w:rStyle w:val="Textoennegrita"/>
          <w:u w:val="single"/>
          <w:lang w:val="es-PE"/>
        </w:rPr>
        <w:t>Cuarto</w:t>
      </w:r>
      <w:r w:rsidRPr="00154D3B">
        <w:rPr>
          <w:rStyle w:val="Textoennegrita"/>
          <w:lang w:val="es-PE"/>
        </w:rPr>
        <w:t>:</w:t>
      </w:r>
      <w:r w:rsidRPr="00154D3B">
        <w:rPr>
          <w:lang w:val="es-PE"/>
        </w:rPr>
        <w:t xml:space="preserve"> Que, teniendo en cuenta que el reclamante ha limitado su pretensión a la suma de US$50,000 renunciado al exceso en la medida que el reclamo sea declarado </w:t>
      </w:r>
      <w:proofErr w:type="gramStart"/>
      <w:r w:rsidRPr="00154D3B">
        <w:rPr>
          <w:lang w:val="es-PE"/>
        </w:rPr>
        <w:t>infundado;  este</w:t>
      </w:r>
      <w:proofErr w:type="gramEnd"/>
      <w:r w:rsidRPr="00154D3B">
        <w:rPr>
          <w:lang w:val="es-PE"/>
        </w:rPr>
        <w:t xml:space="preserve"> colegiado procederá a analizar el reclamo. </w:t>
      </w:r>
    </w:p>
    <w:p w:rsidRPr="00154D3B" w:rsidR="00154D3B" w:rsidP="00154D3B" w:rsidRDefault="00154D3B" w14:paraId="5C27F626" w14:textId="77777777">
      <w:pPr>
        <w:jc w:val="both"/>
        <w:rPr>
          <w:lang w:val="es-PE"/>
        </w:rPr>
      </w:pPr>
    </w:p>
    <w:p w:rsidRPr="00154D3B" w:rsidR="00154D3B" w:rsidP="00154D3B" w:rsidRDefault="00154D3B" w14:paraId="041AF869" w14:textId="77777777">
      <w:pPr>
        <w:jc w:val="both"/>
      </w:pPr>
      <w:r w:rsidRPr="00154D3B">
        <w:rPr>
          <w:b/>
          <w:bCs/>
          <w:u w:val="single"/>
          <w:lang w:val="es-PE"/>
        </w:rPr>
        <w:t>Quinto</w:t>
      </w:r>
      <w:r w:rsidRPr="00154D3B">
        <w:rPr>
          <w:b/>
          <w:bCs/>
          <w:lang w:val="es-PE"/>
        </w:rPr>
        <w:t>:</w:t>
      </w:r>
      <w:r w:rsidRPr="00154D3B">
        <w:rPr>
          <w:lang w:val="es-PE"/>
        </w:rPr>
        <w:t xml:space="preserve"> Que, de acuerdo a la Ley Nro. </w:t>
      </w:r>
      <w:r w:rsidRPr="00154D3B">
        <w:t xml:space="preserve">29946 – Ley del Contrato de Seguro, norma legal vigente con ocasión de la celebración del contrato al cual se contrae el presente caso, </w:t>
      </w:r>
      <w:r w:rsidRPr="00154D3B">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154D3B" w:rsidR="00154D3B" w:rsidP="00154D3B" w:rsidRDefault="00154D3B" w14:paraId="19B87724" w14:textId="77777777">
      <w:pPr>
        <w:jc w:val="both"/>
        <w:rPr>
          <w:b/>
          <w:u w:val="single"/>
        </w:rPr>
      </w:pPr>
    </w:p>
    <w:p w:rsidRPr="00154D3B" w:rsidR="00154D3B" w:rsidP="00154D3B" w:rsidRDefault="00154D3B" w14:paraId="54BF4CE2" w14:textId="77777777">
      <w:pPr>
        <w:jc w:val="both"/>
        <w:rPr>
          <w:lang w:val="es-PE"/>
        </w:rPr>
      </w:pPr>
      <w:r w:rsidRPr="00154D3B">
        <w:rPr>
          <w:b/>
          <w:u w:val="single"/>
          <w:lang w:val="es-PE"/>
        </w:rPr>
        <w:t>Sexto</w:t>
      </w:r>
      <w:r w:rsidRPr="00154D3B">
        <w:rPr>
          <w:b/>
          <w:lang w:val="es-PE"/>
        </w:rPr>
        <w:t>:</w:t>
      </w:r>
      <w:r w:rsidRPr="00154D3B">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154D3B" w:rsidR="00154D3B" w:rsidP="00154D3B" w:rsidRDefault="00154D3B" w14:paraId="49F56BC4" w14:textId="77777777">
      <w:pPr>
        <w:jc w:val="both"/>
        <w:rPr>
          <w:bCs/>
        </w:rPr>
      </w:pPr>
    </w:p>
    <w:p w:rsidRPr="00154D3B" w:rsidR="00154D3B" w:rsidP="00154D3B" w:rsidRDefault="00154D3B" w14:paraId="67342D18" w14:textId="77777777">
      <w:pPr>
        <w:jc w:val="both"/>
      </w:pPr>
      <w:r w:rsidRPr="00154D3B">
        <w:rPr>
          <w:b/>
          <w:bCs/>
          <w:u w:val="single"/>
        </w:rPr>
        <w:t>Sétimo</w:t>
      </w:r>
      <w:r w:rsidRPr="00154D3B">
        <w:rPr>
          <w:b/>
          <w:bCs/>
          <w:lang w:val="es-PE"/>
        </w:rPr>
        <w:t xml:space="preserve">: </w:t>
      </w:r>
      <w:r w:rsidRPr="00154D3B">
        <w:rPr>
          <w:bCs/>
          <w:lang w:val="es-PE"/>
        </w:rPr>
        <w:t>Que, conforme al</w:t>
      </w:r>
      <w:r w:rsidRPr="00154D3B">
        <w:rPr>
          <w:b/>
          <w:bCs/>
          <w:lang w:val="es-PE"/>
        </w:rPr>
        <w:t xml:space="preserve"> </w:t>
      </w:r>
      <w:r w:rsidRPr="00154D3B">
        <w:rPr>
          <w:lang w:val="es-PE"/>
        </w:rPr>
        <w:t>artículo 196 del Código Procesal Civil, la carga de la prueba corresponde a quien afirma hechos que configuran su pretensión, o a quien los contradice alegando nuevos hechos, salvo disposición legal diferente.</w:t>
      </w:r>
    </w:p>
    <w:p w:rsidRPr="00154D3B" w:rsidR="00154D3B" w:rsidP="00154D3B" w:rsidRDefault="00154D3B" w14:paraId="57B2EB54" w14:textId="77777777">
      <w:pPr>
        <w:jc w:val="both"/>
        <w:rPr>
          <w:lang w:val="es-PE"/>
        </w:rPr>
      </w:pPr>
    </w:p>
    <w:p w:rsidRPr="00154D3B" w:rsidR="00154D3B" w:rsidP="00154D3B" w:rsidRDefault="00154D3B" w14:paraId="05FAC7CA" w14:textId="77777777">
      <w:pPr>
        <w:tabs>
          <w:tab w:val="left" w:pos="2160"/>
        </w:tabs>
        <w:jc w:val="both"/>
        <w:rPr>
          <w:lang w:val="es-PE"/>
        </w:rPr>
      </w:pPr>
      <w:r w:rsidRPr="00154D3B">
        <w:rPr>
          <w:b/>
          <w:u w:val="single"/>
        </w:rPr>
        <w:t>Octavo</w:t>
      </w:r>
      <w:r w:rsidRPr="00154D3B">
        <w:rPr>
          <w:b/>
        </w:rPr>
        <w:t>:</w:t>
      </w:r>
      <w:r w:rsidRPr="00154D3B">
        <w:rPr>
          <w:b/>
          <w:lang w:val="es-PE"/>
        </w:rPr>
        <w:t xml:space="preserve"> </w:t>
      </w:r>
      <w:r w:rsidRPr="00154D3B">
        <w:rPr>
          <w:lang w:val="es-PE"/>
        </w:rPr>
        <w:t>Sobre la base de los términos contenidos en la reclamación</w:t>
      </w:r>
      <w:r w:rsidRPr="00154D3B">
        <w:rPr>
          <w:lang w:val="es-419"/>
        </w:rPr>
        <w:t xml:space="preserve"> y </w:t>
      </w:r>
      <w:r w:rsidRPr="00154D3B">
        <w:rPr>
          <w:lang w:val="es-PE"/>
        </w:rPr>
        <w:t>a lo tratado en la audiencia de vista, las cuestiones controvertidas radican en lo siguiente: (i) ¿El rechazo de cobertura fue comunicado al asegurado dentro del plazo de treinta (30) días de presentada la solicitud de cobertura con la documentación requerida para el pago del siniestro?; (</w:t>
      </w:r>
      <w:proofErr w:type="spellStart"/>
      <w:r w:rsidRPr="00154D3B">
        <w:rPr>
          <w:lang w:val="es-PE"/>
        </w:rPr>
        <w:t>ii</w:t>
      </w:r>
      <w:proofErr w:type="spellEnd"/>
      <w:r w:rsidRPr="00154D3B">
        <w:rPr>
          <w:lang w:val="es-PE"/>
        </w:rPr>
        <w:t xml:space="preserve">) El </w:t>
      </w:r>
      <w:r w:rsidRPr="00154D3B">
        <w:rPr>
          <w:lang w:val="es-PE"/>
        </w:rPr>
        <w:t>rechazo por falta de pago es legítimo; (</w:t>
      </w:r>
      <w:proofErr w:type="spellStart"/>
      <w:r w:rsidRPr="00154D3B">
        <w:rPr>
          <w:lang w:val="es-PE"/>
        </w:rPr>
        <w:t>iii</w:t>
      </w:r>
      <w:proofErr w:type="spellEnd"/>
      <w:r w:rsidRPr="00154D3B">
        <w:rPr>
          <w:lang w:val="es-PE"/>
        </w:rPr>
        <w:t>) el rechazo por preexistencia y reticencia invocado ha sido realizado conforme a derecho?</w:t>
      </w:r>
    </w:p>
    <w:p w:rsidRPr="00154D3B" w:rsidR="00154D3B" w:rsidP="00154D3B" w:rsidRDefault="00154D3B" w14:paraId="00CF54CC" w14:textId="77777777">
      <w:pPr>
        <w:tabs>
          <w:tab w:val="left" w:pos="2160"/>
        </w:tabs>
        <w:jc w:val="both"/>
        <w:rPr>
          <w:lang w:val="es-PE"/>
        </w:rPr>
      </w:pPr>
    </w:p>
    <w:p w:rsidRPr="00154D3B" w:rsidR="00154D3B" w:rsidP="00154D3B" w:rsidRDefault="00154D3B" w14:paraId="2CF4C35E" w14:textId="77777777">
      <w:pPr>
        <w:tabs>
          <w:tab w:val="left" w:pos="2160"/>
        </w:tabs>
        <w:jc w:val="both"/>
        <w:rPr>
          <w:b/>
          <w:bCs/>
          <w:lang w:val="es-PE"/>
        </w:rPr>
      </w:pPr>
      <w:r w:rsidRPr="00154D3B">
        <w:rPr>
          <w:b/>
          <w:bCs/>
          <w:lang w:val="es-PE"/>
        </w:rPr>
        <w:t xml:space="preserve">Sobre el siniestro </w:t>
      </w:r>
      <w:proofErr w:type="gramStart"/>
      <w:r w:rsidRPr="00154D3B">
        <w:rPr>
          <w:b/>
          <w:bCs/>
          <w:lang w:val="es-PE"/>
        </w:rPr>
        <w:t>consentido.-</w:t>
      </w:r>
      <w:proofErr w:type="gramEnd"/>
    </w:p>
    <w:p w:rsidRPr="00154D3B" w:rsidR="00154D3B" w:rsidP="00154D3B" w:rsidRDefault="00154D3B" w14:paraId="44F7BBE6" w14:textId="77777777">
      <w:pPr>
        <w:tabs>
          <w:tab w:val="left" w:pos="2160"/>
        </w:tabs>
        <w:jc w:val="both"/>
        <w:rPr>
          <w:b/>
          <w:bCs/>
          <w:lang w:val="es-PE"/>
        </w:rPr>
      </w:pPr>
    </w:p>
    <w:p w:rsidRPr="00154D3B" w:rsidR="00154D3B" w:rsidP="00154D3B" w:rsidRDefault="00154D3B" w14:paraId="6EF04839" w14:textId="77777777">
      <w:pPr>
        <w:tabs>
          <w:tab w:val="left" w:pos="709"/>
          <w:tab w:val="left" w:pos="2160"/>
        </w:tabs>
        <w:ind w:left="705" w:hanging="705"/>
        <w:jc w:val="both"/>
        <w:rPr>
          <w:lang w:val="es-PE"/>
        </w:rPr>
      </w:pPr>
      <w:r w:rsidRPr="00154D3B">
        <w:rPr>
          <w:lang w:val="es-PE"/>
        </w:rPr>
        <w:t xml:space="preserve">6.1. </w:t>
      </w:r>
      <w:r w:rsidRPr="00154D3B">
        <w:rPr>
          <w:lang w:val="es-PE"/>
        </w:rPr>
        <w:tab/>
      </w:r>
      <w:r w:rsidRPr="00154D3B">
        <w:rPr>
          <w:lang w:val="es-PE"/>
        </w:rPr>
        <w:t>En lo que se refiere a la oportunidad del pronunciamiento de la aseguradora respecto de una solicitud de cobertura derivada de la ocurrencia de un siniestro, el artículo 74 de la Ley Nro. 29946 – Ley del Contrato de Seguro dispone lo siguiente:</w:t>
      </w:r>
    </w:p>
    <w:p w:rsidRPr="00154D3B" w:rsidR="00154D3B" w:rsidP="00154D3B" w:rsidRDefault="00154D3B" w14:paraId="130F96D0" w14:textId="77777777">
      <w:pPr>
        <w:tabs>
          <w:tab w:val="left" w:pos="2160"/>
        </w:tabs>
        <w:jc w:val="both"/>
        <w:rPr>
          <w:i/>
          <w:lang w:val="es-PE"/>
        </w:rPr>
      </w:pPr>
    </w:p>
    <w:p w:rsidRPr="00154D3B" w:rsidR="00154D3B" w:rsidP="00154D3B" w:rsidRDefault="00154D3B" w14:paraId="581976D0" w14:textId="77777777">
      <w:pPr>
        <w:autoSpaceDE w:val="0"/>
        <w:autoSpaceDN w:val="0"/>
        <w:adjustRightInd w:val="0"/>
        <w:ind w:left="709"/>
        <w:jc w:val="both"/>
        <w:rPr>
          <w:i/>
          <w:lang w:val="es-PE"/>
        </w:rPr>
      </w:pPr>
      <w:r w:rsidRPr="00154D3B">
        <w:rPr>
          <w:i/>
          <w:lang w:val="es-PE"/>
        </w:rPr>
        <w:t xml:space="preserve">“El pago de la indemnización o el capital asegurado que se realice directamente a los asegurados, beneficiarios y/ o endosatarios, deberá efectuarse en un plazo no mayor de treinta (30) días siguientes de consentido el siniestro. </w:t>
      </w:r>
    </w:p>
    <w:p w:rsidRPr="00154D3B" w:rsidR="00154D3B" w:rsidP="00154D3B" w:rsidRDefault="00154D3B" w14:paraId="63EFEDD1" w14:textId="77777777">
      <w:pPr>
        <w:autoSpaceDE w:val="0"/>
        <w:autoSpaceDN w:val="0"/>
        <w:adjustRightInd w:val="0"/>
        <w:ind w:left="709"/>
        <w:jc w:val="both"/>
        <w:rPr>
          <w:i/>
          <w:lang w:val="es-PE"/>
        </w:rPr>
      </w:pPr>
      <w:r w:rsidRPr="00154D3B">
        <w:rPr>
          <w:i/>
          <w:lang w:val="es-PE"/>
        </w:rPr>
        <w:t xml:space="preserve">Se entiende consentido el siniestro, cuando la compañía aseguradora aprueba o no ha rechazado el convenio de ajuste debidamente firmado por el asegurado en un plazo no mayor de diez (10) días contados desde su suscripción y notificación al asegurador. En el caso de que la aseguradora no esté de acuerdo con el ajuste señalado en el convenio, puede exigir un nuevo ajuste en un plazo no mayor de treinta (30) días, para consentir o rechazar el siniestro, determinar un nuevo monto o proponer acudir a la cláusula de arbitraje o a la vía judicial. </w:t>
      </w:r>
    </w:p>
    <w:p w:rsidRPr="00154D3B" w:rsidR="00154D3B" w:rsidP="00154D3B" w:rsidRDefault="00154D3B" w14:paraId="0683461E" w14:textId="77777777">
      <w:pPr>
        <w:autoSpaceDE w:val="0"/>
        <w:autoSpaceDN w:val="0"/>
        <w:adjustRightInd w:val="0"/>
        <w:ind w:left="709"/>
        <w:jc w:val="both"/>
        <w:rPr>
          <w:i/>
          <w:lang w:val="es-PE"/>
        </w:rPr>
      </w:pPr>
      <w:r w:rsidRPr="00154D3B">
        <w:rPr>
          <w:i/>
          <w:lang w:val="es-PE"/>
        </w:rPr>
        <w:t xml:space="preserve">En los casos en que, objetivamente, no exista convenio de ajuste, sea porque no se ha requerido la participación del ajustador o este aún no ha concluido su informe, </w:t>
      </w:r>
      <w:r w:rsidRPr="00154D3B">
        <w:rPr>
          <w:b/>
          <w:i/>
          <w:lang w:val="es-PE"/>
        </w:rPr>
        <w:t xml:space="preserve">se entenderá como consentido el siniestro cuando la aseguradora no se haya pronunciado sobre el monto reclamado en un plazo que no exceda de los treinta (30) días contados desde la fecha de haberse completado toda la documentación exigida en la póliza para el pago del siniestro, </w:t>
      </w:r>
      <w:r w:rsidRPr="00154D3B">
        <w:rPr>
          <w:i/>
          <w:lang w:val="es-PE"/>
        </w:rPr>
        <w:t xml:space="preserve">salvo lo señalado en el párrafo siguiente. </w:t>
      </w:r>
    </w:p>
    <w:p w:rsidRPr="00154D3B" w:rsidR="00154D3B" w:rsidP="00154D3B" w:rsidRDefault="00154D3B" w14:paraId="7525A28B" w14:textId="77777777">
      <w:pPr>
        <w:autoSpaceDE w:val="0"/>
        <w:autoSpaceDN w:val="0"/>
        <w:adjustRightInd w:val="0"/>
        <w:ind w:left="709"/>
        <w:jc w:val="both"/>
        <w:rPr>
          <w:i/>
          <w:lang w:val="es-PE"/>
        </w:rPr>
      </w:pPr>
      <w:r w:rsidRPr="00154D3B">
        <w:rPr>
          <w:i/>
          <w:lang w:val="es-PE"/>
        </w:rPr>
        <w:t xml:space="preserve">Cuando el ajustador requiere contar con un plazo mayor para concluir su informe podrá presentar solicitud debidamente fundamentada por única vez a la Superintendencia precisando las razones técnicas y el plazo requerido, bajo responsabilidad. La Superintendencia se pronunciará de manera motivada sobre dicha solicitud en un plazo máximo de treinta (30) días, bajo responsabilidad. </w:t>
      </w:r>
    </w:p>
    <w:p w:rsidRPr="00154D3B" w:rsidR="00154D3B" w:rsidP="00154D3B" w:rsidRDefault="00154D3B" w14:paraId="3FD9B0CC" w14:textId="77777777">
      <w:pPr>
        <w:autoSpaceDE w:val="0"/>
        <w:autoSpaceDN w:val="0"/>
        <w:adjustRightInd w:val="0"/>
        <w:ind w:left="709"/>
        <w:jc w:val="both"/>
        <w:rPr>
          <w:i/>
          <w:lang w:val="es-PE"/>
        </w:rPr>
      </w:pPr>
      <w:r w:rsidRPr="00154D3B">
        <w:rPr>
          <w:i/>
          <w:lang w:val="es-PE"/>
        </w:rPr>
        <w:t xml:space="preserve">Asimismo, cuando la aseguradora requiera contar con un plazo mayor para realizar investigaciones adicionales u obtener evidencias suficientes sobre la procedencia del siniestro o para la adecuada determinación de su monto, y el asegurado no apruebe, en el caso específico, la ampliación de dicho plazo, la aseguradora podrá presentar solicitud debidamente justificada por única vez y, requiriendo un plazo no mayor al original, a la Superintendencia dentro de los referidos treinta días. </w:t>
      </w:r>
    </w:p>
    <w:p w:rsidRPr="00154D3B" w:rsidR="00154D3B" w:rsidP="00154D3B" w:rsidRDefault="00154D3B" w14:paraId="1D605728" w14:textId="77777777">
      <w:pPr>
        <w:autoSpaceDE w:val="0"/>
        <w:autoSpaceDN w:val="0"/>
        <w:adjustRightInd w:val="0"/>
        <w:ind w:left="709"/>
        <w:jc w:val="both"/>
        <w:rPr>
          <w:i/>
          <w:lang w:val="es-PE"/>
        </w:rPr>
      </w:pPr>
      <w:r w:rsidRPr="00154D3B">
        <w:rPr>
          <w:i/>
          <w:lang w:val="es-PE"/>
        </w:rPr>
        <w:t xml:space="preserve">La Superintendencia se pronunciará de manera motivada sobre dicha solicitud en un plazo máximo de treinta (30) días, bajo responsabilidad. A falta de pronunciamiento dentro de dicho plazo, se entiende aprobada la solicitud. </w:t>
      </w:r>
    </w:p>
    <w:p w:rsidRPr="00154D3B" w:rsidR="00154D3B" w:rsidP="00154D3B" w:rsidRDefault="00154D3B" w14:paraId="13FC533B" w14:textId="77777777">
      <w:pPr>
        <w:autoSpaceDE w:val="0"/>
        <w:autoSpaceDN w:val="0"/>
        <w:adjustRightInd w:val="0"/>
        <w:ind w:left="709"/>
        <w:jc w:val="both"/>
        <w:rPr>
          <w:lang w:val="es-PE"/>
        </w:rPr>
      </w:pPr>
      <w:r w:rsidRPr="00154D3B">
        <w:rPr>
          <w:i/>
          <w:lang w:val="es-PE"/>
        </w:rPr>
        <w:t xml:space="preserve">En caso de mora de la empresa de seguros, ésta pagará al asegurado un interés moratorio equivalente a uno punco (1.5) veces la tasa promedio para las operaciones activas en el Perú, en la moneda en que se encuentre expresado el contrato de seguro por todo el tiempo de la mora”. </w:t>
      </w:r>
      <w:r w:rsidRPr="00154D3B">
        <w:rPr>
          <w:lang w:val="es-PE"/>
        </w:rPr>
        <w:t>Lo destacado con negrita es nuestro.</w:t>
      </w:r>
    </w:p>
    <w:p w:rsidRPr="00154D3B" w:rsidR="00154D3B" w:rsidP="00154D3B" w:rsidRDefault="00154D3B" w14:paraId="5211ACAA" w14:textId="77777777">
      <w:pPr>
        <w:autoSpaceDE w:val="0"/>
        <w:autoSpaceDN w:val="0"/>
        <w:adjustRightInd w:val="0"/>
        <w:ind w:left="709"/>
        <w:jc w:val="both"/>
        <w:rPr>
          <w:lang w:val="es-PE"/>
        </w:rPr>
      </w:pPr>
    </w:p>
    <w:p w:rsidRPr="00154D3B" w:rsidR="00154D3B" w:rsidP="00154D3B" w:rsidRDefault="00154D3B" w14:paraId="0B19D25F" w14:textId="77777777">
      <w:pPr>
        <w:tabs>
          <w:tab w:val="left" w:pos="709"/>
          <w:tab w:val="left" w:pos="2160"/>
        </w:tabs>
        <w:ind w:left="705" w:hanging="705"/>
        <w:jc w:val="both"/>
        <w:rPr>
          <w:lang w:val="es-PE"/>
        </w:rPr>
      </w:pPr>
      <w:r w:rsidRPr="00154D3B">
        <w:rPr>
          <w:lang w:val="es-PE"/>
        </w:rPr>
        <w:t>6.2.</w:t>
      </w:r>
      <w:r w:rsidRPr="00154D3B">
        <w:rPr>
          <w:lang w:val="es-PE"/>
        </w:rPr>
        <w:tab/>
      </w:r>
      <w:r w:rsidRPr="00154D3B">
        <w:rPr>
          <w:lang w:val="es-PE"/>
        </w:rPr>
        <w:t>De manera complementaria, el artículo 11 (Liquidación del siniestro cuando no interviene un ajustador) del Reglamento para la Gestión y Pago de Siniestros, aprobado mediante Resolución SBS Nro. 3202-2013, establece lo siguiente:</w:t>
      </w:r>
    </w:p>
    <w:p w:rsidRPr="00154D3B" w:rsidR="00154D3B" w:rsidP="00154D3B" w:rsidRDefault="00154D3B" w14:paraId="78A84D77" w14:textId="77777777">
      <w:pPr>
        <w:pStyle w:val="Default"/>
        <w:ind w:left="709"/>
        <w:jc w:val="both"/>
        <w:rPr>
          <w:rFonts w:ascii="Times New Roman" w:hAnsi="Times New Roman" w:cs="Times New Roman"/>
          <w:i/>
        </w:rPr>
      </w:pPr>
      <w:r w:rsidRPr="00154D3B">
        <w:rPr>
          <w:rFonts w:ascii="Times New Roman" w:hAnsi="Times New Roman" w:cs="Times New Roman"/>
          <w:i/>
        </w:rPr>
        <w:t>"Dentro de los treinta (30) días siguientes a la fecha de haber recibido la documentación e información completa exigida en la póliza para el proceso de liquidación del siniestro, la empresa deberá pronunciarse sobre el consentimiento o rechazo del siniestro.  En caso la empresa requiera aclaraciones o precisiones adicionales respecto de la documentación e información presentada por el asegurado, deberá solicitarlas dentro de los primeros veinte (20) días del plazo ante señalado; lo que suspenderá el plazo hasta que se presente la documentación e información correspondiente.</w:t>
      </w:r>
    </w:p>
    <w:p w:rsidRPr="00154D3B" w:rsidR="00154D3B" w:rsidP="00154D3B" w:rsidRDefault="00154D3B" w14:paraId="6BB0CEF4" w14:textId="77777777">
      <w:pPr>
        <w:pStyle w:val="Default"/>
        <w:ind w:left="705"/>
        <w:jc w:val="both"/>
        <w:rPr>
          <w:rFonts w:ascii="Times New Roman" w:hAnsi="Times New Roman" w:cs="Times New Roman"/>
          <w:iCs/>
        </w:rPr>
      </w:pPr>
      <w:r w:rsidRPr="00154D3B">
        <w:rPr>
          <w:rFonts w:ascii="Times New Roman" w:hAnsi="Times New Roman" w:cs="Times New Roman"/>
          <w:b/>
          <w:i/>
        </w:rPr>
        <w:t xml:space="preserve">Si la empresa no se pronuncia dentro del plazo de treinta (30) días a que se refiere el párrafo anterior, se entenderá que el siniestro ha quedado consentido, salvo que se presente una solicitud de prórroga del plazo con que cuenta la empresa para consentir o rechazar el siniestro, </w:t>
      </w:r>
      <w:r w:rsidRPr="00154D3B">
        <w:rPr>
          <w:rFonts w:ascii="Times New Roman" w:hAnsi="Times New Roman" w:cs="Times New Roman"/>
          <w:i/>
        </w:rPr>
        <w:t xml:space="preserve">conforme a lo señalado en el artículo siguiente". </w:t>
      </w:r>
      <w:r w:rsidRPr="00154D3B">
        <w:rPr>
          <w:rFonts w:ascii="Times New Roman" w:hAnsi="Times New Roman" w:cs="Times New Roman"/>
          <w:iCs/>
        </w:rPr>
        <w:t>Lo destacado con negrita es nuestro.</w:t>
      </w:r>
    </w:p>
    <w:p w:rsidRPr="00154D3B" w:rsidR="00154D3B" w:rsidP="00154D3B" w:rsidRDefault="00154D3B" w14:paraId="7900693D" w14:textId="77777777">
      <w:pPr>
        <w:pStyle w:val="Default"/>
        <w:ind w:left="709"/>
        <w:jc w:val="both"/>
        <w:rPr>
          <w:rFonts w:ascii="Times New Roman" w:hAnsi="Times New Roman" w:cs="Times New Roman"/>
          <w:i/>
        </w:rPr>
      </w:pPr>
    </w:p>
    <w:p w:rsidRPr="00154D3B" w:rsidR="00154D3B" w:rsidP="00154D3B" w:rsidRDefault="00154D3B" w14:paraId="1FD23A14" w14:textId="77777777">
      <w:pPr>
        <w:tabs>
          <w:tab w:val="left" w:pos="709"/>
          <w:tab w:val="left" w:pos="2160"/>
        </w:tabs>
        <w:ind w:left="705" w:hanging="705"/>
        <w:jc w:val="both"/>
        <w:rPr>
          <w:lang w:val="es-PE"/>
        </w:rPr>
      </w:pPr>
      <w:r w:rsidRPr="00154D3B">
        <w:rPr>
          <w:lang w:val="es-PE"/>
        </w:rPr>
        <w:t>6.3.</w:t>
      </w:r>
      <w:r w:rsidRPr="00154D3B">
        <w:rPr>
          <w:lang w:val="es-PE"/>
        </w:rPr>
        <w:tab/>
      </w:r>
      <w:r w:rsidRPr="00154D3B">
        <w:rPr>
          <w:lang w:val="es-PE"/>
        </w:rPr>
        <w:t>Obra en el expediente una serie de comunicaciones presentadas por el reclamante solicitando la cobertura de seguro. Así se tiene que esta fue presentada en las siguientes oportunidades:</w:t>
      </w:r>
    </w:p>
    <w:p w:rsidRPr="00154D3B" w:rsidR="00154D3B" w:rsidP="00154D3B" w:rsidRDefault="00154D3B" w14:paraId="5F0AE0EA" w14:textId="77777777">
      <w:pPr>
        <w:tabs>
          <w:tab w:val="left" w:pos="709"/>
          <w:tab w:val="left" w:pos="2160"/>
        </w:tabs>
        <w:ind w:left="705" w:hanging="705"/>
        <w:jc w:val="both"/>
        <w:rPr>
          <w:lang w:val="es-PE"/>
        </w:rPr>
      </w:pPr>
    </w:p>
    <w:p w:rsidRPr="00154D3B" w:rsidR="00154D3B" w:rsidP="00154D3B" w:rsidRDefault="00154D3B" w14:paraId="3F634E12" w14:textId="77777777">
      <w:pPr>
        <w:pStyle w:val="Prrafodelista"/>
        <w:numPr>
          <w:ilvl w:val="0"/>
          <w:numId w:val="42"/>
        </w:numPr>
        <w:tabs>
          <w:tab w:val="left" w:pos="709"/>
          <w:tab w:val="left" w:pos="2160"/>
        </w:tabs>
        <w:jc w:val="both"/>
        <w:rPr>
          <w:lang w:val="es-PE"/>
        </w:rPr>
      </w:pPr>
      <w:r w:rsidRPr="00154D3B">
        <w:rPr>
          <w:lang w:val="es-PE"/>
        </w:rPr>
        <w:t xml:space="preserve">El 05.01.21: la hermana de la asegurada presentó la historia clínica, DNI, registro nacional de la persona con discapacidad de CONADIS y certificado literal del registro de personas naturales. Dicha solicitud motivó una carta de respuesta de la aseguradora de fecha 11.01.21 a través de la cual se le indicó que debía presentar el Dictamen de Evaluación y Calificación de Invalidez emitido por COMAFP, </w:t>
      </w:r>
      <w:proofErr w:type="spellStart"/>
      <w:r w:rsidRPr="00154D3B">
        <w:rPr>
          <w:lang w:val="es-PE"/>
        </w:rPr>
        <w:t>Essalud</w:t>
      </w:r>
      <w:proofErr w:type="spellEnd"/>
      <w:r w:rsidRPr="00154D3B">
        <w:rPr>
          <w:lang w:val="es-PE"/>
        </w:rPr>
        <w:t>, Minsa, Hospitales de la FF.AA, FFPP o INR con indicación de la fecha de inicio de invalidez, porcentaje y naturaleza de la invalidez, precisando que el expediente no se encontraba rechazado sino pendiente de evaluación hasta el envío de dicho dictamen, conforme al siguiente detalle:</w:t>
      </w:r>
    </w:p>
    <w:p w:rsidRPr="00154D3B" w:rsidR="00154D3B" w:rsidP="00154D3B" w:rsidRDefault="00154D3B" w14:paraId="5FB6D2F1" w14:textId="77777777">
      <w:pPr>
        <w:pStyle w:val="Prrafodelista"/>
        <w:tabs>
          <w:tab w:val="left" w:pos="709"/>
          <w:tab w:val="left" w:pos="2160"/>
        </w:tabs>
        <w:ind w:left="1065"/>
        <w:jc w:val="both"/>
        <w:rPr>
          <w:lang w:val="es-PE"/>
        </w:rPr>
      </w:pPr>
    </w:p>
    <w:p w:rsidRPr="00154D3B" w:rsidR="00154D3B" w:rsidP="00154D3B" w:rsidRDefault="00154D3B" w14:paraId="03C74F8E" w14:textId="24CC7202">
      <w:pPr>
        <w:pStyle w:val="Prrafodelista"/>
        <w:tabs>
          <w:tab w:val="left" w:pos="709"/>
          <w:tab w:val="left" w:pos="2160"/>
        </w:tabs>
        <w:ind w:left="1065"/>
        <w:jc w:val="both"/>
      </w:pPr>
      <w:r w:rsidR="1122DA2B">
        <w:rPr/>
        <w:t>..............................................................................................</w:t>
      </w:r>
    </w:p>
    <w:p w:rsidR="5F7E251B" w:rsidP="5F7E251B" w:rsidRDefault="5F7E251B" w14:paraId="293D8324" w14:textId="5E7569A4">
      <w:pPr>
        <w:pStyle w:val="Prrafodelista"/>
        <w:tabs>
          <w:tab w:val="left" w:leader="none" w:pos="709"/>
          <w:tab w:val="left" w:leader="none" w:pos="2160"/>
        </w:tabs>
        <w:ind w:left="1065"/>
        <w:jc w:val="both"/>
      </w:pPr>
    </w:p>
    <w:p w:rsidRPr="00154D3B" w:rsidR="00154D3B" w:rsidP="00154D3B" w:rsidRDefault="00154D3B" w14:paraId="1043B290" w14:textId="77777777">
      <w:pPr>
        <w:pStyle w:val="Prrafodelista"/>
        <w:tabs>
          <w:tab w:val="left" w:pos="709"/>
          <w:tab w:val="left" w:pos="2160"/>
        </w:tabs>
        <w:ind w:left="1065"/>
        <w:jc w:val="both"/>
        <w:rPr>
          <w:lang w:val="es-PE"/>
        </w:rPr>
      </w:pPr>
    </w:p>
    <w:p w:rsidRPr="00154D3B" w:rsidR="00154D3B" w:rsidP="00154D3B" w:rsidRDefault="00154D3B" w14:paraId="1025E5BA" w14:textId="77777777">
      <w:pPr>
        <w:pStyle w:val="Prrafodelista"/>
        <w:numPr>
          <w:ilvl w:val="0"/>
          <w:numId w:val="42"/>
        </w:numPr>
        <w:tabs>
          <w:tab w:val="left" w:pos="709"/>
          <w:tab w:val="left" w:pos="2160"/>
        </w:tabs>
        <w:jc w:val="both"/>
        <w:rPr>
          <w:lang w:val="es-PE"/>
        </w:rPr>
      </w:pPr>
      <w:r w:rsidRPr="00154D3B">
        <w:rPr>
          <w:lang w:val="es-PE"/>
        </w:rPr>
        <w:t xml:space="preserve">13.01.21: Se presentó un Oficio de </w:t>
      </w:r>
      <w:proofErr w:type="spellStart"/>
      <w:r w:rsidRPr="00154D3B">
        <w:rPr>
          <w:lang w:val="es-PE"/>
        </w:rPr>
        <w:t>Essalud</w:t>
      </w:r>
      <w:proofErr w:type="spellEnd"/>
      <w:r w:rsidRPr="00154D3B">
        <w:rPr>
          <w:lang w:val="es-PE"/>
        </w:rPr>
        <w:t xml:space="preserve"> que indicaba que la asegurada no estaba afiliada a la ONP y un escrito por el que solicitaba mayor orientación al respecto. </w:t>
      </w:r>
    </w:p>
    <w:p w:rsidRPr="00154D3B" w:rsidR="00154D3B" w:rsidP="00154D3B" w:rsidRDefault="00154D3B" w14:paraId="18EAD8E1" w14:textId="77777777">
      <w:pPr>
        <w:pStyle w:val="Prrafodelista"/>
        <w:tabs>
          <w:tab w:val="left" w:pos="709"/>
          <w:tab w:val="left" w:pos="2160"/>
        </w:tabs>
        <w:ind w:left="1065"/>
        <w:jc w:val="both"/>
        <w:rPr>
          <w:lang w:val="es-PE"/>
        </w:rPr>
      </w:pPr>
    </w:p>
    <w:p w:rsidRPr="00154D3B" w:rsidR="00154D3B" w:rsidP="00154D3B" w:rsidRDefault="00154D3B" w14:paraId="048EEE15" w14:textId="77777777">
      <w:pPr>
        <w:pStyle w:val="Prrafodelista"/>
        <w:numPr>
          <w:ilvl w:val="0"/>
          <w:numId w:val="42"/>
        </w:numPr>
        <w:tabs>
          <w:tab w:val="left" w:pos="709"/>
          <w:tab w:val="left" w:pos="2160"/>
        </w:tabs>
        <w:jc w:val="both"/>
        <w:rPr>
          <w:lang w:val="es-PE"/>
        </w:rPr>
      </w:pPr>
      <w:r w:rsidRPr="00154D3B">
        <w:rPr>
          <w:lang w:val="es-PE"/>
        </w:rPr>
        <w:t xml:space="preserve">12.03.21: Se presentó una solicitud adicional donde ante la dificultad en obtener el dictamen requerido solicitaba se considerara el informe médico psiquiátrico del centro de salud que la estaba tratando, o se nombrara un comité o médico que la evalúe, dada la pandemia, y adjuntaba otros documentos médicos que certificaban el diagnóstico, y se volvía a remitir información médica ya presentada. </w:t>
      </w:r>
    </w:p>
    <w:p w:rsidRPr="00154D3B" w:rsidR="00154D3B" w:rsidP="00154D3B" w:rsidRDefault="00154D3B" w14:paraId="7A5053E6" w14:textId="77777777">
      <w:pPr>
        <w:pStyle w:val="Prrafodelista"/>
        <w:rPr>
          <w:lang w:val="es-PE"/>
        </w:rPr>
      </w:pPr>
    </w:p>
    <w:p w:rsidRPr="00154D3B" w:rsidR="00154D3B" w:rsidP="00154D3B" w:rsidRDefault="00154D3B" w14:paraId="76AF8833" w14:textId="77777777">
      <w:pPr>
        <w:pStyle w:val="Prrafodelista"/>
        <w:numPr>
          <w:ilvl w:val="0"/>
          <w:numId w:val="42"/>
        </w:numPr>
        <w:tabs>
          <w:tab w:val="left" w:pos="709"/>
          <w:tab w:val="left" w:pos="2160"/>
        </w:tabs>
        <w:jc w:val="both"/>
        <w:rPr>
          <w:lang w:val="es-PE"/>
        </w:rPr>
      </w:pPr>
      <w:r w:rsidRPr="00154D3B">
        <w:rPr>
          <w:lang w:val="es-PE"/>
        </w:rPr>
        <w:t xml:space="preserve">31.07.21: Se presentó una comunicación a través de la cual se insiste en el pedido que se evalúe a la asegurada en base a los documentos ya presentados. </w:t>
      </w:r>
    </w:p>
    <w:p w:rsidRPr="00154D3B" w:rsidR="00154D3B" w:rsidP="00154D3B" w:rsidRDefault="00154D3B" w14:paraId="4709113A" w14:textId="77777777">
      <w:pPr>
        <w:pStyle w:val="Prrafodelista"/>
        <w:rPr>
          <w:lang w:val="es-PE"/>
        </w:rPr>
      </w:pPr>
    </w:p>
    <w:p w:rsidRPr="00154D3B" w:rsidR="00154D3B" w:rsidP="00154D3B" w:rsidRDefault="00154D3B" w14:paraId="41E6ABEC" w14:textId="77777777">
      <w:pPr>
        <w:pStyle w:val="Prrafodelista"/>
        <w:numPr>
          <w:ilvl w:val="0"/>
          <w:numId w:val="42"/>
        </w:numPr>
        <w:tabs>
          <w:tab w:val="left" w:pos="709"/>
          <w:tab w:val="left" w:pos="2160"/>
        </w:tabs>
        <w:jc w:val="both"/>
        <w:rPr>
          <w:lang w:val="es-PE"/>
        </w:rPr>
      </w:pPr>
      <w:r w:rsidRPr="00154D3B">
        <w:rPr>
          <w:lang w:val="es-PE"/>
        </w:rPr>
        <w:t xml:space="preserve">26.08.21: Se presentó el Dictamen de Invalidez de fecha 23.08.21 emitido por el COMAFP, el mismo que establecía un porcentaje de invalidez del 70% de naturaleza permanente con fecha de ocurrencia 12.08.20. </w:t>
      </w:r>
    </w:p>
    <w:p w:rsidRPr="00154D3B" w:rsidR="00154D3B" w:rsidP="00154D3B" w:rsidRDefault="00154D3B" w14:paraId="495E4C02" w14:textId="77777777">
      <w:pPr>
        <w:pStyle w:val="Prrafodelista"/>
        <w:tabs>
          <w:tab w:val="left" w:pos="709"/>
          <w:tab w:val="left" w:pos="2160"/>
        </w:tabs>
        <w:ind w:left="1065"/>
        <w:jc w:val="both"/>
        <w:rPr>
          <w:lang w:val="es-PE"/>
        </w:rPr>
      </w:pPr>
    </w:p>
    <w:p w:rsidRPr="00154D3B" w:rsidR="00154D3B" w:rsidP="00154D3B" w:rsidRDefault="00154D3B" w14:paraId="4196C94F" w14:textId="77777777">
      <w:pPr>
        <w:pStyle w:val="Prrafodelista"/>
        <w:tabs>
          <w:tab w:val="left" w:pos="709"/>
          <w:tab w:val="left" w:pos="2160"/>
        </w:tabs>
        <w:ind w:left="1065"/>
        <w:jc w:val="both"/>
        <w:rPr>
          <w:lang w:val="es-PE"/>
        </w:rPr>
      </w:pPr>
      <w:r w:rsidRPr="00154D3B">
        <w:rPr>
          <w:lang w:val="es-PE"/>
        </w:rPr>
        <w:t>Luego de ello, la aseguradora cursó la carta de rechazo por falta de pago mediante comunicación de fecha 03.09.21.</w:t>
      </w:r>
    </w:p>
    <w:p w:rsidRPr="00154D3B" w:rsidR="00154D3B" w:rsidP="00154D3B" w:rsidRDefault="00154D3B" w14:paraId="50B5BAB5" w14:textId="77777777">
      <w:pPr>
        <w:pStyle w:val="Prrafodelista"/>
        <w:tabs>
          <w:tab w:val="left" w:pos="709"/>
          <w:tab w:val="left" w:pos="2160"/>
        </w:tabs>
        <w:ind w:left="1065"/>
        <w:jc w:val="both"/>
        <w:rPr>
          <w:lang w:val="es-PE"/>
        </w:rPr>
      </w:pPr>
    </w:p>
    <w:p w:rsidRPr="00154D3B" w:rsidR="00154D3B" w:rsidP="00154D3B" w:rsidRDefault="00154D3B" w14:paraId="66C897E1" w14:textId="77777777">
      <w:pPr>
        <w:pStyle w:val="Prrafodelista"/>
        <w:tabs>
          <w:tab w:val="left" w:pos="709"/>
          <w:tab w:val="left" w:pos="2160"/>
        </w:tabs>
        <w:ind w:left="1065"/>
        <w:jc w:val="both"/>
        <w:rPr>
          <w:lang w:val="es-PE"/>
        </w:rPr>
      </w:pPr>
      <w:r w:rsidRPr="00154D3B">
        <w:rPr>
          <w:lang w:val="es-PE"/>
        </w:rPr>
        <w:t xml:space="preserve">Asimismo, mediante correo electrónico de fecha 09.09.21 en respuesta a un reclamo de la asegurada de fecha 04.09.21, informan que reevaluarán el caso y para ello necesitan las historias clínicas completas detalladas y fedateadas desde </w:t>
      </w:r>
      <w:r w:rsidRPr="00154D3B">
        <w:rPr>
          <w:lang w:val="es-PE"/>
        </w:rPr>
        <w:t>el 2018 de dos centros médicos: San Pablo de Trujillo y Hospital Victor Larco de Trujillo.</w:t>
      </w:r>
    </w:p>
    <w:p w:rsidRPr="00154D3B" w:rsidR="00154D3B" w:rsidP="00154D3B" w:rsidRDefault="00154D3B" w14:paraId="387782AF" w14:textId="77777777">
      <w:pPr>
        <w:tabs>
          <w:tab w:val="left" w:pos="709"/>
          <w:tab w:val="left" w:pos="2160"/>
        </w:tabs>
        <w:jc w:val="both"/>
        <w:rPr>
          <w:lang w:val="es-PE"/>
        </w:rPr>
      </w:pPr>
    </w:p>
    <w:p w:rsidRPr="00154D3B" w:rsidR="00154D3B" w:rsidP="00154D3B" w:rsidRDefault="00154D3B" w14:paraId="5BDD3549" w14:textId="77777777">
      <w:pPr>
        <w:pStyle w:val="Prrafodelista"/>
        <w:numPr>
          <w:ilvl w:val="0"/>
          <w:numId w:val="42"/>
        </w:numPr>
        <w:tabs>
          <w:tab w:val="left" w:pos="709"/>
          <w:tab w:val="left" w:pos="2160"/>
        </w:tabs>
        <w:jc w:val="both"/>
        <w:rPr>
          <w:lang w:val="es-PE"/>
        </w:rPr>
      </w:pPr>
      <w:r w:rsidRPr="00154D3B">
        <w:rPr>
          <w:lang w:val="es-PE"/>
        </w:rPr>
        <w:t xml:space="preserve">09 y 10.09.21: se presentó información médica por correo electrónico manifestando disconformidad con el nuevo pedido, debido a que la información sobre las fechas de diagnóstico ya consta en documentos ya entregados, todo lo cual dilata injustificadamente la atención de su caso. No obstante en comunicaciones por correo electrónico posteriores (presentadas por el propio reclamante el 08 de marzo de 2022) la </w:t>
      </w:r>
      <w:proofErr w:type="gramStart"/>
      <w:r w:rsidRPr="00154D3B">
        <w:rPr>
          <w:lang w:val="es-PE"/>
        </w:rPr>
        <w:t>aseguradora  señaló</w:t>
      </w:r>
      <w:proofErr w:type="gramEnd"/>
      <w:r w:rsidRPr="00154D3B">
        <w:rPr>
          <w:lang w:val="es-PE"/>
        </w:rPr>
        <w:t xml:space="preserve">  que  la información ya presentada correspondía a parte de la historia clínica mas no a la historia clínica completa.</w:t>
      </w:r>
    </w:p>
    <w:p w:rsidRPr="00154D3B" w:rsidR="00154D3B" w:rsidP="00154D3B" w:rsidRDefault="00154D3B" w14:paraId="505216D2" w14:textId="77777777">
      <w:pPr>
        <w:pStyle w:val="Prrafodelista"/>
        <w:tabs>
          <w:tab w:val="left" w:pos="709"/>
          <w:tab w:val="left" w:pos="2160"/>
        </w:tabs>
        <w:ind w:left="1065"/>
        <w:jc w:val="both"/>
        <w:rPr>
          <w:lang w:val="es-PE"/>
        </w:rPr>
      </w:pPr>
    </w:p>
    <w:p w:rsidRPr="00154D3B" w:rsidR="00154D3B" w:rsidP="00154D3B" w:rsidRDefault="00154D3B" w14:paraId="7842664E" w14:textId="77777777">
      <w:pPr>
        <w:pStyle w:val="Prrafodelista"/>
        <w:tabs>
          <w:tab w:val="left" w:pos="709"/>
          <w:tab w:val="left" w:pos="2160"/>
        </w:tabs>
        <w:ind w:left="1065"/>
        <w:jc w:val="both"/>
        <w:rPr>
          <w:lang w:val="es-PE"/>
        </w:rPr>
      </w:pPr>
      <w:r w:rsidRPr="00154D3B">
        <w:rPr>
          <w:lang w:val="es-PE"/>
        </w:rPr>
        <w:t xml:space="preserve">Mediante comunicación presentada a la DEFASEG con fecha 04.03.22 la aseguradora señala que obtuvieron la historia clínica completa a través de un investigador con fechas 14/09/21 y 24/09/21.  </w:t>
      </w:r>
    </w:p>
    <w:p w:rsidRPr="00154D3B" w:rsidR="00154D3B" w:rsidP="00154D3B" w:rsidRDefault="00154D3B" w14:paraId="265BAD62" w14:textId="77777777">
      <w:pPr>
        <w:tabs>
          <w:tab w:val="left" w:pos="709"/>
          <w:tab w:val="left" w:pos="2160"/>
        </w:tabs>
        <w:jc w:val="both"/>
        <w:rPr>
          <w:lang w:val="es-PE"/>
        </w:rPr>
      </w:pPr>
    </w:p>
    <w:p w:rsidRPr="00154D3B" w:rsidR="00154D3B" w:rsidP="00154D3B" w:rsidRDefault="00154D3B" w14:paraId="26174392" w14:textId="77777777">
      <w:pPr>
        <w:pStyle w:val="Prrafodelista"/>
        <w:numPr>
          <w:ilvl w:val="0"/>
          <w:numId w:val="42"/>
        </w:numPr>
        <w:tabs>
          <w:tab w:val="left" w:pos="709"/>
          <w:tab w:val="left" w:pos="2160"/>
        </w:tabs>
        <w:jc w:val="both"/>
        <w:rPr>
          <w:lang w:val="es-PE"/>
        </w:rPr>
      </w:pPr>
      <w:r w:rsidRPr="00154D3B">
        <w:rPr>
          <w:lang w:val="es-PE"/>
        </w:rPr>
        <w:t xml:space="preserve">05.10.21: Se vuelve a presentar información médica. </w:t>
      </w:r>
    </w:p>
    <w:p w:rsidRPr="00154D3B" w:rsidR="00154D3B" w:rsidP="00154D3B" w:rsidRDefault="00154D3B" w14:paraId="65881001" w14:textId="77777777">
      <w:pPr>
        <w:pStyle w:val="Prrafodelista"/>
        <w:tabs>
          <w:tab w:val="left" w:pos="709"/>
          <w:tab w:val="left" w:pos="2160"/>
        </w:tabs>
        <w:ind w:left="1065"/>
        <w:jc w:val="both"/>
        <w:rPr>
          <w:lang w:val="es-PE"/>
        </w:rPr>
      </w:pPr>
    </w:p>
    <w:p w:rsidRPr="00154D3B" w:rsidR="00154D3B" w:rsidP="00154D3B" w:rsidRDefault="00154D3B" w14:paraId="2FDAD9A5" w14:textId="77777777">
      <w:pPr>
        <w:pStyle w:val="Prrafodelista"/>
        <w:tabs>
          <w:tab w:val="left" w:pos="709"/>
          <w:tab w:val="left" w:pos="2160"/>
        </w:tabs>
        <w:ind w:left="1065"/>
        <w:jc w:val="both"/>
        <w:rPr>
          <w:strike/>
          <w:lang w:val="es-PE"/>
        </w:rPr>
      </w:pPr>
      <w:r w:rsidRPr="00154D3B">
        <w:rPr>
          <w:lang w:val="es-PE"/>
        </w:rPr>
        <w:t xml:space="preserve">Existen asimismo correos posteriores a la entrega de la segunda carta de rechazo, que ya no se están considerando para este análisis por ser posteriores a dicha entrega ocurrida el 14 de octubre de 2021. </w:t>
      </w:r>
    </w:p>
    <w:p w:rsidRPr="00154D3B" w:rsidR="00154D3B" w:rsidP="00154D3B" w:rsidRDefault="00154D3B" w14:paraId="79DC5C44" w14:textId="77777777">
      <w:pPr>
        <w:pStyle w:val="Prrafodelista"/>
        <w:tabs>
          <w:tab w:val="left" w:pos="709"/>
          <w:tab w:val="left" w:pos="2160"/>
        </w:tabs>
        <w:ind w:left="1065"/>
        <w:jc w:val="both"/>
        <w:rPr>
          <w:strike/>
          <w:lang w:val="es-PE"/>
        </w:rPr>
      </w:pPr>
    </w:p>
    <w:p w:rsidRPr="00154D3B" w:rsidR="00154D3B" w:rsidP="00154D3B" w:rsidRDefault="00154D3B" w14:paraId="15CC87EE" w14:textId="77777777">
      <w:pPr>
        <w:tabs>
          <w:tab w:val="left" w:pos="2160"/>
        </w:tabs>
        <w:jc w:val="both"/>
        <w:rPr>
          <w:lang w:val="es-PE"/>
        </w:rPr>
      </w:pPr>
      <w:r w:rsidRPr="00154D3B">
        <w:rPr>
          <w:lang w:val="es-PE"/>
        </w:rPr>
        <w:t xml:space="preserve">En consecuencia, debe concluirse que el rechazo de cobertura comunicado el 3 de setiembre de 2021, indicando que a la fecha del siniestro la póliza se encontraba anulada por falta de pago, fue comunicada dentro de los 30 días siguientes a que se completara la documentación (lo cual ocurrió el 26.08.21) </w:t>
      </w:r>
      <w:proofErr w:type="gramStart"/>
      <w:r w:rsidRPr="00154D3B">
        <w:rPr>
          <w:lang w:val="es-PE"/>
        </w:rPr>
        <w:t>y</w:t>
      </w:r>
      <w:proofErr w:type="gramEnd"/>
      <w:r w:rsidRPr="00154D3B">
        <w:rPr>
          <w:lang w:val="es-PE"/>
        </w:rPr>
        <w:t xml:space="preserve"> por ende, no operó la figura de siniestro consentido. </w:t>
      </w:r>
    </w:p>
    <w:p w:rsidRPr="00154D3B" w:rsidR="00154D3B" w:rsidP="00154D3B" w:rsidRDefault="00154D3B" w14:paraId="6287663D" w14:textId="77777777">
      <w:pPr>
        <w:tabs>
          <w:tab w:val="left" w:pos="2160"/>
        </w:tabs>
        <w:jc w:val="both"/>
        <w:rPr>
          <w:lang w:val="es-PE"/>
        </w:rPr>
      </w:pPr>
    </w:p>
    <w:p w:rsidRPr="00154D3B" w:rsidR="00154D3B" w:rsidP="00154D3B" w:rsidRDefault="00154D3B" w14:paraId="7F6A1583" w14:textId="77777777">
      <w:pPr>
        <w:tabs>
          <w:tab w:val="left" w:pos="2160"/>
        </w:tabs>
        <w:jc w:val="both"/>
        <w:rPr>
          <w:lang w:val="es-PE"/>
        </w:rPr>
      </w:pPr>
      <w:r w:rsidRPr="00154D3B">
        <w:rPr>
          <w:lang w:val="es-PE"/>
        </w:rPr>
        <w:t xml:space="preserve">Asimismo, el pedido de </w:t>
      </w:r>
      <w:proofErr w:type="gramStart"/>
      <w:r w:rsidRPr="00154D3B">
        <w:rPr>
          <w:lang w:val="es-PE"/>
        </w:rPr>
        <w:t>mayor información</w:t>
      </w:r>
      <w:proofErr w:type="gramEnd"/>
      <w:r w:rsidRPr="00154D3B">
        <w:rPr>
          <w:lang w:val="es-PE"/>
        </w:rPr>
        <w:t>, requiriendo la historia clínica completa para reevaluar el caso fue cursado el 09.09.21, esto es, cuando aún no había vencido el plazo para pronunciarse sobre la cobertura de seguro.</w:t>
      </w:r>
    </w:p>
    <w:p w:rsidRPr="00154D3B" w:rsidR="00154D3B" w:rsidP="00154D3B" w:rsidRDefault="00154D3B" w14:paraId="23C83D40" w14:textId="77777777">
      <w:pPr>
        <w:tabs>
          <w:tab w:val="left" w:pos="2160"/>
        </w:tabs>
        <w:jc w:val="both"/>
        <w:rPr>
          <w:lang w:val="es-PE"/>
        </w:rPr>
      </w:pPr>
    </w:p>
    <w:p w:rsidRPr="00154D3B" w:rsidR="00154D3B" w:rsidP="00154D3B" w:rsidRDefault="00154D3B" w14:paraId="53E28110" w14:textId="77777777">
      <w:pPr>
        <w:tabs>
          <w:tab w:val="left" w:pos="2160"/>
        </w:tabs>
        <w:jc w:val="both"/>
        <w:rPr>
          <w:lang w:val="es-PE"/>
        </w:rPr>
      </w:pPr>
      <w:r w:rsidRPr="00154D3B">
        <w:rPr>
          <w:lang w:val="es-PE"/>
        </w:rPr>
        <w:t xml:space="preserve">Es importante destacar que la conducta de la aseguradora consistente en pedir recién en setiembre de 2021 la historia clínica completa, pese a que en su comunicación de fecha 11 de enero de 2021 señalaron que lo que se encontraba pendiente era el Dictamen COMAFP, corresponde a un aspecto referido a idoneidad de servicios respecto del cual esta Defensoría carece de competencia. </w:t>
      </w:r>
    </w:p>
    <w:p w:rsidRPr="00154D3B" w:rsidR="00154D3B" w:rsidP="00154D3B" w:rsidRDefault="00154D3B" w14:paraId="337E2139" w14:textId="77777777">
      <w:pPr>
        <w:tabs>
          <w:tab w:val="left" w:pos="2160"/>
        </w:tabs>
        <w:jc w:val="both"/>
        <w:rPr>
          <w:lang w:val="es-PE"/>
        </w:rPr>
      </w:pPr>
    </w:p>
    <w:p w:rsidRPr="00154D3B" w:rsidR="00154D3B" w:rsidP="00154D3B" w:rsidRDefault="00154D3B" w14:paraId="08CD5C74" w14:textId="77777777">
      <w:pPr>
        <w:tabs>
          <w:tab w:val="left" w:pos="2160"/>
        </w:tabs>
        <w:jc w:val="both"/>
        <w:rPr>
          <w:lang w:val="es-PE"/>
        </w:rPr>
      </w:pPr>
      <w:r w:rsidRPr="00154D3B">
        <w:rPr>
          <w:lang w:val="es-PE"/>
        </w:rPr>
        <w:t>Siendo que las nuevas causales de rechazo (reticencia y preexistencia) fueron informadas mediante correo electrónico entregado el 14 de octubre de 2021, la ampliación del rechazo no resulta extemporánea.</w:t>
      </w:r>
    </w:p>
    <w:p w:rsidRPr="00154D3B" w:rsidR="00154D3B" w:rsidP="00154D3B" w:rsidRDefault="00154D3B" w14:paraId="49609253" w14:textId="77777777">
      <w:pPr>
        <w:tabs>
          <w:tab w:val="left" w:pos="2160"/>
        </w:tabs>
        <w:jc w:val="both"/>
        <w:rPr>
          <w:lang w:val="es-PE"/>
        </w:rPr>
      </w:pPr>
    </w:p>
    <w:p w:rsidRPr="00154D3B" w:rsidR="00154D3B" w:rsidP="00154D3B" w:rsidRDefault="00154D3B" w14:paraId="18DA5F3C" w14:textId="77777777">
      <w:pPr>
        <w:tabs>
          <w:tab w:val="left" w:pos="709"/>
          <w:tab w:val="left" w:pos="2160"/>
        </w:tabs>
        <w:ind w:left="705" w:hanging="705"/>
        <w:jc w:val="both"/>
        <w:rPr>
          <w:lang w:val="es-PE"/>
        </w:rPr>
      </w:pPr>
    </w:p>
    <w:p w:rsidRPr="00154D3B" w:rsidR="00154D3B" w:rsidP="00154D3B" w:rsidRDefault="00154D3B" w14:paraId="0C84358D" w14:textId="77777777">
      <w:pPr>
        <w:tabs>
          <w:tab w:val="left" w:pos="709"/>
          <w:tab w:val="left" w:pos="2160"/>
        </w:tabs>
        <w:ind w:left="705" w:hanging="705"/>
        <w:jc w:val="both"/>
        <w:rPr>
          <w:b/>
          <w:bCs/>
          <w:lang w:val="es-PE"/>
        </w:rPr>
      </w:pPr>
      <w:r w:rsidRPr="00154D3B">
        <w:rPr>
          <w:b/>
          <w:bCs/>
          <w:lang w:val="es-PE"/>
        </w:rPr>
        <w:t>Sobre la extinción por falta de pago:</w:t>
      </w:r>
    </w:p>
    <w:p w:rsidRPr="00154D3B" w:rsidR="00154D3B" w:rsidP="00154D3B" w:rsidRDefault="00154D3B" w14:paraId="470710E7" w14:textId="77777777">
      <w:pPr>
        <w:tabs>
          <w:tab w:val="left" w:pos="709"/>
          <w:tab w:val="left" w:pos="2160"/>
        </w:tabs>
        <w:ind w:left="705" w:hanging="705"/>
        <w:jc w:val="both"/>
        <w:rPr>
          <w:b/>
          <w:bCs/>
          <w:lang w:val="es-PE"/>
        </w:rPr>
      </w:pPr>
    </w:p>
    <w:p w:rsidRPr="00154D3B" w:rsidR="00154D3B" w:rsidP="00154D3B" w:rsidRDefault="00154D3B" w14:paraId="75204DF9" w14:textId="77777777">
      <w:pPr>
        <w:tabs>
          <w:tab w:val="left" w:pos="2160"/>
        </w:tabs>
        <w:jc w:val="both"/>
        <w:rPr>
          <w:lang w:val="es-PE"/>
        </w:rPr>
      </w:pPr>
      <w:r w:rsidRPr="00154D3B">
        <w:rPr>
          <w:lang w:val="es-PE"/>
        </w:rPr>
        <w:t>La aseguradora señala que se pactó el pago de una prima mensual y que la póliza estuvo vigente del 15.05.2020 al 15.06.2020, siendo que a la fecha de presentación del caso ya había sido anulada por falta de pago.</w:t>
      </w:r>
    </w:p>
    <w:p w:rsidRPr="00154D3B" w:rsidR="00154D3B" w:rsidP="00154D3B" w:rsidRDefault="00154D3B" w14:paraId="735C4469" w14:textId="77777777">
      <w:pPr>
        <w:tabs>
          <w:tab w:val="left" w:pos="2160"/>
        </w:tabs>
        <w:jc w:val="both"/>
        <w:rPr>
          <w:lang w:val="es-PE"/>
        </w:rPr>
      </w:pPr>
    </w:p>
    <w:p w:rsidRPr="00154D3B" w:rsidR="00154D3B" w:rsidP="00154D3B" w:rsidRDefault="00154D3B" w14:paraId="35B97332" w14:textId="77777777">
      <w:pPr>
        <w:tabs>
          <w:tab w:val="left" w:pos="2160"/>
        </w:tabs>
        <w:jc w:val="both"/>
        <w:rPr>
          <w:lang w:val="es-PE"/>
        </w:rPr>
      </w:pPr>
      <w:r w:rsidRPr="00154D3B">
        <w:rPr>
          <w:lang w:val="es-PE"/>
        </w:rPr>
        <w:t>Asimismo, refiere que solo únicamente se pagó una prima con fecha 31 de mayo de 2020; que otorgaba cobertura para el periodo antes indicado, y que la fecha para el pago de la segunda prima venció el 30.06.2020.</w:t>
      </w:r>
    </w:p>
    <w:p w:rsidRPr="00154D3B" w:rsidR="00154D3B" w:rsidP="00154D3B" w:rsidRDefault="00154D3B" w14:paraId="2685132B" w14:textId="77777777">
      <w:pPr>
        <w:tabs>
          <w:tab w:val="left" w:pos="2160"/>
        </w:tabs>
        <w:jc w:val="both"/>
        <w:rPr>
          <w:lang w:val="es-PE"/>
        </w:rPr>
      </w:pPr>
    </w:p>
    <w:p w:rsidRPr="00154D3B" w:rsidR="00154D3B" w:rsidP="00154D3B" w:rsidRDefault="00154D3B" w14:paraId="5A3D0F78" w14:textId="77777777">
      <w:pPr>
        <w:tabs>
          <w:tab w:val="left" w:pos="2160"/>
        </w:tabs>
        <w:jc w:val="both"/>
        <w:rPr>
          <w:lang w:val="es-PE"/>
        </w:rPr>
      </w:pPr>
      <w:r w:rsidRPr="00154D3B">
        <w:rPr>
          <w:lang w:val="es-PE"/>
        </w:rPr>
        <w:t>Al respecto, el artículo 21 de la Ley del Contrato de Seguro señala lo siguiente:</w:t>
      </w:r>
    </w:p>
    <w:p w:rsidRPr="00154D3B" w:rsidR="00154D3B" w:rsidP="00154D3B" w:rsidRDefault="00154D3B" w14:paraId="738746EE" w14:textId="77777777">
      <w:pPr>
        <w:spacing w:before="100" w:beforeAutospacing="1" w:after="100" w:afterAutospacing="1"/>
        <w:rPr>
          <w:lang w:eastAsia="es-PE"/>
        </w:rPr>
      </w:pPr>
      <w:r w:rsidRPr="00154D3B">
        <w:rPr>
          <w:lang w:eastAsia="es-PE"/>
        </w:rPr>
        <w:t xml:space="preserve">    </w:t>
      </w:r>
      <w:proofErr w:type="gramStart"/>
      <w:r w:rsidRPr="00154D3B">
        <w:rPr>
          <w:lang w:eastAsia="es-PE"/>
        </w:rPr>
        <w:t>“ </w:t>
      </w:r>
      <w:r w:rsidRPr="00154D3B">
        <w:rPr>
          <w:b/>
          <w:bCs/>
          <w:lang w:eastAsia="es-PE"/>
        </w:rPr>
        <w:t>Artículo</w:t>
      </w:r>
      <w:proofErr w:type="gramEnd"/>
      <w:r w:rsidRPr="00154D3B">
        <w:rPr>
          <w:b/>
          <w:bCs/>
          <w:lang w:eastAsia="es-PE"/>
        </w:rPr>
        <w:t xml:space="preserve"> 21. Suspensión de la cobertura por incumplimiento de pago</w:t>
      </w:r>
    </w:p>
    <w:p w:rsidRPr="00154D3B" w:rsidR="00154D3B" w:rsidP="00154D3B" w:rsidRDefault="00154D3B" w14:paraId="27B91E96" w14:textId="77777777">
      <w:pPr>
        <w:spacing w:before="100" w:beforeAutospacing="1" w:after="100" w:afterAutospacing="1"/>
        <w:rPr>
          <w:lang w:eastAsia="es-PE"/>
        </w:rPr>
      </w:pPr>
      <w:r w:rsidRPr="00154D3B">
        <w:rPr>
          <w:b/>
          <w:bCs/>
          <w:lang w:eastAsia="es-PE"/>
        </w:rPr>
        <w:t>     </w:t>
      </w:r>
      <w:r w:rsidRPr="00154D3B">
        <w:rPr>
          <w:lang w:eastAsia="es-PE"/>
        </w:rPr>
        <w:t>El incumplimiento de pago establecido en el Convenio de Pago origina la suspensión automática de la cobertura del seguro una vez transcurridos treinta (30) días desde la fecha de vencimiento de la obligación, siempre y cuando no se haya convenido un plazo adicional para el pago. Para tal efecto, el asegurador deberá comunicar de manera cierta al asegurado a través de los medios y en la dirección previamente acordada, el incumplimiento del pago de la prima y sus consecuencias, así como indicar el plazo de que dispone para pagar antes de la suspensión de la cobertura del seguro. El asegurador no es responsable por los siniestros ocurridos durante el período en que la cobertura se mantiene suspendida.</w:t>
      </w:r>
    </w:p>
    <w:p w:rsidRPr="00154D3B" w:rsidR="00154D3B" w:rsidP="00154D3B" w:rsidRDefault="00154D3B" w14:paraId="03D7195E" w14:textId="77777777">
      <w:pPr>
        <w:spacing w:before="100" w:beforeAutospacing="1" w:after="100" w:afterAutospacing="1"/>
        <w:rPr>
          <w:lang w:eastAsia="es-PE"/>
        </w:rPr>
      </w:pPr>
      <w:r w:rsidRPr="00154D3B">
        <w:rPr>
          <w:lang w:eastAsia="es-PE"/>
        </w:rPr>
        <w:t>     La suspensión de cobertura no es aplicable en los casos en que el contratante ha pagado, proporcionalmente, una prima igual o mayor al período corrido del contrato.</w:t>
      </w:r>
    </w:p>
    <w:p w:rsidRPr="00154D3B" w:rsidR="00154D3B" w:rsidP="00154D3B" w:rsidRDefault="00154D3B" w14:paraId="6DF4D974" w14:textId="77777777">
      <w:pPr>
        <w:spacing w:before="100" w:beforeAutospacing="1" w:after="100" w:afterAutospacing="1"/>
        <w:rPr>
          <w:lang w:eastAsia="es-PE"/>
        </w:rPr>
      </w:pPr>
      <w:r w:rsidRPr="00154D3B">
        <w:rPr>
          <w:lang w:eastAsia="es-PE"/>
        </w:rPr>
        <w:t>     Si el asegurador no reclama el pago de la prima dentro de los noventa (90) días siguientes al vencimiento del plazo, se entiende que el contrato queda extinguido,”</w:t>
      </w:r>
    </w:p>
    <w:p w:rsidRPr="00154D3B" w:rsidR="00154D3B" w:rsidP="00154D3B" w:rsidRDefault="00154D3B" w14:paraId="65471AB8" w14:textId="77777777">
      <w:pPr>
        <w:tabs>
          <w:tab w:val="left" w:pos="2160"/>
        </w:tabs>
        <w:jc w:val="both"/>
      </w:pPr>
      <w:r w:rsidRPr="00154D3B">
        <w:t>Dicho artículo regula dos supuestos vinculados con la falta de pago: el de la suspensión de cobertura y el de la extinción del contrato de seguro.</w:t>
      </w:r>
    </w:p>
    <w:p w:rsidRPr="00154D3B" w:rsidR="00154D3B" w:rsidP="00154D3B" w:rsidRDefault="00154D3B" w14:paraId="73D8EE1D" w14:textId="77777777">
      <w:pPr>
        <w:tabs>
          <w:tab w:val="left" w:pos="2160"/>
        </w:tabs>
        <w:jc w:val="both"/>
      </w:pPr>
    </w:p>
    <w:p w:rsidRPr="00154D3B" w:rsidR="00154D3B" w:rsidP="00154D3B" w:rsidRDefault="00154D3B" w14:paraId="6433D69A" w14:textId="77777777">
      <w:pPr>
        <w:tabs>
          <w:tab w:val="left" w:pos="2160"/>
        </w:tabs>
        <w:jc w:val="both"/>
      </w:pPr>
      <w:r w:rsidRPr="00154D3B">
        <w:t>En este caso, la cobertura hubiera podido haber quedado suspendida a partir del 1 de agosto de 2020, si la aseguradora hubiera enviado una comunicación de suspensión, lo que no ocurrió.</w:t>
      </w:r>
    </w:p>
    <w:p w:rsidRPr="00154D3B" w:rsidR="00154D3B" w:rsidP="00154D3B" w:rsidRDefault="00154D3B" w14:paraId="33BCCCC1" w14:textId="77777777">
      <w:pPr>
        <w:tabs>
          <w:tab w:val="left" w:pos="2160"/>
        </w:tabs>
        <w:jc w:val="both"/>
      </w:pPr>
    </w:p>
    <w:p w:rsidRPr="00154D3B" w:rsidR="00154D3B" w:rsidP="00154D3B" w:rsidRDefault="00154D3B" w14:paraId="6D07D6C9" w14:textId="77777777">
      <w:pPr>
        <w:tabs>
          <w:tab w:val="left" w:pos="2160"/>
        </w:tabs>
        <w:jc w:val="both"/>
        <w:rPr>
          <w:lang w:val="es-PE"/>
        </w:rPr>
      </w:pPr>
      <w:r w:rsidRPr="00154D3B">
        <w:t xml:space="preserve">Como no envió dicha comunicación la cobertura no quedó suspendida al 1 de agosto de 2020; sin perjuicio de lo cual el contrato quedó extinguido a los 90 días siguientes al vencimiento del plazo para el pago de la segunda prima adeudada, es decir, al 30 de setiembre de 2020. </w:t>
      </w:r>
    </w:p>
    <w:p w:rsidRPr="00154D3B" w:rsidR="00154D3B" w:rsidP="00154D3B" w:rsidRDefault="00154D3B" w14:paraId="60C7D295" w14:textId="77777777">
      <w:pPr>
        <w:tabs>
          <w:tab w:val="left" w:pos="2160"/>
        </w:tabs>
        <w:jc w:val="both"/>
        <w:rPr>
          <w:lang w:val="es-PE"/>
        </w:rPr>
      </w:pPr>
    </w:p>
    <w:p w:rsidRPr="00154D3B" w:rsidR="00154D3B" w:rsidP="00154D3B" w:rsidRDefault="00154D3B" w14:paraId="6CE677D1" w14:textId="77777777">
      <w:pPr>
        <w:tabs>
          <w:tab w:val="left" w:pos="2160"/>
        </w:tabs>
        <w:jc w:val="both"/>
        <w:rPr>
          <w:lang w:val="es-PE"/>
        </w:rPr>
      </w:pPr>
      <w:r w:rsidRPr="00154D3B">
        <w:rPr>
          <w:lang w:val="es-PE"/>
        </w:rPr>
        <w:t>En este caso, estamos ante un siniestro que se produce en la fecha que se indica en el Dictamen de Invalidez Total y Permanente, y no en la fecha en que se presenta la solicitud de cobertura.</w:t>
      </w:r>
    </w:p>
    <w:p w:rsidRPr="00154D3B" w:rsidR="00154D3B" w:rsidP="00154D3B" w:rsidRDefault="00154D3B" w14:paraId="608F7706" w14:textId="77777777">
      <w:pPr>
        <w:tabs>
          <w:tab w:val="left" w:pos="2160"/>
        </w:tabs>
        <w:jc w:val="both"/>
        <w:rPr>
          <w:lang w:val="es-PE"/>
        </w:rPr>
      </w:pPr>
    </w:p>
    <w:p w:rsidRPr="00154D3B" w:rsidR="00154D3B" w:rsidP="00154D3B" w:rsidRDefault="00154D3B" w14:paraId="7AD602CF" w14:textId="77777777">
      <w:pPr>
        <w:tabs>
          <w:tab w:val="left" w:pos="2160"/>
        </w:tabs>
        <w:jc w:val="both"/>
        <w:rPr>
          <w:lang w:val="es-PE"/>
        </w:rPr>
      </w:pPr>
      <w:proofErr w:type="gramStart"/>
      <w:r w:rsidRPr="00154D3B">
        <w:rPr>
          <w:lang w:val="es-PE"/>
        </w:rPr>
        <w:t>De acuerdo a</w:t>
      </w:r>
      <w:proofErr w:type="gramEnd"/>
      <w:r w:rsidRPr="00154D3B">
        <w:rPr>
          <w:lang w:val="es-PE"/>
        </w:rPr>
        <w:t xml:space="preserve"> lo señalado en el Dictamen de la Invalidez, la situación de invalidez total y permanente es declarada en el mes de agosto de 2021, pero indica que esta habría ocurrido el 12/08/2020, es decir cuando aún la póliza no había quedado extinguida por falta de pago; y siendo que no se había cursado una comunicación de suspensión por falta de pago, a dicha fecha se tenía cobertura de seguro.</w:t>
      </w:r>
    </w:p>
    <w:p w:rsidRPr="00154D3B" w:rsidR="00154D3B" w:rsidP="00154D3B" w:rsidRDefault="00154D3B" w14:paraId="7F36B309" w14:textId="77777777">
      <w:pPr>
        <w:tabs>
          <w:tab w:val="left" w:pos="2160"/>
        </w:tabs>
        <w:jc w:val="both"/>
        <w:rPr>
          <w:lang w:val="es-PE"/>
        </w:rPr>
      </w:pPr>
    </w:p>
    <w:p w:rsidRPr="00154D3B" w:rsidR="00154D3B" w:rsidP="00154D3B" w:rsidRDefault="00154D3B" w14:paraId="707F5993" w14:textId="77777777">
      <w:pPr>
        <w:tabs>
          <w:tab w:val="left" w:pos="2160"/>
        </w:tabs>
        <w:jc w:val="both"/>
        <w:rPr>
          <w:lang w:val="es-PE"/>
        </w:rPr>
      </w:pPr>
      <w:r w:rsidRPr="00154D3B">
        <w:rPr>
          <w:lang w:val="es-PE"/>
        </w:rPr>
        <w:t xml:space="preserve">Por lo tanto, el rechazo de cobertura basado en la extinción del contrato no sería legítimo, pues ella no debe ser analizada a la fecha de presentación de la solicitud, sino a la fecha de ocurrencia del siniestro. </w:t>
      </w:r>
    </w:p>
    <w:p w:rsidRPr="00154D3B" w:rsidR="00154D3B" w:rsidP="00154D3B" w:rsidRDefault="00154D3B" w14:paraId="609C5F9A" w14:textId="77777777">
      <w:pPr>
        <w:tabs>
          <w:tab w:val="left" w:pos="709"/>
          <w:tab w:val="left" w:pos="2160"/>
        </w:tabs>
        <w:ind w:left="705" w:hanging="705"/>
        <w:jc w:val="both"/>
        <w:rPr>
          <w:b/>
          <w:bCs/>
          <w:lang w:val="es-PE"/>
        </w:rPr>
      </w:pPr>
    </w:p>
    <w:p w:rsidRPr="00154D3B" w:rsidR="00154D3B" w:rsidP="00154D3B" w:rsidRDefault="00154D3B" w14:paraId="6A0C72E1" w14:textId="77777777">
      <w:pPr>
        <w:tabs>
          <w:tab w:val="left" w:pos="709"/>
          <w:tab w:val="left" w:pos="2160"/>
        </w:tabs>
        <w:ind w:left="705" w:hanging="705"/>
        <w:jc w:val="both"/>
        <w:rPr>
          <w:b/>
          <w:bCs/>
          <w:lang w:val="es-PE"/>
        </w:rPr>
      </w:pPr>
      <w:r w:rsidRPr="00154D3B">
        <w:rPr>
          <w:b/>
          <w:bCs/>
          <w:lang w:val="es-PE"/>
        </w:rPr>
        <w:t>Sobre la reticencia:</w:t>
      </w:r>
    </w:p>
    <w:p w:rsidRPr="00154D3B" w:rsidR="00154D3B" w:rsidP="00154D3B" w:rsidRDefault="00154D3B" w14:paraId="7AA01D11" w14:textId="77777777">
      <w:pPr>
        <w:tabs>
          <w:tab w:val="left" w:pos="2160"/>
        </w:tabs>
        <w:jc w:val="both"/>
        <w:rPr>
          <w:lang w:val="es-PE"/>
        </w:rPr>
      </w:pPr>
    </w:p>
    <w:p w:rsidRPr="00154D3B" w:rsidR="00154D3B" w:rsidP="00154D3B" w:rsidRDefault="00154D3B" w14:paraId="6B8814A0" w14:textId="77777777">
      <w:pPr>
        <w:tabs>
          <w:tab w:val="left" w:pos="2160"/>
        </w:tabs>
        <w:jc w:val="both"/>
        <w:rPr>
          <w:i/>
          <w:iCs/>
          <w:lang w:val="es-PE"/>
        </w:rPr>
      </w:pPr>
      <w:r w:rsidRPr="00154D3B">
        <w:rPr>
          <w:lang w:val="es-PE"/>
        </w:rPr>
        <w:t xml:space="preserve">En lo que respecta a la reticencia, el artículo 8 de la Ley del Contrato de Seguro, Ley 29946; establece lo siguiente: </w:t>
      </w:r>
      <w:r w:rsidRPr="00154D3B">
        <w:rPr>
          <w:i/>
          <w:iCs/>
          <w:lang w:val="es-PE"/>
        </w:rPr>
        <w:t>“La reticencia y/o declaración inexacta de circunstancias conocidas por el contratante y/o asegurado, que hubiese impedido el contrato o modificado sus condiciones si el asegurador hubiese sido informado del verdadero estado del riesgo, hace nulo el contrato si media dolo o culpa inexcusable del contratante y/o asegurado”.</w:t>
      </w:r>
    </w:p>
    <w:p w:rsidRPr="00154D3B" w:rsidR="00154D3B" w:rsidP="00154D3B" w:rsidRDefault="00154D3B" w14:paraId="5E8C3D47" w14:textId="77777777">
      <w:pPr>
        <w:tabs>
          <w:tab w:val="left" w:pos="2160"/>
        </w:tabs>
        <w:jc w:val="both"/>
        <w:rPr>
          <w:lang w:val="es-PE"/>
        </w:rPr>
      </w:pPr>
    </w:p>
    <w:p w:rsidRPr="00154D3B" w:rsidR="00154D3B" w:rsidP="00154D3B" w:rsidRDefault="00154D3B" w14:paraId="4517B013" w14:textId="77777777">
      <w:pPr>
        <w:tabs>
          <w:tab w:val="left" w:pos="2160"/>
        </w:tabs>
        <w:jc w:val="both"/>
        <w:rPr>
          <w:lang w:val="es-PE"/>
        </w:rPr>
      </w:pPr>
      <w:r w:rsidRPr="00154D3B">
        <w:rPr>
          <w:lang w:val="es-PE"/>
        </w:rPr>
        <w:t xml:space="preserve">La parte reclamante sostiene que la vendedora le envío el formato ya completado para la firma, por lo que no fue la asegurada quien llenó el formulario. No obstante, es deber de los asegurados y contratantes leer lo que firman, y si lo completado no correspondía a la realidad era responsabilidad de la asegurada advertirlo, pues con su firma validó dicha información. </w:t>
      </w:r>
    </w:p>
    <w:p w:rsidRPr="00154D3B" w:rsidR="00154D3B" w:rsidP="00154D3B" w:rsidRDefault="00154D3B" w14:paraId="38CA963B" w14:textId="77777777">
      <w:pPr>
        <w:tabs>
          <w:tab w:val="left" w:pos="2160"/>
        </w:tabs>
        <w:jc w:val="both"/>
        <w:rPr>
          <w:lang w:val="es-PE"/>
        </w:rPr>
      </w:pPr>
    </w:p>
    <w:p w:rsidRPr="00154D3B" w:rsidR="00154D3B" w:rsidP="00154D3B" w:rsidRDefault="00154D3B" w14:paraId="4EF21A4B" w14:textId="77777777">
      <w:pPr>
        <w:tabs>
          <w:tab w:val="left" w:pos="2160"/>
        </w:tabs>
        <w:jc w:val="both"/>
        <w:rPr>
          <w:lang w:val="es-PE"/>
        </w:rPr>
      </w:pPr>
      <w:r w:rsidRPr="00154D3B">
        <w:rPr>
          <w:lang w:val="es-PE"/>
        </w:rPr>
        <w:t xml:space="preserve">En este caso, por lo tanto, se ha acreditado que la asegurada respondió con fecha 11 de mayo de 2020, negativamente a preguntas de salud, entre ellas una referida a si había sufrido o había sido tratada de enfermedades mentales o nerviosas, siendo que obra en el expediente parte pertinente de la historia clínica de la asegurada, donde figuran atenciones en el año 2019 por episodios depresivos, esto es, en fecha previa a la contratación del seguro y sobre la cual no se respondió afirmativamente. </w:t>
      </w:r>
    </w:p>
    <w:p w:rsidRPr="00154D3B" w:rsidR="00154D3B" w:rsidP="00154D3B" w:rsidRDefault="00154D3B" w14:paraId="38E78650" w14:textId="77777777">
      <w:pPr>
        <w:tabs>
          <w:tab w:val="left" w:pos="2160"/>
        </w:tabs>
        <w:jc w:val="both"/>
        <w:rPr>
          <w:lang w:val="es-PE"/>
        </w:rPr>
      </w:pPr>
    </w:p>
    <w:p w:rsidRPr="00154D3B" w:rsidR="00154D3B" w:rsidP="00154D3B" w:rsidRDefault="00154D3B" w14:paraId="25188773" w14:textId="77777777">
      <w:pPr>
        <w:tabs>
          <w:tab w:val="left" w:pos="2160"/>
        </w:tabs>
        <w:jc w:val="both"/>
        <w:rPr>
          <w:lang w:val="es-PE"/>
        </w:rPr>
      </w:pPr>
      <w:r w:rsidRPr="00154D3B">
        <w:rPr>
          <w:lang w:val="es-PE"/>
        </w:rPr>
        <w:t xml:space="preserve">Ahora bien, la aseguradora cuenta con un plazo legal de caducidad para invocar la reticencia. En efecto, </w:t>
      </w:r>
      <w:proofErr w:type="gramStart"/>
      <w:r w:rsidRPr="00154D3B">
        <w:rPr>
          <w:lang w:val="es-PE"/>
        </w:rPr>
        <w:t>de acuerdo a</w:t>
      </w:r>
      <w:proofErr w:type="gramEnd"/>
      <w:r w:rsidRPr="00154D3B">
        <w:rPr>
          <w:lang w:val="es-PE"/>
        </w:rPr>
        <w:t xml:space="preserve"> lo establecido en el artículo 9 de la Ley del Contrato de Seguro </w:t>
      </w:r>
      <w:r w:rsidRPr="00154D3B">
        <w:rPr>
          <w:i/>
          <w:iCs/>
          <w:lang w:val="es-PE"/>
        </w:rPr>
        <w:t xml:space="preserve">“El asegurador dispone de un plazo de treinta (30) días para invocar la nulidad en base a la reticencia y/o declaración inexacta (…), </w:t>
      </w:r>
      <w:r w:rsidRPr="00154D3B">
        <w:rPr>
          <w:b/>
          <w:bCs/>
          <w:i/>
          <w:iCs/>
          <w:u w:val="single"/>
          <w:lang w:val="es-PE"/>
        </w:rPr>
        <w:t>plazo que debe computarse desde que el asegurador conoce la reticencia o declaración inexacta</w:t>
      </w:r>
      <w:r w:rsidRPr="00154D3B">
        <w:rPr>
          <w:i/>
          <w:iCs/>
          <w:lang w:val="es-PE"/>
        </w:rPr>
        <w:t>. A tal efecto, el pronunciamiento del asegurador debe ser notificado por medio fehaciente”.</w:t>
      </w:r>
      <w:r w:rsidRPr="00154D3B">
        <w:rPr>
          <w:lang w:val="es-PE"/>
        </w:rPr>
        <w:t xml:space="preserve"> El resaltado y subrayado es nuestro.</w:t>
      </w:r>
    </w:p>
    <w:p w:rsidRPr="00154D3B" w:rsidR="00154D3B" w:rsidP="00154D3B" w:rsidRDefault="00154D3B" w14:paraId="39111F32" w14:textId="77777777">
      <w:pPr>
        <w:tabs>
          <w:tab w:val="left" w:pos="2160"/>
        </w:tabs>
        <w:jc w:val="both"/>
        <w:rPr>
          <w:lang w:val="es-PE"/>
        </w:rPr>
      </w:pPr>
    </w:p>
    <w:p w:rsidRPr="00154D3B" w:rsidR="00154D3B" w:rsidP="00154D3B" w:rsidRDefault="00154D3B" w14:paraId="60E68187" w14:textId="77777777">
      <w:pPr>
        <w:tabs>
          <w:tab w:val="left" w:pos="2160"/>
        </w:tabs>
        <w:jc w:val="both"/>
        <w:rPr>
          <w:lang w:val="es-PE"/>
        </w:rPr>
      </w:pPr>
      <w:r w:rsidRPr="00154D3B">
        <w:rPr>
          <w:lang w:val="es-PE"/>
        </w:rPr>
        <w:t>Conforme consta en el expediente, la información sobre los episodios depresivos del año 2019 figura en los documentos presentados con la primera solicitud de cobertura, esto es en enero de 2021 y por lo tanto la información reticente fue de conocimiento de la aseguradora desde enero de 2021.</w:t>
      </w:r>
    </w:p>
    <w:p w:rsidRPr="00154D3B" w:rsidR="00154D3B" w:rsidP="00154D3B" w:rsidRDefault="00154D3B" w14:paraId="0603F303" w14:textId="77777777">
      <w:pPr>
        <w:tabs>
          <w:tab w:val="left" w:pos="2160"/>
        </w:tabs>
        <w:jc w:val="both"/>
        <w:rPr>
          <w:lang w:val="es-PE"/>
        </w:rPr>
      </w:pPr>
    </w:p>
    <w:p w:rsidRPr="00154D3B" w:rsidR="00154D3B" w:rsidP="00154D3B" w:rsidRDefault="00154D3B" w14:paraId="608E5AD5" w14:textId="77777777">
      <w:pPr>
        <w:tabs>
          <w:tab w:val="left" w:pos="2160"/>
        </w:tabs>
        <w:jc w:val="both"/>
        <w:rPr>
          <w:lang w:val="es-PE"/>
        </w:rPr>
      </w:pPr>
      <w:r w:rsidRPr="00154D3B">
        <w:rPr>
          <w:lang w:val="es-PE"/>
        </w:rPr>
        <w:t xml:space="preserve">En consecuencia, si bien sí existió información inexacta que pudo haber determinado la nulidad del contrato de seguro, no se observó el plazo previsto, pues esta debió ser invocada dentro de los 30 días siguientes a que se tomó conocimiento de la reticencia, y no esperar a que la parte reclamante completara la documentación solicitada y peor se requiriera </w:t>
      </w:r>
      <w:proofErr w:type="gramStart"/>
      <w:r w:rsidRPr="00154D3B">
        <w:rPr>
          <w:lang w:val="es-PE"/>
        </w:rPr>
        <w:t>mayor información</w:t>
      </w:r>
      <w:proofErr w:type="gramEnd"/>
      <w:r w:rsidRPr="00154D3B">
        <w:rPr>
          <w:lang w:val="es-PE"/>
        </w:rPr>
        <w:t xml:space="preserve">, para recién entonces invocar la nulidad. </w:t>
      </w:r>
    </w:p>
    <w:p w:rsidRPr="00154D3B" w:rsidR="00154D3B" w:rsidP="00154D3B" w:rsidRDefault="00154D3B" w14:paraId="503F85AE" w14:textId="77777777">
      <w:pPr>
        <w:tabs>
          <w:tab w:val="left" w:pos="2160"/>
        </w:tabs>
        <w:jc w:val="both"/>
        <w:rPr>
          <w:lang w:val="es-PE"/>
        </w:rPr>
      </w:pPr>
    </w:p>
    <w:p w:rsidRPr="00154D3B" w:rsidR="00154D3B" w:rsidP="00154D3B" w:rsidRDefault="00154D3B" w14:paraId="2FF8380F" w14:textId="77777777">
      <w:pPr>
        <w:tabs>
          <w:tab w:val="left" w:pos="2160"/>
        </w:tabs>
        <w:jc w:val="both"/>
        <w:rPr>
          <w:lang w:val="es-PE"/>
        </w:rPr>
      </w:pPr>
      <w:r w:rsidRPr="00154D3B">
        <w:rPr>
          <w:lang w:val="es-PE"/>
        </w:rPr>
        <w:t>Por lo que el rechazo por reticencia no resulta legítimo.</w:t>
      </w:r>
    </w:p>
    <w:p w:rsidRPr="00154D3B" w:rsidR="00154D3B" w:rsidP="00154D3B" w:rsidRDefault="00154D3B" w14:paraId="608B54BD" w14:textId="77777777">
      <w:pPr>
        <w:tabs>
          <w:tab w:val="left" w:pos="2160"/>
        </w:tabs>
        <w:jc w:val="both"/>
        <w:rPr>
          <w:lang w:val="es-PE"/>
        </w:rPr>
      </w:pPr>
    </w:p>
    <w:p w:rsidRPr="00154D3B" w:rsidR="00154D3B" w:rsidP="00154D3B" w:rsidRDefault="00154D3B" w14:paraId="5C3EC6D4" w14:textId="77777777">
      <w:pPr>
        <w:tabs>
          <w:tab w:val="left" w:pos="2160"/>
        </w:tabs>
        <w:jc w:val="both"/>
        <w:rPr>
          <w:b/>
          <w:bCs/>
          <w:lang w:val="es-PE"/>
        </w:rPr>
      </w:pPr>
      <w:r w:rsidRPr="00154D3B">
        <w:rPr>
          <w:b/>
          <w:bCs/>
          <w:lang w:val="es-PE"/>
        </w:rPr>
        <w:t xml:space="preserve">Sobre la preexistencia: </w:t>
      </w:r>
    </w:p>
    <w:p w:rsidRPr="00154D3B" w:rsidR="00154D3B" w:rsidP="00154D3B" w:rsidRDefault="00154D3B" w14:paraId="6F5E89A1" w14:textId="77777777">
      <w:pPr>
        <w:tabs>
          <w:tab w:val="left" w:pos="2160"/>
        </w:tabs>
        <w:jc w:val="both"/>
        <w:rPr>
          <w:lang w:val="es-PE"/>
        </w:rPr>
      </w:pPr>
    </w:p>
    <w:p w:rsidRPr="00154D3B" w:rsidR="00154D3B" w:rsidP="00154D3B" w:rsidRDefault="00154D3B" w14:paraId="18D2E4CB" w14:textId="77777777">
      <w:pPr>
        <w:tabs>
          <w:tab w:val="left" w:pos="2160"/>
        </w:tabs>
        <w:jc w:val="both"/>
        <w:rPr>
          <w:lang w:val="es-PE"/>
        </w:rPr>
      </w:pPr>
      <w:r w:rsidRPr="00154D3B">
        <w:rPr>
          <w:lang w:val="es-PE"/>
        </w:rPr>
        <w:t>En lo que respecta a la preexistencia, que es un supuesto distinto a la reticencia (puede haberse incluso declarado lo correcto, o no existir una declaración de salud, pero la póliza excluir los siniestros que se derivan de una enfermedad preexistente) debe verificarse que: (i) esta haya sido pactada, (</w:t>
      </w:r>
      <w:proofErr w:type="spellStart"/>
      <w:r w:rsidRPr="00154D3B">
        <w:rPr>
          <w:lang w:val="es-PE"/>
        </w:rPr>
        <w:t>ii</w:t>
      </w:r>
      <w:proofErr w:type="spellEnd"/>
      <w:r w:rsidRPr="00154D3B">
        <w:rPr>
          <w:lang w:val="es-PE"/>
        </w:rPr>
        <w:t>) la exclusión haya sido puesta en conocimiento de la asegurada, (</w:t>
      </w:r>
      <w:proofErr w:type="spellStart"/>
      <w:r w:rsidRPr="00154D3B">
        <w:rPr>
          <w:lang w:val="es-PE"/>
        </w:rPr>
        <w:t>iii</w:t>
      </w:r>
      <w:proofErr w:type="spellEnd"/>
      <w:r w:rsidRPr="00154D3B">
        <w:rPr>
          <w:lang w:val="es-PE"/>
        </w:rPr>
        <w:t>) se haya efectivamente configurado y (</w:t>
      </w:r>
      <w:proofErr w:type="spellStart"/>
      <w:r w:rsidRPr="00154D3B">
        <w:rPr>
          <w:lang w:val="es-PE"/>
        </w:rPr>
        <w:t>iv</w:t>
      </w:r>
      <w:proofErr w:type="spellEnd"/>
      <w:r w:rsidRPr="00154D3B">
        <w:rPr>
          <w:lang w:val="es-PE"/>
        </w:rPr>
        <w:t>) haya sido comunicada dentro del plazo de 30 días desde que se completa la documentación requerida para evaluar el siniestro. Al respecto, la póliza establece lo siguiente:</w:t>
      </w:r>
    </w:p>
    <w:p w:rsidRPr="00154D3B" w:rsidR="00154D3B" w:rsidP="00154D3B" w:rsidRDefault="00154D3B" w14:paraId="6DA00A99" w14:textId="77777777">
      <w:pPr>
        <w:tabs>
          <w:tab w:val="left" w:pos="2160"/>
        </w:tabs>
        <w:jc w:val="both"/>
        <w:rPr>
          <w:lang w:val="es-PE"/>
        </w:rPr>
      </w:pPr>
    </w:p>
    <w:p w:rsidRPr="00154D3B" w:rsidR="00154D3B" w:rsidP="00154D3B" w:rsidRDefault="00154D3B" w14:paraId="2FC37B08" w14:textId="77777777">
      <w:pPr>
        <w:tabs>
          <w:tab w:val="left" w:pos="2160"/>
        </w:tabs>
        <w:jc w:val="both"/>
        <w:rPr>
          <w:b/>
          <w:bCs/>
        </w:rPr>
      </w:pPr>
      <w:r w:rsidRPr="00154D3B">
        <w:rPr>
          <w:b/>
          <w:bCs/>
        </w:rPr>
        <w:t xml:space="preserve">“La presente póliza no cubre los siniestros ocurridos a consecuencia de cualquiera de las siguientes causas o situaciones: a) Enfermedad preexistente, entendiéndose como tal aquella enfermedad o dolencias preexistente, cualquier condición de alteración del estado de salud diagnosticada por un profesional médico colegiado, conocida por el titular o dependiente y no resuelta en el momento previo a la solicitud del seguro o a la presentación de la declaración personal de salud, en caso que se haya firma dicho documento.” </w:t>
      </w:r>
    </w:p>
    <w:p w:rsidRPr="00154D3B" w:rsidR="00154D3B" w:rsidP="00154D3B" w:rsidRDefault="00154D3B" w14:paraId="7953A7A9" w14:textId="77777777">
      <w:pPr>
        <w:tabs>
          <w:tab w:val="left" w:pos="2160"/>
        </w:tabs>
        <w:jc w:val="both"/>
        <w:rPr>
          <w:lang w:val="es-PE"/>
        </w:rPr>
      </w:pPr>
    </w:p>
    <w:p w:rsidRPr="00154D3B" w:rsidR="00154D3B" w:rsidP="00154D3B" w:rsidRDefault="00154D3B" w14:paraId="195402B8" w14:textId="77777777">
      <w:pPr>
        <w:tabs>
          <w:tab w:val="left" w:pos="2160"/>
        </w:tabs>
        <w:jc w:val="both"/>
        <w:rPr>
          <w:lang w:val="es-PE"/>
        </w:rPr>
      </w:pPr>
      <w:r w:rsidRPr="00154D3B">
        <w:rPr>
          <w:lang w:val="es-PE"/>
        </w:rPr>
        <w:t>De donde se verificar que fue debidamente pactada; asimismo no está en discusión la entrega de la póliza. Sobre la configuración de la preexistencia, en la historia clínica se aprecia que ya existían diagnósticos referidos a la depresión que padecía la asegurada, desde antes de la contratación del seguro; si bien el cuadro se agrava a los pocos meses de tomar la póliza de seguro, y es recién entonces que se configura la invalidez, la misma deriva de una situación que ya se evidenciaba antes de la contratación y que venía agravándose progresivamente. Por lo tanto, la invalidez como tal sí se origina a consecuencia de una enfermedad preexistente. En lo que respecta a si fue comunicada dentro del plazo, ello ya fue analizado en los párrafos precedentes, concluyéndose que si se comunicó dentro de los plazos establecidos. En consecuencia, la causal de exclusión por preexistencia sí resulta legítima.</w:t>
      </w:r>
    </w:p>
    <w:p w:rsidRPr="00154D3B" w:rsidR="00154D3B" w:rsidP="00154D3B" w:rsidRDefault="00154D3B" w14:paraId="46F91E4A" w14:textId="77777777">
      <w:pPr>
        <w:tabs>
          <w:tab w:val="left" w:pos="2160"/>
        </w:tabs>
        <w:jc w:val="both"/>
        <w:rPr>
          <w:lang w:val="es-PE"/>
        </w:rPr>
      </w:pPr>
    </w:p>
    <w:p w:rsidRPr="00154D3B" w:rsidR="00154D3B" w:rsidP="00154D3B" w:rsidRDefault="00154D3B" w14:paraId="5E0BE7BB" w14:textId="77777777">
      <w:pPr>
        <w:tabs>
          <w:tab w:val="left" w:pos="2160"/>
        </w:tabs>
        <w:jc w:val="both"/>
      </w:pPr>
      <w:r w:rsidRPr="00154D3B">
        <w:rPr>
          <w:lang w:val="es-PE"/>
        </w:rPr>
        <w:t>Atendiendo a lo expresado, este colegiado concluye su apreciación razonada</w:t>
      </w:r>
      <w:r w:rsidRPr="00154D3B">
        <w:t xml:space="preserve"> y conjunta al amparo de lo establecido en su Reglamento, por lo que</w:t>
      </w:r>
    </w:p>
    <w:p w:rsidRPr="00154D3B" w:rsidR="00154D3B" w:rsidP="00154D3B" w:rsidRDefault="00154D3B" w14:paraId="09C5CB87" w14:textId="77777777">
      <w:pPr>
        <w:tabs>
          <w:tab w:val="left" w:pos="709"/>
          <w:tab w:val="left" w:pos="2160"/>
        </w:tabs>
        <w:jc w:val="both"/>
      </w:pPr>
    </w:p>
    <w:p w:rsidRPr="00154D3B" w:rsidR="00154D3B" w:rsidP="00154D3B" w:rsidRDefault="00154D3B" w14:paraId="041D9E50" w14:textId="77777777">
      <w:pPr>
        <w:tabs>
          <w:tab w:val="left" w:pos="709"/>
          <w:tab w:val="left" w:pos="2160"/>
        </w:tabs>
        <w:jc w:val="both"/>
        <w:rPr>
          <w:b/>
        </w:rPr>
      </w:pPr>
      <w:r w:rsidRPr="00154D3B">
        <w:rPr>
          <w:b/>
        </w:rPr>
        <w:t>RESUELVE</w:t>
      </w:r>
      <w:r w:rsidRPr="00154D3B">
        <w:rPr>
          <w:b/>
          <w:lang w:val="es-PE"/>
        </w:rPr>
        <w:t>:</w:t>
      </w:r>
    </w:p>
    <w:p w:rsidRPr="00154D3B" w:rsidR="00154D3B" w:rsidP="00154D3B" w:rsidRDefault="00154D3B" w14:paraId="7F4F133D" w14:textId="77777777">
      <w:pPr>
        <w:tabs>
          <w:tab w:val="left" w:pos="709"/>
          <w:tab w:val="left" w:pos="2160"/>
        </w:tabs>
        <w:jc w:val="both"/>
        <w:rPr>
          <w:b/>
          <w:bCs/>
        </w:rPr>
      </w:pPr>
    </w:p>
    <w:p w:rsidRPr="00154D3B" w:rsidR="00154D3B" w:rsidP="5F7E251B" w:rsidRDefault="00154D3B" w14:paraId="17A2037F" w14:textId="766C51F4">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5F7E251B" w:rsidR="0ECD33A5">
        <w:rPr>
          <w:b w:val="1"/>
          <w:bCs w:val="1"/>
          <w:lang w:val="es-PE"/>
        </w:rPr>
        <w:t xml:space="preserve">Declarar INFUNDADA </w:t>
      </w:r>
      <w:r w:rsidRPr="5F7E251B" w:rsidR="0ECD33A5">
        <w:rPr>
          <w:lang w:val="es-PE"/>
        </w:rPr>
        <w:t xml:space="preserve">la reclamación interpuesta por </w:t>
      </w:r>
      <w:r w:rsidRPr="5F7E251B" w:rsidR="75C4C628">
        <w:rPr>
          <w:lang w:val="es-PE"/>
        </w:rPr>
        <w:t>................................................</w:t>
      </w:r>
      <w:r w:rsidRPr="5F7E251B" w:rsidR="0ECD33A5">
        <w:rPr>
          <w:lang w:val="es-PE"/>
        </w:rPr>
        <w:t xml:space="preserve"> representada por </w:t>
      </w:r>
      <w:r w:rsidRPr="5F7E251B" w:rsidR="3E3B01C6">
        <w:rPr>
          <w:lang w:val="es-PE"/>
        </w:rPr>
        <w:t>....................................................</w:t>
      </w:r>
      <w:r w:rsidRPr="5F7E251B" w:rsidR="0ECD33A5">
        <w:rPr>
          <w:lang w:val="es-PE"/>
        </w:rPr>
        <w:t xml:space="preserve">contra </w:t>
      </w:r>
      <w:r w:rsidRPr="5F7E251B" w:rsidR="1781C041">
        <w:rPr>
          <w:lang w:val="es-PE"/>
        </w:rPr>
        <w:t>.............................................</w:t>
      </w:r>
      <w:r w:rsidRPr="5F7E251B" w:rsidR="0ECD33A5">
        <w:rPr>
          <w:lang w:val="es-PE"/>
        </w:rPr>
        <w:t xml:space="preserve"> dejando a salvo el derecho de la parte reclamante de accionar contra las instancias que considere pertinentes. </w:t>
      </w:r>
    </w:p>
    <w:p w:rsidR="00154D3B" w:rsidP="00154D3B" w:rsidRDefault="00154D3B" w14:paraId="3D6CEE3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ascii="Arial" w:hAnsi="Arial" w:cs="Arial"/>
          <w:sz w:val="22"/>
          <w:szCs w:val="22"/>
          <w:lang w:val="es-PE"/>
        </w:rPr>
      </w:pPr>
    </w:p>
    <w:p w:rsidRPr="007E430D" w:rsidR="0060033C" w:rsidP="0060033C" w:rsidRDefault="0060033C" w14:paraId="3D42C413" w14:textId="77777777">
      <w:pPr>
        <w:jc w:val="both"/>
        <w:rPr>
          <w:lang w:val="es-PE"/>
        </w:rPr>
      </w:pPr>
    </w:p>
    <w:p w:rsidRPr="007E430D" w:rsidR="001631D6" w:rsidP="00F202DC" w:rsidRDefault="00F15FBA" w14:paraId="48C7895B" w14:textId="3D769520">
      <w:pPr>
        <w:jc w:val="right"/>
        <w:outlineLvl w:val="0"/>
        <w:rPr>
          <w:lang w:val="es-PE"/>
        </w:rPr>
      </w:pPr>
      <w:r w:rsidRPr="007E430D">
        <w:rPr>
          <w:lang w:val="es-PE"/>
        </w:rPr>
        <w:t xml:space="preserve">Lima, </w:t>
      </w:r>
      <w:r w:rsidRPr="007E430D" w:rsidR="00170BA0">
        <w:t>1</w:t>
      </w:r>
      <w:r w:rsidRPr="007E430D" w:rsidR="00AB13B9">
        <w:t>4</w:t>
      </w:r>
      <w:r w:rsidRPr="007E430D" w:rsidR="00195646">
        <w:t xml:space="preserve"> </w:t>
      </w:r>
      <w:r w:rsidRPr="007E430D">
        <w:rPr>
          <w:lang w:val="es-PE"/>
        </w:rPr>
        <w:t>de</w:t>
      </w:r>
      <w:r w:rsidRPr="007E430D" w:rsidR="00E13D0F">
        <w:rPr>
          <w:lang w:val="es-PE"/>
        </w:rPr>
        <w:t xml:space="preserve"> marzo</w:t>
      </w:r>
      <w:r w:rsidRPr="007E430D" w:rsidR="001631D6">
        <w:rPr>
          <w:lang w:val="es-PE"/>
        </w:rPr>
        <w:t xml:space="preserve"> </w:t>
      </w:r>
      <w:r w:rsidRPr="007E430D">
        <w:rPr>
          <w:lang w:val="es-PE"/>
        </w:rPr>
        <w:t>de 20</w:t>
      </w:r>
      <w:r w:rsidRPr="007E430D" w:rsidR="001631D6">
        <w:rPr>
          <w:lang w:val="es-PE"/>
        </w:rPr>
        <w:t>2</w:t>
      </w:r>
      <w:r w:rsidRPr="007E430D" w:rsidR="00444D29">
        <w:rPr>
          <w:lang w:val="es-PE"/>
        </w:rPr>
        <w:t>2</w:t>
      </w:r>
    </w:p>
    <w:p w:rsidRPr="007E430D" w:rsidR="00F202DC" w:rsidP="001631D6" w:rsidRDefault="00F202DC" w14:paraId="55EA6443" w14:textId="77777777">
      <w:pPr>
        <w:jc w:val="both"/>
      </w:pPr>
    </w:p>
    <w:p w:rsidRPr="007E430D" w:rsidR="001631D6" w:rsidP="001631D6" w:rsidRDefault="001631D6" w14:paraId="54F717D9" w14:textId="77777777">
      <w:pPr>
        <w:jc w:val="both"/>
        <w:rPr>
          <w:b/>
          <w:bCs/>
          <w:i/>
          <w:iCs/>
          <w:lang w:val="es-ES_tradnl"/>
        </w:rPr>
      </w:pPr>
      <w:r w:rsidRPr="007E430D">
        <w:rPr>
          <w:b/>
          <w:bCs/>
          <w:i/>
          <w:iCs/>
          <w:lang w:val="es-ES_tradnl"/>
        </w:rPr>
        <w:t>La Secretaría Técnica certifica que la presente resolución cuenta con el voto de los vocales cuyos nombres figuran en el presente documento.</w:t>
      </w:r>
    </w:p>
    <w:p w:rsidRPr="007E430D" w:rsidR="001631D6" w:rsidP="001631D6" w:rsidRDefault="001631D6" w14:paraId="265ABE8B" w14:textId="77777777">
      <w:pPr>
        <w:jc w:val="both"/>
        <w:rPr>
          <w:b/>
          <w:bCs/>
          <w:i/>
          <w:iCs/>
          <w:lang w:val="es-ES_tradnl"/>
        </w:rPr>
      </w:pPr>
    </w:p>
    <w:p w:rsidRPr="007E430D" w:rsidR="001631D6" w:rsidP="001631D6" w:rsidRDefault="001631D6" w14:paraId="024CA4C1" w14:textId="77777777">
      <w:pPr>
        <w:jc w:val="both"/>
        <w:rPr>
          <w:b/>
          <w:bCs/>
          <w:i/>
          <w:iCs/>
          <w:lang w:val="es-ES_tradnl"/>
        </w:rPr>
      </w:pPr>
    </w:p>
    <w:p w:rsidRPr="007E430D" w:rsidR="003E6BA6" w:rsidP="003E6BA6" w:rsidRDefault="003E6BA6" w14:paraId="7E9839D4" w14:textId="5DB01808">
      <w:pPr>
        <w:spacing w:line="360" w:lineRule="auto"/>
        <w:jc w:val="center"/>
        <w:rPr>
          <w:b/>
          <w:bCs/>
        </w:rPr>
      </w:pPr>
      <w:r w:rsidRPr="007E430D">
        <w:rPr>
          <w:b/>
          <w:bCs/>
        </w:rPr>
        <w:t xml:space="preserve">María Eugenia Valdez Fernández Baca – </w:t>
      </w:r>
      <w:proofErr w:type="gramStart"/>
      <w:r w:rsidRPr="007E430D">
        <w:rPr>
          <w:b/>
          <w:bCs/>
        </w:rPr>
        <w:t>Presidente</w:t>
      </w:r>
      <w:proofErr w:type="gramEnd"/>
    </w:p>
    <w:p w:rsidRPr="007E430D" w:rsidR="001631D6" w:rsidP="001631D6" w:rsidRDefault="001631D6" w14:paraId="515933D0" w14:textId="2ADBD884">
      <w:pPr>
        <w:spacing w:line="360" w:lineRule="auto"/>
        <w:jc w:val="center"/>
        <w:rPr>
          <w:b/>
          <w:bCs/>
        </w:rPr>
      </w:pPr>
      <w:r w:rsidRPr="007E430D">
        <w:rPr>
          <w:b/>
          <w:bCs/>
        </w:rPr>
        <w:t xml:space="preserve">Rolando Eyzaguirre </w:t>
      </w:r>
      <w:proofErr w:type="spellStart"/>
      <w:r w:rsidRPr="007E430D">
        <w:rPr>
          <w:b/>
          <w:bCs/>
        </w:rPr>
        <w:t>Maccan</w:t>
      </w:r>
      <w:proofErr w:type="spellEnd"/>
      <w:r w:rsidRPr="007E430D">
        <w:rPr>
          <w:b/>
          <w:bCs/>
        </w:rPr>
        <w:t xml:space="preserve"> – </w:t>
      </w:r>
      <w:r w:rsidRPr="007E430D" w:rsidR="003E6BA6">
        <w:rPr>
          <w:b/>
          <w:bCs/>
        </w:rPr>
        <w:t>Vocal</w:t>
      </w:r>
    </w:p>
    <w:p w:rsidRPr="00FE77D7" w:rsidR="001631D6" w:rsidP="00FE77D7" w:rsidRDefault="001631D6" w14:paraId="0DA96C46" w14:textId="1776247D">
      <w:pPr>
        <w:spacing w:line="360" w:lineRule="auto"/>
        <w:jc w:val="center"/>
        <w:rPr>
          <w:b/>
          <w:bCs/>
        </w:rPr>
      </w:pPr>
      <w:r w:rsidRPr="007E430D">
        <w:rPr>
          <w:b/>
          <w:bCs/>
        </w:rPr>
        <w:t xml:space="preserve">Gonzalo Abad del Busto </w:t>
      </w:r>
      <w:r w:rsidRPr="007E430D" w:rsidR="00916337">
        <w:rPr>
          <w:b/>
          <w:bCs/>
        </w:rPr>
        <w:t>–</w:t>
      </w:r>
      <w:r w:rsidRPr="007E430D">
        <w:rPr>
          <w:b/>
          <w:bCs/>
        </w:rPr>
        <w:t xml:space="preserve"> Vocal</w:t>
      </w:r>
    </w:p>
    <w:p w:rsidRPr="00FE77D7" w:rsidR="00517989" w:rsidRDefault="002369E4" w14:paraId="164CAA9F" w14:textId="6866560E"/>
    <w:p w:rsidRPr="00FE77D7" w:rsidR="00FE77D7" w:rsidP="00FE77D7" w:rsidRDefault="00FE77D7" w14:paraId="1A15DCC8" w14:textId="77777777">
      <w:pPr>
        <w:jc w:val="center"/>
        <w:outlineLvl w:val="0"/>
        <w:rPr>
          <w:b/>
          <w:u w:val="single"/>
        </w:rPr>
      </w:pPr>
      <w:r w:rsidRPr="00FE77D7">
        <w:rPr>
          <w:b/>
          <w:u w:val="single"/>
        </w:rPr>
        <w:t>VOTO SINGULAR DEL VOCAL MARCO ANTONIO ORTEGA PIANA</w:t>
      </w:r>
    </w:p>
    <w:p w:rsidRPr="00FE77D7" w:rsidR="00FE77D7" w:rsidP="00FE77D7" w:rsidRDefault="00FE77D7" w14:paraId="53C3B401" w14:textId="77777777">
      <w:pPr>
        <w:jc w:val="center"/>
        <w:outlineLvl w:val="0"/>
        <w:rPr>
          <w:b/>
          <w:u w:val="single"/>
        </w:rPr>
      </w:pPr>
    </w:p>
    <w:p w:rsidRPr="00FE77D7" w:rsidR="00FE77D7" w:rsidP="00FE77D7" w:rsidRDefault="00FE77D7" w14:paraId="15DD71EB" w14:textId="77777777">
      <w:pPr>
        <w:jc w:val="center"/>
        <w:outlineLvl w:val="0"/>
        <w:rPr>
          <w:b/>
          <w:u w:val="single"/>
        </w:rPr>
      </w:pPr>
    </w:p>
    <w:p w:rsidRPr="00FE77D7" w:rsidR="00FE77D7" w:rsidP="00FE77D7" w:rsidRDefault="00FE77D7" w14:paraId="6B67F8E5" w14:textId="77777777">
      <w:pPr>
        <w:jc w:val="both"/>
        <w:outlineLvl w:val="0"/>
      </w:pPr>
      <w:r w:rsidRPr="00FE77D7">
        <w:t>El vocal que suscribe deja constancia de lo siguiente:</w:t>
      </w:r>
    </w:p>
    <w:p w:rsidRPr="00FE77D7" w:rsidR="00FE77D7" w:rsidP="00FE77D7" w:rsidRDefault="00FE77D7" w14:paraId="0EC44FB2" w14:textId="77777777">
      <w:pPr>
        <w:jc w:val="both"/>
        <w:outlineLvl w:val="0"/>
      </w:pPr>
    </w:p>
    <w:p w:rsidRPr="00FE77D7" w:rsidR="00FE77D7" w:rsidP="00FE77D7" w:rsidRDefault="00FE77D7" w14:paraId="1C3225B9" w14:textId="77777777">
      <w:pPr>
        <w:jc w:val="both"/>
        <w:outlineLvl w:val="0"/>
      </w:pPr>
      <w:r w:rsidRPr="00FE77D7">
        <w:t>CONSIDERANDO:</w:t>
      </w:r>
    </w:p>
    <w:p w:rsidRPr="00FE77D7" w:rsidR="00FE77D7" w:rsidP="00FE77D7" w:rsidRDefault="00FE77D7" w14:paraId="4ADDFDAD" w14:textId="77777777">
      <w:pPr>
        <w:jc w:val="both"/>
        <w:outlineLvl w:val="0"/>
      </w:pPr>
    </w:p>
    <w:p w:rsidRPr="00FE77D7" w:rsidR="00FE77D7" w:rsidP="00FE77D7" w:rsidRDefault="00FE77D7" w14:paraId="4159BD06" w14:textId="77777777">
      <w:pPr>
        <w:pStyle w:val="Prrafodelista"/>
        <w:numPr>
          <w:ilvl w:val="0"/>
          <w:numId w:val="43"/>
        </w:numPr>
        <w:ind w:left="709" w:hanging="709"/>
        <w:jc w:val="both"/>
        <w:outlineLvl w:val="0"/>
      </w:pPr>
      <w:r w:rsidRPr="00FE77D7">
        <w:t xml:space="preserve">Tratándose de los hechos señalados en la resolución aprobada, el vocal que suscribe el presente voto estima que la sola circunstancia de no haberse pagado la prima por determinado período es insuficiente </w:t>
      </w:r>
      <w:r w:rsidRPr="00FE77D7">
        <w:rPr>
          <w:i/>
          <w:iCs/>
        </w:rPr>
        <w:t xml:space="preserve">per se </w:t>
      </w:r>
      <w:r w:rsidRPr="00FE77D7">
        <w:t>para concluir que el contrato de seguro quedó extinguido, esto es, que quedó automáticamente resuelto por falta de pago, conforme a lo regulado en el último párrafo del artículo 21 de la Ley Nro. 29946 – Ley del Contrato de Seguro, según se postula en la resolución aprobada.</w:t>
      </w:r>
    </w:p>
    <w:p w:rsidRPr="00FE77D7" w:rsidR="00FE77D7" w:rsidP="00FE77D7" w:rsidRDefault="00FE77D7" w14:paraId="2AB56D97" w14:textId="77777777">
      <w:pPr>
        <w:pStyle w:val="Prrafodelista"/>
        <w:ind w:left="709"/>
        <w:jc w:val="both"/>
        <w:outlineLvl w:val="0"/>
      </w:pPr>
    </w:p>
    <w:p w:rsidRPr="00FE77D7" w:rsidR="00FE77D7" w:rsidP="00FE77D7" w:rsidRDefault="00FE77D7" w14:paraId="0D3A0E9A" w14:textId="77777777">
      <w:pPr>
        <w:pStyle w:val="Prrafodelista"/>
        <w:numPr>
          <w:ilvl w:val="0"/>
          <w:numId w:val="43"/>
        </w:numPr>
        <w:ind w:left="709" w:hanging="709"/>
        <w:jc w:val="both"/>
        <w:outlineLvl w:val="0"/>
      </w:pPr>
      <w:r w:rsidRPr="00FE77D7">
        <w:t xml:space="preserve">La denominada “extinción” del contrato de seguro está regulada en la Ley Nro. 29946 – Ley del Contrato de Seguro (en lo sucesivo LCS) en el mismo artículo que la suspensión de cobertura.  En efecto, el artículo 21 de la señalada ley, regula en un único texto las figuras de suspensión de cobertura, </w:t>
      </w:r>
      <w:proofErr w:type="gramStart"/>
      <w:r w:rsidRPr="00FE77D7">
        <w:t>resolución contractual y extinción contractual</w:t>
      </w:r>
      <w:proofErr w:type="gramEnd"/>
      <w:r w:rsidRPr="00FE77D7">
        <w:t>, disponiendo lo siguiente:</w:t>
      </w:r>
    </w:p>
    <w:p w:rsidRPr="00FE77D7" w:rsidR="00FE77D7" w:rsidP="00FE77D7" w:rsidRDefault="00FE77D7" w14:paraId="074EEE22" w14:textId="77777777">
      <w:pPr>
        <w:jc w:val="both"/>
        <w:outlineLvl w:val="0"/>
      </w:pPr>
    </w:p>
    <w:p w:rsidRPr="00FE77D7" w:rsidR="00FE77D7" w:rsidP="00FE77D7" w:rsidRDefault="00FE77D7" w14:paraId="7A124D10" w14:textId="77777777">
      <w:pPr>
        <w:tabs>
          <w:tab w:val="left" w:pos="1416"/>
          <w:tab w:val="left" w:pos="2160"/>
          <w:tab w:val="left" w:pos="3540"/>
          <w:tab w:val="left" w:pos="4248"/>
          <w:tab w:val="left" w:pos="4956"/>
          <w:tab w:val="left" w:pos="5664"/>
          <w:tab w:val="left" w:pos="6372"/>
          <w:tab w:val="left" w:pos="7125"/>
        </w:tabs>
        <w:ind w:left="1418"/>
        <w:jc w:val="both"/>
        <w:rPr>
          <w:i/>
        </w:rPr>
      </w:pPr>
      <w:r w:rsidRPr="00FE77D7">
        <w:rPr>
          <w:i/>
        </w:rPr>
        <w:t>“El incumplimiento de pago establecido en el Convenio de Pago origina la suspensión automática de la cobertura del seguro una vez transcurridos treinta (30) días desde la fecha de vencimiento de la obligación, siempre y cuando no se haya convenido un plazo adicional para el pago. Para tal efecto, el asegurador deberá comunicar de manera cierta al asegurado a través de los medios y en la dirección previamente acordada, el incumplimiento del pago de la prima y sus consecuencias, así como indicar el plazo de que dispone para pagar antes de la suspensión de la cobertura del seguro. El asegurador no es responsable por los siniestros ocurridos durante el período en que la cobertura se mantiene suspendida.</w:t>
      </w:r>
    </w:p>
    <w:p w:rsidRPr="00FE77D7" w:rsidR="00FE77D7" w:rsidP="00FE77D7" w:rsidRDefault="00FE77D7" w14:paraId="2B23604A" w14:textId="77777777">
      <w:pPr>
        <w:tabs>
          <w:tab w:val="left" w:pos="1416"/>
          <w:tab w:val="left" w:pos="2160"/>
          <w:tab w:val="left" w:pos="3540"/>
          <w:tab w:val="left" w:pos="4248"/>
          <w:tab w:val="left" w:pos="4956"/>
          <w:tab w:val="left" w:pos="5664"/>
          <w:tab w:val="left" w:pos="6372"/>
          <w:tab w:val="left" w:pos="7125"/>
        </w:tabs>
        <w:ind w:left="1418"/>
        <w:jc w:val="both"/>
        <w:rPr>
          <w:i/>
        </w:rPr>
      </w:pPr>
    </w:p>
    <w:p w:rsidRPr="00FE77D7" w:rsidR="00FE77D7" w:rsidP="00FE77D7" w:rsidRDefault="00FE77D7" w14:paraId="0731CBEE" w14:textId="77777777">
      <w:pPr>
        <w:tabs>
          <w:tab w:val="left" w:pos="1416"/>
          <w:tab w:val="left" w:pos="2160"/>
          <w:tab w:val="left" w:pos="3540"/>
          <w:tab w:val="left" w:pos="4248"/>
          <w:tab w:val="left" w:pos="4956"/>
          <w:tab w:val="left" w:pos="5664"/>
          <w:tab w:val="left" w:pos="6372"/>
          <w:tab w:val="left" w:pos="7125"/>
        </w:tabs>
        <w:ind w:left="1418"/>
        <w:jc w:val="both"/>
        <w:rPr>
          <w:i/>
        </w:rPr>
      </w:pPr>
      <w:r w:rsidRPr="00FE77D7">
        <w:rPr>
          <w:i/>
        </w:rPr>
        <w:t>La suspensión de cobertura no es aplicable en los casos en que el contratante ha pagado, proporcionalmente, una prima igual o mayor al período corrido del contrato.</w:t>
      </w:r>
    </w:p>
    <w:p w:rsidRPr="00FE77D7" w:rsidR="00FE77D7" w:rsidP="00FE77D7" w:rsidRDefault="00FE77D7" w14:paraId="1C692329" w14:textId="77777777">
      <w:pPr>
        <w:tabs>
          <w:tab w:val="left" w:pos="1416"/>
          <w:tab w:val="left" w:pos="2160"/>
          <w:tab w:val="left" w:pos="3540"/>
          <w:tab w:val="left" w:pos="4248"/>
          <w:tab w:val="left" w:pos="4956"/>
          <w:tab w:val="left" w:pos="5664"/>
          <w:tab w:val="left" w:pos="6372"/>
          <w:tab w:val="left" w:pos="7125"/>
        </w:tabs>
        <w:ind w:left="1418"/>
        <w:jc w:val="both"/>
        <w:rPr>
          <w:i/>
        </w:rPr>
      </w:pPr>
    </w:p>
    <w:p w:rsidRPr="00FE77D7" w:rsidR="00FE77D7" w:rsidP="00FE77D7" w:rsidRDefault="00FE77D7" w14:paraId="08768A21" w14:textId="77777777">
      <w:pPr>
        <w:tabs>
          <w:tab w:val="left" w:pos="1416"/>
          <w:tab w:val="left" w:pos="2160"/>
          <w:tab w:val="left" w:pos="3540"/>
          <w:tab w:val="left" w:pos="4248"/>
          <w:tab w:val="left" w:pos="4956"/>
          <w:tab w:val="left" w:pos="5664"/>
          <w:tab w:val="left" w:pos="6372"/>
          <w:tab w:val="left" w:pos="7125"/>
        </w:tabs>
        <w:ind w:left="1418"/>
        <w:jc w:val="both"/>
        <w:rPr>
          <w:i/>
        </w:rPr>
      </w:pPr>
      <w:r w:rsidRPr="00FE77D7">
        <w:rPr>
          <w:i/>
        </w:rPr>
        <w:t>Si el asegurador no reclama el pago de la prima dentro de los noventa (90) días siguientes al vencimiento del plazo, se entiende que el contrato queda extinguido.”</w:t>
      </w:r>
    </w:p>
    <w:p w:rsidRPr="00FE77D7" w:rsidR="00FE77D7" w:rsidP="00FE77D7" w:rsidRDefault="00FE77D7" w14:paraId="469DCA3C" w14:textId="77777777">
      <w:pPr>
        <w:tabs>
          <w:tab w:val="left" w:pos="1416"/>
          <w:tab w:val="left" w:pos="2160"/>
          <w:tab w:val="left" w:pos="3540"/>
          <w:tab w:val="left" w:pos="4248"/>
          <w:tab w:val="left" w:pos="4956"/>
          <w:tab w:val="left" w:pos="5664"/>
          <w:tab w:val="left" w:pos="6372"/>
          <w:tab w:val="left" w:pos="7125"/>
        </w:tabs>
        <w:ind w:left="1418"/>
        <w:jc w:val="both"/>
        <w:rPr>
          <w:i/>
        </w:rPr>
      </w:pPr>
    </w:p>
    <w:p w:rsidRPr="00FE77D7" w:rsidR="00FE77D7" w:rsidP="00FE77D7" w:rsidRDefault="00FE77D7" w14:paraId="2E644D1E" w14:textId="77777777">
      <w:pPr>
        <w:pStyle w:val="Prrafodelista"/>
        <w:numPr>
          <w:ilvl w:val="0"/>
          <w:numId w:val="43"/>
        </w:numPr>
        <w:tabs>
          <w:tab w:val="left" w:pos="709"/>
          <w:tab w:val="left" w:pos="1416"/>
          <w:tab w:val="left" w:pos="2160"/>
          <w:tab w:val="left" w:pos="3540"/>
          <w:tab w:val="left" w:pos="4248"/>
          <w:tab w:val="left" w:pos="4956"/>
          <w:tab w:val="left" w:pos="5664"/>
          <w:tab w:val="left" w:pos="6372"/>
          <w:tab w:val="left" w:pos="7125"/>
        </w:tabs>
        <w:ind w:left="709" w:hanging="709"/>
        <w:jc w:val="both"/>
      </w:pPr>
      <w:r w:rsidRPr="00FE77D7">
        <w:t>Por su parte, el Reglamento de Pago de Primas de Pólizas de Seguro, aprobado mediante Resolución SBS Nro. 3198-2013, regula de manera separada el régimen de la suspensión de cobertura (conforme a lo señalado anteriormente) y el de la extinción, disponiendo en su artículo 11 lo siguiente, tratándose de este último:</w:t>
      </w:r>
    </w:p>
    <w:p w:rsidRPr="00FE77D7" w:rsidR="00FE77D7" w:rsidP="00FE77D7" w:rsidRDefault="00FE77D7" w14:paraId="58EF5243" w14:textId="77777777">
      <w:pPr>
        <w:tabs>
          <w:tab w:val="left" w:pos="0"/>
          <w:tab w:val="left" w:pos="720"/>
          <w:tab w:val="left" w:pos="1416"/>
          <w:tab w:val="left" w:pos="2160"/>
          <w:tab w:val="left" w:pos="3540"/>
          <w:tab w:val="left" w:pos="4248"/>
          <w:tab w:val="left" w:pos="4956"/>
          <w:tab w:val="left" w:pos="5664"/>
          <w:tab w:val="left" w:pos="6372"/>
          <w:tab w:val="left" w:pos="7125"/>
        </w:tabs>
        <w:jc w:val="both"/>
      </w:pPr>
    </w:p>
    <w:p w:rsidRPr="00FE77D7" w:rsidR="00FE77D7" w:rsidP="00FE77D7" w:rsidRDefault="00FE77D7" w14:paraId="7033B06D" w14:textId="77777777">
      <w:pPr>
        <w:tabs>
          <w:tab w:val="left" w:pos="1418"/>
          <w:tab w:val="left" w:pos="2160"/>
          <w:tab w:val="left" w:pos="3540"/>
          <w:tab w:val="left" w:pos="4248"/>
          <w:tab w:val="left" w:pos="4956"/>
          <w:tab w:val="left" w:pos="5664"/>
          <w:tab w:val="left" w:pos="6372"/>
          <w:tab w:val="left" w:pos="7125"/>
        </w:tabs>
        <w:ind w:left="1418"/>
        <w:jc w:val="both"/>
        <w:rPr>
          <w:i/>
        </w:rPr>
      </w:pPr>
      <w:r w:rsidRPr="00FE77D7">
        <w:rPr>
          <w:i/>
        </w:rPr>
        <w:t>“Si la empresa no reclama el pago de la prima dentro de los noventa (90) días siguientes al vencimiento del plazo, se entiende que el contrato queda extinguido y tiene derecho al cobro de la prima devengada. Para dichos efectos, dicho plazo corresponderá al de vencimiento de pago de prima, establecido en el contrato y en el convenio de pago.</w:t>
      </w:r>
    </w:p>
    <w:p w:rsidRPr="00FE77D7" w:rsidR="00FE77D7" w:rsidP="00FE77D7" w:rsidRDefault="00FE77D7" w14:paraId="0A042882" w14:textId="77777777">
      <w:pPr>
        <w:tabs>
          <w:tab w:val="left" w:pos="0"/>
          <w:tab w:val="left" w:pos="1418"/>
          <w:tab w:val="left" w:pos="2160"/>
          <w:tab w:val="left" w:pos="3540"/>
          <w:tab w:val="left" w:pos="4248"/>
          <w:tab w:val="left" w:pos="4956"/>
          <w:tab w:val="left" w:pos="5664"/>
          <w:tab w:val="left" w:pos="6372"/>
          <w:tab w:val="left" w:pos="7125"/>
        </w:tabs>
        <w:ind w:left="1418"/>
        <w:jc w:val="both"/>
        <w:rPr>
          <w:i/>
        </w:rPr>
      </w:pPr>
      <w:r w:rsidRPr="00FE77D7">
        <w:rPr>
          <w:i/>
        </w:rPr>
        <w:t>Se entiende por reclamo del pago de primas, el inicio de un proceso judicial o arbitral de cobranza de pago de primas, por parte de la empresa”.</w:t>
      </w:r>
    </w:p>
    <w:p w:rsidRPr="00FE77D7" w:rsidR="00FE77D7" w:rsidP="00FE77D7" w:rsidRDefault="00FE77D7" w14:paraId="5C92ADB6" w14:textId="77777777">
      <w:pPr>
        <w:tabs>
          <w:tab w:val="left" w:pos="0"/>
          <w:tab w:val="left" w:pos="720"/>
          <w:tab w:val="left" w:pos="1416"/>
          <w:tab w:val="left" w:pos="2160"/>
          <w:tab w:val="left" w:pos="3540"/>
          <w:tab w:val="left" w:pos="4248"/>
          <w:tab w:val="left" w:pos="4956"/>
          <w:tab w:val="left" w:pos="5664"/>
          <w:tab w:val="left" w:pos="6372"/>
          <w:tab w:val="left" w:pos="7125"/>
        </w:tabs>
        <w:jc w:val="both"/>
      </w:pPr>
    </w:p>
    <w:p w:rsidRPr="00FE77D7" w:rsidR="00FE77D7" w:rsidP="00FE77D7" w:rsidRDefault="00FE77D7" w14:paraId="021EF896" w14:textId="77777777">
      <w:pPr>
        <w:tabs>
          <w:tab w:val="left" w:pos="720"/>
          <w:tab w:val="left" w:pos="1416"/>
          <w:tab w:val="left" w:pos="2160"/>
          <w:tab w:val="left" w:pos="3540"/>
          <w:tab w:val="left" w:pos="4248"/>
          <w:tab w:val="left" w:pos="4956"/>
          <w:tab w:val="left" w:pos="5664"/>
          <w:tab w:val="left" w:pos="6372"/>
          <w:tab w:val="left" w:pos="7125"/>
        </w:tabs>
        <w:ind w:left="709" w:hanging="709"/>
        <w:jc w:val="both"/>
      </w:pPr>
      <w:r w:rsidRPr="00FE77D7">
        <w:tab/>
      </w:r>
      <w:r w:rsidRPr="00FE77D7">
        <w:t>Conforme se aprecia, más allá de reiterar lo señalado en el último párrafo del artículo 21 de la LCS, la norma bajo comentario no enuncia ni desarrolla la manera en que opera dicha “extinción”, una extinción que no es sino jurídicamente una resolución, derivada a su vez por falta de pago de la prima, esto es, por incumplimiento de obligaciones.</w:t>
      </w:r>
    </w:p>
    <w:p w:rsidRPr="00FE77D7" w:rsidR="00FE77D7" w:rsidP="00FE77D7" w:rsidRDefault="00FE77D7" w14:paraId="79334152"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p>
    <w:p w:rsidRPr="00FE77D7" w:rsidR="00FE77D7" w:rsidP="00FE77D7" w:rsidRDefault="00FE77D7" w14:paraId="3E5DD4C9" w14:textId="77777777">
      <w:pPr>
        <w:pStyle w:val="Prrafodelista"/>
        <w:numPr>
          <w:ilvl w:val="0"/>
          <w:numId w:val="43"/>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FE77D7">
        <w:t>Conforme al señalado régimen normativo, puede asumirse que la extinción sería una situación jurídica que se genera cuando ambas partes (de allí la necesaria concurrencia de las inacciones del contratante y de la aseguradora) han perdido interés en el vínculo contractual, lo cual explica que ni el contratante pague ni la aseguradora requiera el pago de la prima adeudada; empero, también debe destacarse que, mientras no se produzca la señalada extinción, el respectivo contrato de seguro se mantiene vigente, siendo que la manera de afectar su eficacia sería mediante el régimen de suspensión de cobertura referido anteriormente.  Conforme a esto último, mientras el contrato de seguro no se haya extinguido, y en la medida que no se haya suspendido la cobertura, en caso de producción de un siniestro, subsiste la responsabilidad de la aseguradora, sujeta a un régimen específico para fines de cobrar lo que le fuese adeudado por prima.</w:t>
      </w:r>
    </w:p>
    <w:p w:rsidRPr="00FE77D7" w:rsidR="00FE77D7" w:rsidP="00FE77D7" w:rsidRDefault="00FE77D7" w14:paraId="30B90673" w14:textId="77777777">
      <w:pPr>
        <w:pStyle w:val="Prrafodelista"/>
      </w:pPr>
    </w:p>
    <w:p w:rsidRPr="00FE77D7" w:rsidR="00FE77D7" w:rsidP="00FE77D7" w:rsidRDefault="00FE77D7" w14:paraId="4539450A" w14:textId="77777777">
      <w:pPr>
        <w:pStyle w:val="Prrafodelista"/>
        <w:numPr>
          <w:ilvl w:val="0"/>
          <w:numId w:val="43"/>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FE77D7">
        <w:t>Sin embargo, a juicio del suscrito, requiere analizarse con detenimiento los requisitos para que opere la extinción del contrato.</w:t>
      </w:r>
    </w:p>
    <w:p w:rsidRPr="00FE77D7" w:rsidR="00FE77D7" w:rsidP="00FE77D7" w:rsidRDefault="00FE77D7" w14:paraId="411A739D" w14:textId="77777777">
      <w:pPr>
        <w:pStyle w:val="Prrafodelista"/>
      </w:pPr>
    </w:p>
    <w:p w:rsidRPr="00FE77D7" w:rsidR="00FE77D7" w:rsidP="00FE77D7" w:rsidRDefault="00FE77D7" w14:paraId="2ED225DA"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proofErr w:type="gramStart"/>
      <w:r w:rsidRPr="00FE77D7">
        <w:t>De acuerdo al</w:t>
      </w:r>
      <w:proofErr w:type="gramEnd"/>
      <w:r w:rsidRPr="00FE77D7">
        <w:t xml:space="preserve"> artículo 21 de la LCS, para que opere la suspensión de cobertura se requiere que transcurran treinta (30) días desde la fecha de vencimiento de pago de la prima (o de una cuota de la misma si hubiese sido fraccionada) y que, en dicho plazo, la aseguradora haya cumplido con informar al asegurado sobre ese incumplimiento y sus consecuencias, así como sobre la fecha límite de pago para impedir que opere la suspensión de cobertura.</w:t>
      </w:r>
    </w:p>
    <w:p w:rsidRPr="00FE77D7" w:rsidR="00FE77D7" w:rsidP="00FE77D7" w:rsidRDefault="00FE77D7" w14:paraId="4F02F18A"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p>
    <w:p w:rsidRPr="00FE77D7" w:rsidR="00FE77D7" w:rsidP="00FE77D7" w:rsidRDefault="00FE77D7" w14:paraId="3EF910B4"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r w:rsidRPr="00FE77D7">
        <w:t xml:space="preserve">Dado que la extinción contractual está regulada en el mismo artículo legal sobre la suspensión de cobertura debida a la falta de pago de la prima, a </w:t>
      </w:r>
      <w:proofErr w:type="gramStart"/>
      <w:r w:rsidRPr="00FE77D7">
        <w:t>continuación</w:t>
      </w:r>
      <w:proofErr w:type="gramEnd"/>
      <w:r w:rsidRPr="00FE77D7">
        <w:t xml:space="preserve"> suya para ser más precisos, la duda surge en torno a si la extinción del contrato de seguro se produce aun cuando la cobertura no se encontrase previamente suspendida.  El origen de esa duda gira en torno a los propios alcances de la LCS, pues habiéndose establecido determinados requisitos para que opere la suspensión de cobertura (comunicación, con indicación de consecuencias por la falta de pago y del plazo para esto último), lo que no afecta la vigencia del contrato, llama la atención que no se contemplen por lo menos los mismos requisitos cuando se trata de generar una situación más gravosa, como es la extinción del contrato de seguro.  Y es que sería suficiente, literalmente, que la aseguradora no haya demandado el pago de las primas </w:t>
      </w:r>
      <w:r w:rsidRPr="00FE77D7">
        <w:t xml:space="preserve">(en la vía judicial o arbitral) y que el contratante, el asegurado, no las haya pagado para que el contrato quede extinguido </w:t>
      </w:r>
      <w:r w:rsidRPr="00FE77D7">
        <w:rPr>
          <w:i/>
        </w:rPr>
        <w:t>per se</w:t>
      </w:r>
      <w:r w:rsidRPr="00FE77D7">
        <w:t>, sin necesidad de comunicación alguna, por el simple transcurso del tiempo, de manera automática.</w:t>
      </w:r>
    </w:p>
    <w:p w:rsidRPr="00FE77D7" w:rsidR="00FE77D7" w:rsidP="00FE77D7" w:rsidRDefault="00FE77D7" w14:paraId="74028D7F"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p>
    <w:p w:rsidRPr="00FE77D7" w:rsidR="00FE77D7" w:rsidP="00FE77D7" w:rsidRDefault="00FE77D7" w14:paraId="20FB459D"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r w:rsidRPr="00FE77D7">
        <w:t xml:space="preserve">Es esta grave consecuencia para el interés del asegurado la que obliga, a juicio del suscrito, a reevaluar si la extinción del contrato de seguro puede generarse sin que haya mediado una suspensión previa de cobertura.  Resultaría extraño que una ley que es particularmente tuitiva, y que cautela especialmente los derechos del asegurado, requiera finalmente en los hechos menos trámites y requisitos para extinguir el contrato de seguro que los exigidos para suspender la cobertura </w:t>
      </w:r>
      <w:proofErr w:type="gramStart"/>
      <w:r w:rsidRPr="00FE77D7">
        <w:t>del mismo</w:t>
      </w:r>
      <w:proofErr w:type="gramEnd"/>
      <w:r w:rsidRPr="00FE77D7">
        <w:t>, o para resolverlo, cuando la causal o hecho generador es finalmente el mismo: falta de pago de la prima.  La interpretación adoptada por el colegiado en mayoría admite dicha inconsistencia, sustentándose en el texto mismo de la norma y en la circunstancia que la extinción es tratada de manera separada (que no es lo mismo que independiente) en el Reglamento de Pago de Primas de Pólizas de Seguro, aprobado mediante Resolución SBS Nro. 3198-2013.</w:t>
      </w:r>
    </w:p>
    <w:p w:rsidRPr="00FE77D7" w:rsidR="00FE77D7" w:rsidP="00FE77D7" w:rsidRDefault="00FE77D7" w14:paraId="62AA50E7"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p>
    <w:p w:rsidRPr="00FE77D7" w:rsidR="00FE77D7" w:rsidP="00FE77D7" w:rsidRDefault="00FE77D7" w14:paraId="3AEEA8F3"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r w:rsidRPr="00FE77D7">
        <w:t>Se trata, en consecuencia, de determinar, si nos quedamos en una interpretación literal, textual, de la ley, o si postulamos una distinta, incorporando otros conceptos en el análisis correspondiente, de manera que sea contextual.</w:t>
      </w:r>
    </w:p>
    <w:p w:rsidRPr="00FE77D7" w:rsidR="00FE77D7" w:rsidP="00FE77D7" w:rsidRDefault="00FE77D7" w14:paraId="70D455DB" w14:textId="77777777">
      <w:pPr>
        <w:tabs>
          <w:tab w:val="left" w:pos="0"/>
          <w:tab w:val="left" w:pos="709"/>
          <w:tab w:val="left" w:pos="2160"/>
          <w:tab w:val="left" w:pos="3540"/>
          <w:tab w:val="left" w:pos="4248"/>
          <w:tab w:val="left" w:pos="4956"/>
          <w:tab w:val="left" w:pos="5664"/>
          <w:tab w:val="left" w:pos="6372"/>
          <w:tab w:val="left" w:pos="7125"/>
        </w:tabs>
        <w:jc w:val="both"/>
      </w:pPr>
    </w:p>
    <w:p w:rsidRPr="00FE77D7" w:rsidR="00FE77D7" w:rsidP="00FE77D7" w:rsidRDefault="00FE77D7" w14:paraId="1CEE9BC3" w14:textId="77777777">
      <w:pPr>
        <w:pStyle w:val="Prrafodelista"/>
        <w:numPr>
          <w:ilvl w:val="0"/>
          <w:numId w:val="43"/>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FE77D7">
        <w:t>Si partimos de la premisa que el legislador ha concebido mecanismos en la LCS para evitar que el asegurado sea finalmente sorprendido por una suspensión de cobertura o una resolución por incumplimiento que operen automáticamente, por la sola circunstancia de haberse producido sus respectivos supuestos de hecho (como sí era posible en el régimen legal anterior a la vigencia de la LCS), deberíamos también concluir que la extinción del contrato de seguro no debería operar automáticamente por el solo hecho del transcurso del tiempo sin que haya sido pagada la prima correspondiente.  Si bien la extinción del contrato de seguro es una sanción a la inacción de ambas partes contratantes, ante lo que el legislador entiende que es una mutua falta de interés de continuar vinculadas por el contrato de seguro, no es menos cierto que el asegurado debería representarse ciertamente esa situación y, la mejor manera de ello, es cuando la aseguradora se dirige a él para expresarle que ante la falta de pago de la prima se derivarán determinadas consecuencias jurídicas: en primer lugar, la suspensión de cobertura (a los treinta días) y, en segundo lugar, un eventual fenecimiento del seguro, sea por resolución (a iniciativa de la aseguradora, de conformidad con el artículo 23 de la LCS: a los treinta días desde que se comunica la voluntad de proceder a la resolución) o sea por extinción del vínculo contractual (en la medida que ambas partes mantengan una inacción respecto al pago debido, por el plazo de 90 días desde el vencimiento de la obligación de pago).</w:t>
      </w:r>
    </w:p>
    <w:p w:rsidRPr="00FE77D7" w:rsidR="00FE77D7" w:rsidP="00FE77D7" w:rsidRDefault="00FE77D7" w14:paraId="08DA3C38"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p>
    <w:p w:rsidRPr="00FE77D7" w:rsidR="00FE77D7" w:rsidP="5F7E251B" w:rsidRDefault="00FE77D7" w14:paraId="3744E28C" w14:textId="278C70C7">
      <w:pPr>
        <w:pStyle w:val="Prrafodelista"/>
        <w:numPr>
          <w:ilvl w:val="0"/>
          <w:numId w:val="43"/>
        </w:numPr>
        <w:tabs>
          <w:tab w:val="left" w:leader="none" w:pos="709"/>
          <w:tab w:val="left" w:leader="none" w:pos="2160"/>
          <w:tab w:val="left" w:leader="none" w:pos="3540"/>
          <w:tab w:val="left" w:leader="none" w:pos="4248"/>
          <w:tab w:val="left" w:leader="none" w:pos="4956"/>
          <w:tab w:val="left" w:leader="none" w:pos="5664"/>
          <w:tab w:val="left" w:leader="none" w:pos="6372"/>
          <w:tab w:val="left" w:leader="none" w:pos="7125"/>
        </w:tabs>
        <w:ind w:left="709" w:hanging="709"/>
        <w:jc w:val="both"/>
        <w:rPr/>
      </w:pPr>
      <w:r w:rsidR="3C73A823">
        <w:rPr/>
        <w:t xml:space="preserve">Esa clase de comunicación es observada en la práctica por diversas aseguradoras, aunque no de manera uniforme, inclusive por la propia </w:t>
      </w:r>
      <w:r w:rsidR="6E5576ED">
        <w:rPr/>
        <w:t>..........................</w:t>
      </w:r>
      <w:r w:rsidR="3C73A823">
        <w:rPr/>
        <w:t xml:space="preserve"> conforme consta en los archivos de esta Defensoría, siendo que en la carta que remite relativa al aviso de futura suspensión, se advierte lo siguiente, que ratifica la interpretación que postula el suscrito:</w:t>
      </w:r>
    </w:p>
    <w:p w:rsidRPr="00FE77D7" w:rsidR="00FE77D7" w:rsidP="00FE77D7" w:rsidRDefault="00FE77D7" w14:paraId="68B3E328" w14:textId="77777777">
      <w:pPr>
        <w:tabs>
          <w:tab w:val="left" w:pos="709"/>
          <w:tab w:val="left" w:pos="2160"/>
          <w:tab w:val="left" w:pos="3540"/>
          <w:tab w:val="left" w:pos="4248"/>
          <w:tab w:val="left" w:pos="4956"/>
          <w:tab w:val="left" w:pos="5664"/>
          <w:tab w:val="left" w:pos="6372"/>
          <w:tab w:val="left" w:pos="7125"/>
        </w:tabs>
        <w:jc w:val="both"/>
      </w:pPr>
    </w:p>
    <w:p w:rsidRPr="00FE77D7" w:rsidR="00FE77D7" w:rsidP="00FE77D7" w:rsidRDefault="00FE77D7" w14:paraId="581E6E9D" w14:textId="1AAD90F7">
      <w:pPr>
        <w:tabs>
          <w:tab w:val="left" w:pos="709"/>
          <w:tab w:val="left" w:pos="2160"/>
          <w:tab w:val="left" w:pos="3540"/>
          <w:tab w:val="left" w:pos="4248"/>
          <w:tab w:val="left" w:pos="4956"/>
          <w:tab w:val="left" w:pos="5664"/>
          <w:tab w:val="left" w:pos="6372"/>
          <w:tab w:val="left" w:pos="7125"/>
        </w:tabs>
        <w:ind w:left="709"/>
        <w:jc w:val="both"/>
      </w:pPr>
      <w:r w:rsidRPr="00FE77D7">
        <w:rPr>
          <w:noProof/>
        </w:rPr>
        <w:drawing>
          <wp:inline distT="0" distB="0" distL="0" distR="0" wp14:anchorId="51E6B0B4" wp14:editId="6BCFB708">
            <wp:extent cx="5133975" cy="114300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33975" cy="1143000"/>
                    </a:xfrm>
                    <a:prstGeom prst="rect">
                      <a:avLst/>
                    </a:prstGeom>
                    <a:noFill/>
                    <a:ln>
                      <a:noFill/>
                    </a:ln>
                  </pic:spPr>
                </pic:pic>
              </a:graphicData>
            </a:graphic>
          </wp:inline>
        </w:drawing>
      </w:r>
      <w:r w:rsidRPr="00FE77D7">
        <w:t xml:space="preserve"> </w:t>
      </w:r>
    </w:p>
    <w:p w:rsidRPr="00FE77D7" w:rsidR="00FE77D7" w:rsidP="00FE77D7" w:rsidRDefault="00FE77D7" w14:paraId="22866B42"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p>
    <w:p w:rsidRPr="00FE77D7" w:rsidR="00FE77D7" w:rsidP="00FE77D7" w:rsidRDefault="00FE77D7" w14:paraId="19CD7DDF" w14:textId="77777777">
      <w:pPr>
        <w:pStyle w:val="Prrafodelista"/>
        <w:numPr>
          <w:ilvl w:val="0"/>
          <w:numId w:val="43"/>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FE77D7">
        <w:t>Conforme a lo anterior, en el escenario que la cobertura hubiese sido finalmente suspendida, no habría problema en que el contrato se extinga automáticamente noventa (90) días después del vencimiento de la prima. En ese escenario, se está a que, no habiéndose pagado oportunamente la prima de seguro, la aseguradora ha cuidado de comunicar ese incumplimiento al asegurado, así como sobre sus consecuencias (suspensión de cobertura y ulterior resolución o extinción, de ser el caso) y el plazo que tiene para pagar, y aun así el plazo ha vencido sin que se haya pagado la prima. En ese escenario de suspensión, la aseguradora puede optar entre resolver el contrato (para cuyo efecto comunicará sobre su decisión al contratante y/o asegurado, con treinta días de antelación), o demandar el pago de las primas en la vía correspondiente.  Pero en el caso que la aseguradora incurriese en inacción (ni resuelve el contrato ni demanda el pago de la prima), y el contratante no pagase la prima para reactivar la cobertura, el contrato quedará indudablemente extinguido luego de transcurridos noventa (90) días desde el vencimiento de la prima.  Tratándose de la falta de pago de la prima, la inacción en cuestión se hace extensiva al asegurado y/o al beneficiario (artículo 17 de la LCS: responsabilidad solidaria respecto al pago de la prima pendiente).</w:t>
      </w:r>
    </w:p>
    <w:p w:rsidRPr="00FE77D7" w:rsidR="00FE77D7" w:rsidP="00FE77D7" w:rsidRDefault="00FE77D7" w14:paraId="7B62A502" w14:textId="77777777"/>
    <w:p w:rsidRPr="00FE77D7" w:rsidR="00FE77D7" w:rsidP="00FE77D7" w:rsidRDefault="00FE77D7" w14:paraId="12612521" w14:textId="77777777">
      <w:pPr>
        <w:pStyle w:val="Prrafodelista"/>
        <w:numPr>
          <w:ilvl w:val="0"/>
          <w:numId w:val="43"/>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FE77D7">
        <w:t>El suscrito reconoce que, en términos textuales, la LCS no asocia la extinción del contrato con la suspensión de la cobertura, pero no puede obviar que ambas figuras  están reguladas en un mismo artículo legal (lo cual tiene prevalencia jerárquica sobre cualquier otra norma de inferior categoría, con mayor razón frente a simples oficios o comunicados que hubiese podido expedir la SBS sobre la materia) y, sobre todo, de manera fundamental, al hecho cierto que el legislador ha suprimido los regímenes de ineficacia (provisoria o definitiva) automática que estaban regulados por la legislación derogada por la LCS , por lo que el contratante y/o el asegurado deben ser previa y expresamente informados sobre el cese total o parcial de los efectos contractuales.  Se trata, en consecuencia, de una interpretación sustentada en una lectura sistemática y finalista de la LCS, en la propia hermenéutica jurídica.</w:t>
      </w:r>
    </w:p>
    <w:p w:rsidRPr="00FE77D7" w:rsidR="00FE77D7" w:rsidP="00FE77D7" w:rsidRDefault="00FE77D7" w14:paraId="33DA2FF1" w14:textId="77777777">
      <w:pPr>
        <w:tabs>
          <w:tab w:val="left" w:pos="0"/>
          <w:tab w:val="left" w:pos="709"/>
          <w:tab w:val="left" w:pos="2160"/>
          <w:tab w:val="left" w:pos="3540"/>
          <w:tab w:val="left" w:pos="4248"/>
          <w:tab w:val="left" w:pos="4956"/>
          <w:tab w:val="left" w:pos="5664"/>
          <w:tab w:val="left" w:pos="6372"/>
          <w:tab w:val="left" w:pos="7125"/>
        </w:tabs>
        <w:jc w:val="both"/>
      </w:pPr>
    </w:p>
    <w:p w:rsidRPr="00FE77D7" w:rsidR="00FE77D7" w:rsidP="00FE77D7" w:rsidRDefault="00FE77D7" w14:paraId="546DF8EE" w14:textId="77777777">
      <w:pPr>
        <w:pStyle w:val="Prrafodelista"/>
        <w:numPr>
          <w:ilvl w:val="0"/>
          <w:numId w:val="43"/>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FE77D7">
        <w:t>En consecuencia, la extinción del contrato no se produce por el solo hecho objetivo que durante el plazo legal correspondiente no se pagó la prima, ni se exigió su pago siguiéndose un proceso de cobranza, conforme lo remarca el artículo 11 del Reglamento de Pago de Primas de Pólizas de Seguro, aprobado mediante Resolución SBS Nro. 3198-2013.  Se requiere de algo más, para que opere esa extinción, esa resolución contractual, para que el sistema tenga coherencia interna.</w:t>
      </w:r>
    </w:p>
    <w:p w:rsidRPr="00FE77D7" w:rsidR="00FE77D7" w:rsidP="00FE77D7" w:rsidRDefault="00FE77D7" w14:paraId="19F3AE23" w14:textId="77777777">
      <w:pPr>
        <w:tabs>
          <w:tab w:val="left" w:pos="0"/>
          <w:tab w:val="left" w:pos="709"/>
          <w:tab w:val="left" w:pos="2160"/>
          <w:tab w:val="left" w:pos="3540"/>
          <w:tab w:val="left" w:pos="4248"/>
          <w:tab w:val="left" w:pos="4956"/>
          <w:tab w:val="left" w:pos="5664"/>
          <w:tab w:val="left" w:pos="6372"/>
          <w:tab w:val="left" w:pos="7125"/>
        </w:tabs>
        <w:jc w:val="both"/>
      </w:pPr>
    </w:p>
    <w:p w:rsidRPr="00FE77D7" w:rsidR="00FE77D7" w:rsidP="00FE77D7" w:rsidRDefault="00FE77D7" w14:paraId="346C28DE" w14:textId="77777777">
      <w:pPr>
        <w:pStyle w:val="Prrafodelista"/>
        <w:numPr>
          <w:ilvl w:val="0"/>
          <w:numId w:val="43"/>
        </w:numPr>
        <w:tabs>
          <w:tab w:val="left" w:pos="0"/>
          <w:tab w:val="left" w:pos="709"/>
          <w:tab w:val="left" w:pos="2160"/>
          <w:tab w:val="left" w:pos="3540"/>
          <w:tab w:val="left" w:pos="4248"/>
          <w:tab w:val="left" w:pos="4956"/>
          <w:tab w:val="left" w:pos="5664"/>
          <w:tab w:val="left" w:pos="6372"/>
          <w:tab w:val="left" w:pos="7125"/>
        </w:tabs>
        <w:ind w:left="709" w:hanging="709"/>
        <w:jc w:val="both"/>
      </w:pPr>
      <w:r w:rsidRPr="00FE77D7">
        <w:t xml:space="preserve">La parte final del artículo 21 de la LCS consagra finalmente lo que bien podría calificarse como un régimen de resolución </w:t>
      </w:r>
      <w:r w:rsidRPr="00FE77D7">
        <w:rPr>
          <w:i/>
        </w:rPr>
        <w:t>ex lege</w:t>
      </w:r>
      <w:r w:rsidRPr="00FE77D7">
        <w:t xml:space="preserve"> </w:t>
      </w:r>
      <w:proofErr w:type="gramStart"/>
      <w:r w:rsidRPr="00FE77D7">
        <w:t>en razón de</w:t>
      </w:r>
      <w:proofErr w:type="gramEnd"/>
      <w:r w:rsidRPr="00FE77D7">
        <w:t xml:space="preserve"> que ambas partes habrían evidenciado una pérdida de interés en la subsistencia de la relación </w:t>
      </w:r>
      <w:r w:rsidRPr="00FE77D7">
        <w:t>contractual, empero, debe recordarse que la LCS es tuitiva respecto del asegurado, habiendo suprimido las ineficacias automáticas por falta de pago.</w:t>
      </w:r>
    </w:p>
    <w:p w:rsidRPr="00FE77D7" w:rsidR="00FE77D7" w:rsidP="00FE77D7" w:rsidRDefault="00FE77D7" w14:paraId="3468904F" w14:textId="77777777">
      <w:pPr>
        <w:pStyle w:val="Prrafodelista"/>
      </w:pPr>
    </w:p>
    <w:p w:rsidRPr="00FE77D7" w:rsidR="00FE77D7" w:rsidP="00FE77D7" w:rsidRDefault="00FE77D7" w14:paraId="2A75015D" w14:textId="77777777">
      <w:pPr>
        <w:pStyle w:val="Prrafodelista"/>
        <w:tabs>
          <w:tab w:val="left" w:pos="0"/>
          <w:tab w:val="left" w:pos="709"/>
          <w:tab w:val="left" w:pos="2160"/>
          <w:tab w:val="left" w:pos="3540"/>
          <w:tab w:val="left" w:pos="4248"/>
          <w:tab w:val="left" w:pos="4956"/>
          <w:tab w:val="left" w:pos="5664"/>
          <w:tab w:val="left" w:pos="6372"/>
          <w:tab w:val="left" w:pos="7125"/>
        </w:tabs>
        <w:ind w:left="709"/>
        <w:jc w:val="both"/>
      </w:pPr>
      <w:r w:rsidRPr="00FE77D7">
        <w:t xml:space="preserve">Encontrándonos ante una resolución </w:t>
      </w:r>
      <w:r w:rsidRPr="00FE77D7">
        <w:rPr>
          <w:i/>
        </w:rPr>
        <w:t>ex lege</w:t>
      </w:r>
      <w:r w:rsidRPr="00FE77D7">
        <w:t>, y sobre la base que en Derecho lo concluyente son los contenidos antes que las denominaciones, bien podríamos sostener que el régimen de extinción contractual bajo comentario no es sino uno de resolución semiautomática por incumplimiento, dado que no opera inmediatamente (como sí era posible conforme al régimen regulado en el artículo 330 de la Ley Nro. 26702 y en el artículo 8 del Reglamento de Pago de Primas de Pólizas de Seguro, aprobado por Resolución SBS Nro. 225-2008) por la falta de pago, sino de manera diferida previa actuación de la aseguradora al activar el régimen de suspensión de cobertura.</w:t>
      </w:r>
    </w:p>
    <w:p w:rsidRPr="00FE77D7" w:rsidR="00FE77D7" w:rsidP="00FE77D7" w:rsidRDefault="00FE77D7" w14:paraId="65C21E61" w14:textId="77777777">
      <w:pPr>
        <w:jc w:val="both"/>
      </w:pPr>
    </w:p>
    <w:p w:rsidRPr="00FE77D7" w:rsidR="00FE77D7" w:rsidP="00FE77D7" w:rsidRDefault="00FE77D7" w14:paraId="63146805" w14:textId="77777777">
      <w:pPr>
        <w:ind w:left="709"/>
        <w:jc w:val="both"/>
      </w:pPr>
      <w:r w:rsidRPr="00FE77D7">
        <w:t xml:space="preserve">En consecuencia, el asegurado </w:t>
      </w:r>
      <w:r w:rsidRPr="00FE77D7">
        <w:rPr>
          <w:u w:val="single"/>
        </w:rPr>
        <w:t>debe ser</w:t>
      </w:r>
      <w:r w:rsidRPr="00FE77D7">
        <w:t xml:space="preserve"> informado oportunamente (y el canal para ello es la comunicación sobre suspensión) para que no sea sorprendido por la extinción, por la resolución, del vínculo contractual, de allí la relevancia del aviso que debe enviar la aseguradora cuando la prima adeudada no ha sido pagada oportunamente.</w:t>
      </w:r>
    </w:p>
    <w:p w:rsidRPr="00FE77D7" w:rsidR="00FE77D7" w:rsidP="00FE77D7" w:rsidRDefault="00FE77D7" w14:paraId="20E78087" w14:textId="77777777">
      <w:pPr>
        <w:ind w:left="709"/>
        <w:jc w:val="both"/>
      </w:pPr>
    </w:p>
    <w:p w:rsidRPr="00FE77D7" w:rsidR="00FE77D7" w:rsidP="00FE77D7" w:rsidRDefault="00FE77D7" w14:paraId="6C3A866B" w14:textId="77777777">
      <w:pPr>
        <w:ind w:left="709"/>
        <w:jc w:val="both"/>
      </w:pPr>
      <w:r w:rsidRPr="00FE77D7">
        <w:t>En el presente caso, ello no ocurrió, por lo que no opera la extinción del contrato.</w:t>
      </w:r>
    </w:p>
    <w:p w:rsidRPr="00FE77D7" w:rsidR="00FE77D7" w:rsidP="00FE77D7" w:rsidRDefault="00FE77D7" w14:paraId="1C43ACBC" w14:textId="77777777">
      <w:pPr>
        <w:suppressAutoHyphens/>
        <w:jc w:val="both"/>
      </w:pPr>
    </w:p>
    <w:p w:rsidRPr="00FE77D7" w:rsidR="00FE77D7" w:rsidP="00FE77D7" w:rsidRDefault="00FE77D7" w14:paraId="6B46777E" w14:textId="77777777">
      <w:pPr>
        <w:pStyle w:val="Prrafodelista"/>
        <w:numPr>
          <w:ilvl w:val="0"/>
          <w:numId w:val="43"/>
        </w:numPr>
        <w:tabs>
          <w:tab w:val="left" w:pos="709"/>
        </w:tabs>
        <w:suppressAutoHyphens/>
        <w:ind w:left="709" w:hanging="709"/>
        <w:jc w:val="both"/>
      </w:pPr>
      <w:r w:rsidRPr="00FE77D7">
        <w:t xml:space="preserve">Dos consideraciones finales.  La primera de ellas, si bien una interpretación del efecto automático de la “extinción” del contrato de seguro, sin necesidad de comunicación alguna, puede ser muy conveniente desde un punto de vista operativo tratándose de </w:t>
      </w:r>
      <w:proofErr w:type="spellStart"/>
      <w:r w:rsidRPr="00FE77D7">
        <w:t>microseguros</w:t>
      </w:r>
      <w:proofErr w:type="spellEnd"/>
      <w:r w:rsidRPr="00FE77D7">
        <w:t xml:space="preserve">, lo cierto es que la norma legal no se refiere sólo a dicha clase de negocios, sino que aplicaría a cualquier contrato de seguro, independientemente de su dimensión, de la prima comprometida, por lo que no correspondiendo distinguir donde la ley no distingue, la comunicación referida debería generarse siempre, cuyo costo es finalmente trasladable.  La segunda de </w:t>
      </w:r>
      <w:proofErr w:type="gramStart"/>
      <w:r w:rsidRPr="00FE77D7">
        <w:t>ellas,</w:t>
      </w:r>
      <w:proofErr w:type="gramEnd"/>
      <w:r w:rsidRPr="00FE77D7">
        <w:t xml:space="preserve"> radica en que la actividad de interpretación no está reservada únicamente cuando un texto legal no es pretendidamente claro, preciso, conciso o suficiente.  La interpretación no es otra cosa que una atribución de significados y para ello se puede recurrir a múltiples principios y metodologías, siendo que la postulada en el presente voto destaca no sólo lo sistemático sino lo finalista, que son criterios interpretativos que el colegiado de la DEFASEG ha aplicado en otros casos, como ocurre tratándose de las pólizas grupales, cuando ha interpretado que el rechazo no sólo debe ser comunicado al contratante sino al asegurado mismo, o en cuanto los presupuestos para que opere el “siniestro consentido”, que demanda no sólo de un contrato válido sino que, además, la solicitud de cobertura sea respecto de un riesgo aceptado por la aseguradora, etc.  Como bien manifiesta reconocida doctrina</w:t>
      </w:r>
      <w:r w:rsidRPr="00FE77D7">
        <w:rPr>
          <w:rStyle w:val="Refdenotaalpie"/>
        </w:rPr>
        <w:footnoteReference w:id="1"/>
      </w:r>
      <w:r w:rsidRPr="00FE77D7">
        <w:t xml:space="preserve">, y para ello se remite al origen del brocardo </w:t>
      </w:r>
      <w:r w:rsidRPr="00FE77D7">
        <w:rPr>
          <w:i/>
        </w:rPr>
        <w:t xml:space="preserve">“In </w:t>
      </w:r>
      <w:proofErr w:type="spellStart"/>
      <w:r w:rsidRPr="00FE77D7">
        <w:rPr>
          <w:i/>
        </w:rPr>
        <w:t>claris</w:t>
      </w:r>
      <w:proofErr w:type="spellEnd"/>
      <w:r w:rsidRPr="00FE77D7">
        <w:rPr>
          <w:i/>
        </w:rPr>
        <w:t xml:space="preserve"> non </w:t>
      </w:r>
      <w:proofErr w:type="spellStart"/>
      <w:r w:rsidRPr="00FE77D7">
        <w:rPr>
          <w:i/>
        </w:rPr>
        <w:t>fit</w:t>
      </w:r>
      <w:proofErr w:type="spellEnd"/>
      <w:r w:rsidRPr="00FE77D7">
        <w:rPr>
          <w:i/>
        </w:rPr>
        <w:t xml:space="preserve"> </w:t>
      </w:r>
      <w:proofErr w:type="spellStart"/>
      <w:r w:rsidRPr="00FE77D7">
        <w:rPr>
          <w:i/>
        </w:rPr>
        <w:t>interpretatio</w:t>
      </w:r>
      <w:proofErr w:type="spellEnd"/>
      <w:r w:rsidRPr="00FE77D7">
        <w:rPr>
          <w:i/>
        </w:rPr>
        <w:t>”</w:t>
      </w:r>
      <w:r w:rsidRPr="00FE77D7">
        <w:t>, lo cierto es que:</w:t>
      </w:r>
    </w:p>
    <w:p w:rsidRPr="00FE77D7" w:rsidR="00FE77D7" w:rsidP="00FE77D7" w:rsidRDefault="00FE77D7" w14:paraId="09631CC1" w14:textId="77777777">
      <w:pPr>
        <w:jc w:val="both"/>
      </w:pPr>
    </w:p>
    <w:p w:rsidRPr="00FE77D7" w:rsidR="00FE77D7" w:rsidP="00FE77D7" w:rsidRDefault="00FE77D7" w14:paraId="3A52D4E1" w14:textId="77777777">
      <w:pPr>
        <w:ind w:left="708"/>
        <w:jc w:val="both"/>
      </w:pPr>
      <w:r w:rsidRPr="00FE77D7">
        <w:rPr>
          <w:i/>
        </w:rPr>
        <w:t xml:space="preserve">“Hoy, por tanto, </w:t>
      </w:r>
      <w:r w:rsidRPr="00FE77D7">
        <w:t xml:space="preserve">“in </w:t>
      </w:r>
      <w:proofErr w:type="spellStart"/>
      <w:r w:rsidRPr="00FE77D7">
        <w:t>claris</w:t>
      </w:r>
      <w:proofErr w:type="spellEnd"/>
      <w:r w:rsidRPr="00FE77D7">
        <w:t xml:space="preserve"> non </w:t>
      </w:r>
      <w:proofErr w:type="spellStart"/>
      <w:r w:rsidRPr="00FE77D7">
        <w:t>fit</w:t>
      </w:r>
      <w:proofErr w:type="spellEnd"/>
      <w:r w:rsidRPr="00FE77D7">
        <w:t xml:space="preserve"> </w:t>
      </w:r>
      <w:proofErr w:type="spellStart"/>
      <w:r w:rsidRPr="00FE77D7">
        <w:t>interpretatio</w:t>
      </w:r>
      <w:proofErr w:type="spellEnd"/>
      <w:r w:rsidRPr="00FE77D7">
        <w:t>”</w:t>
      </w:r>
      <w:r w:rsidRPr="00FE77D7">
        <w:rPr>
          <w:i/>
        </w:rPr>
        <w:t xml:space="preserve"> es la expresión de una directiva metodológica; y </w:t>
      </w:r>
      <w:r w:rsidRPr="00FE77D7">
        <w:rPr>
          <w:b/>
          <w:i/>
          <w:u w:val="single"/>
        </w:rPr>
        <w:t xml:space="preserve">no ha de entenderse como la expresión de una denegación del hecho de que las actividades de interpretación (en sentido lato) son necesarias para </w:t>
      </w:r>
      <w:r w:rsidRPr="00FE77D7">
        <w:rPr>
          <w:b/>
          <w:i/>
          <w:u w:val="single"/>
        </w:rPr>
        <w:t>el uso del discurso legislativo, sea cual fuere la claridad de su formulación</w:t>
      </w:r>
      <w:r w:rsidRPr="00FE77D7">
        <w:rPr>
          <w:i/>
        </w:rPr>
        <w:t>”.</w:t>
      </w:r>
      <w:r w:rsidRPr="00FE77D7">
        <w:t xml:space="preserve"> (Lo destacado y subrayado es nuestro).</w:t>
      </w:r>
    </w:p>
    <w:p w:rsidRPr="00FE77D7" w:rsidR="00FE77D7" w:rsidP="00FE77D7" w:rsidRDefault="00FE77D7" w14:paraId="16BDA17E" w14:textId="77777777">
      <w:pPr>
        <w:ind w:left="708"/>
        <w:jc w:val="both"/>
      </w:pPr>
    </w:p>
    <w:p w:rsidRPr="00FE77D7" w:rsidR="00FE77D7" w:rsidP="00FE77D7" w:rsidRDefault="00FE77D7" w14:paraId="03E92BE1" w14:textId="77777777">
      <w:pPr>
        <w:ind w:left="709"/>
        <w:jc w:val="both"/>
      </w:pPr>
      <w:r w:rsidRPr="00FE77D7">
        <w:t>Conforme a lo anterior, no hay impedimento conceptual para que, más allá de las palabras empleadas en una fórmula legal, que es un tema de lenguaje legislativo que no es necesariamente coincidente con el jurídico</w:t>
      </w:r>
      <w:r w:rsidRPr="00FE77D7">
        <w:rPr>
          <w:rStyle w:val="Refdenotaalpie"/>
        </w:rPr>
        <w:footnoteReference w:id="2"/>
      </w:r>
      <w:r w:rsidRPr="00FE77D7">
        <w:t xml:space="preserve">, por más que sean claras, puede interpretarse dicha fórmula en función a criterios integrativos y/o correctivos, de manera que la unidad legislativa sea coherente internamente, aunque ello signifique dejar eventualmente de lado la letra para apreciar lo que hay detrás de la expresión, del texto, destacándose el contexto.  Conforme a ello, no se trata de generar una interpretación que adquiera una tónica </w:t>
      </w:r>
      <w:r w:rsidRPr="00FE77D7">
        <w:rPr>
          <w:i/>
        </w:rPr>
        <w:t xml:space="preserve">“de lege </w:t>
      </w:r>
      <w:proofErr w:type="spellStart"/>
      <w:r w:rsidRPr="00FE77D7">
        <w:rPr>
          <w:i/>
        </w:rPr>
        <w:t>ferenda</w:t>
      </w:r>
      <w:proofErr w:type="spellEnd"/>
      <w:r w:rsidRPr="00FE77D7">
        <w:rPr>
          <w:i/>
        </w:rPr>
        <w:t>”</w:t>
      </w:r>
      <w:r w:rsidRPr="00FE77D7">
        <w:t xml:space="preserve"> sino una que es efectivamente una interpretación </w:t>
      </w:r>
      <w:r w:rsidRPr="00FE77D7">
        <w:rPr>
          <w:i/>
        </w:rPr>
        <w:t>“de lege lata”,</w:t>
      </w:r>
      <w:r w:rsidRPr="00FE77D7">
        <w:t xml:space="preserve"> considerando la innegable voluntad legislativa de suprimir las ineficacias contractuales automáticas por falta de pago de la prima, por estimarlas afectantes del interés de la parte débil en la relación de seguros, el asegurado, según ya ha sido expuesto precedentemente.</w:t>
      </w:r>
    </w:p>
    <w:p w:rsidRPr="00FE77D7" w:rsidR="00FE77D7" w:rsidP="00FE77D7" w:rsidRDefault="00FE77D7" w14:paraId="234506B2" w14:textId="77777777">
      <w:pPr>
        <w:jc w:val="both"/>
      </w:pPr>
    </w:p>
    <w:p w:rsidRPr="00FE77D7" w:rsidR="00FE77D7" w:rsidP="00FE77D7" w:rsidRDefault="00FE77D7" w14:paraId="2A1E97BB" w14:textId="77777777">
      <w:pPr>
        <w:jc w:val="both"/>
      </w:pPr>
      <w:r w:rsidRPr="00FE77D7">
        <w:t>Por lo expuesto:</w:t>
      </w:r>
    </w:p>
    <w:p w:rsidRPr="00FE77D7" w:rsidR="00FE77D7" w:rsidP="00FE77D7" w:rsidRDefault="00FE77D7" w14:paraId="72AFBC32" w14:textId="77777777">
      <w:pPr>
        <w:jc w:val="both"/>
      </w:pPr>
    </w:p>
    <w:p w:rsidRPr="00FE77D7" w:rsidR="00FE77D7" w:rsidP="00FE77D7" w:rsidRDefault="00FE77D7" w14:paraId="5AD3AD25" w14:textId="77777777">
      <w:pPr>
        <w:jc w:val="both"/>
      </w:pPr>
      <w:r w:rsidRPr="00FE77D7">
        <w:t>Dejando a salvo lo relativo la fundamentación precedente sobre la extinción del contrato de seguro por falta de pago de la prima, el suscrito coincide con el análisis de la resolución aprobada en sus extremos sobre los alcances del siniestro consentido, la reticencia y la exclusión de preexistencia, por lo que coincide en que la reclamación es INFUNDADA.</w:t>
      </w:r>
    </w:p>
    <w:p w:rsidRPr="0053358C" w:rsidR="00865247" w:rsidP="00865247" w:rsidRDefault="00865247" w14:paraId="5BCE3091" w14:textId="77777777">
      <w:pPr>
        <w:spacing w:line="360" w:lineRule="auto"/>
      </w:pPr>
    </w:p>
    <w:p w:rsidR="00865247" w:rsidP="00865247" w:rsidRDefault="00865247" w14:paraId="102A1587" w14:textId="77777777">
      <w:pPr>
        <w:jc w:val="both"/>
        <w:rPr>
          <w:b/>
          <w:bCs/>
          <w:i/>
          <w:iCs/>
          <w:sz w:val="23"/>
          <w:szCs w:val="23"/>
          <w:lang w:val="es-ES_tradnl"/>
        </w:rPr>
      </w:pPr>
      <w:r w:rsidRPr="00A83AB8">
        <w:rPr>
          <w:b/>
          <w:bCs/>
          <w:i/>
          <w:iCs/>
          <w:sz w:val="23"/>
          <w:szCs w:val="23"/>
          <w:lang w:val="es-ES_tradnl"/>
        </w:rPr>
        <w:t xml:space="preserve">La Secretaría Técnica certifica </w:t>
      </w:r>
      <w:r>
        <w:rPr>
          <w:b/>
          <w:bCs/>
          <w:i/>
          <w:iCs/>
          <w:sz w:val="23"/>
          <w:szCs w:val="23"/>
          <w:lang w:val="es-ES_tradnl"/>
        </w:rPr>
        <w:t>el voto del vocal cuyo nombre figura a continuación.</w:t>
      </w:r>
    </w:p>
    <w:p w:rsidRPr="00D62160" w:rsidR="00865247" w:rsidP="00865247" w:rsidRDefault="00865247" w14:paraId="39889045" w14:textId="77777777">
      <w:pPr>
        <w:jc w:val="both"/>
        <w:rPr>
          <w:b/>
          <w:bCs/>
          <w:i/>
          <w:iCs/>
          <w:lang w:val="es-ES_tradnl"/>
        </w:rPr>
      </w:pPr>
    </w:p>
    <w:p w:rsidRPr="0053358C" w:rsidR="00865247" w:rsidP="00865247" w:rsidRDefault="00865247" w14:paraId="471371B2" w14:textId="77777777">
      <w:pPr>
        <w:spacing w:line="360" w:lineRule="auto"/>
        <w:jc w:val="center"/>
        <w:rPr>
          <w:b/>
          <w:bCs/>
        </w:rPr>
      </w:pPr>
      <w:r w:rsidRPr="0053358C">
        <w:rPr>
          <w:b/>
          <w:bCs/>
        </w:rPr>
        <w:t>Marco Antonio Ortega Piana – Vocal</w:t>
      </w:r>
    </w:p>
    <w:p w:rsidRPr="003E772B" w:rsidR="00865247" w:rsidRDefault="00865247" w14:paraId="0F6CCBAC" w14:textId="77777777"/>
    <w:sectPr w:rsidRPr="003E772B" w:rsidR="00865247"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653A1" w:rsidP="005F148C" w:rsidRDefault="00A653A1" w14:paraId="129EA178" w14:textId="77777777">
      <w:r>
        <w:separator/>
      </w:r>
    </w:p>
  </w:endnote>
  <w:endnote w:type="continuationSeparator" w:id="0">
    <w:p w:rsidR="00A653A1" w:rsidP="005F148C" w:rsidRDefault="00A653A1" w14:paraId="5FBAA7A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653A1" w:rsidP="005F148C" w:rsidRDefault="00A653A1" w14:paraId="10F3C97C" w14:textId="77777777">
      <w:r>
        <w:separator/>
      </w:r>
    </w:p>
  </w:footnote>
  <w:footnote w:type="continuationSeparator" w:id="0">
    <w:p w:rsidR="00A653A1" w:rsidP="005F148C" w:rsidRDefault="00A653A1" w14:paraId="5CFE93B6" w14:textId="77777777">
      <w:r>
        <w:continuationSeparator/>
      </w:r>
    </w:p>
  </w:footnote>
  <w:footnote w:id="1">
    <w:p w:rsidR="00FE77D7" w:rsidP="00FE77D7" w:rsidRDefault="00FE77D7" w14:paraId="05A63C56" w14:textId="77777777">
      <w:pPr>
        <w:pStyle w:val="Textonotapie"/>
        <w:jc w:val="both"/>
        <w:rPr>
          <w:rFonts w:ascii="Arial" w:hAnsi="Arial" w:cs="Arial"/>
          <w:sz w:val="18"/>
          <w:szCs w:val="18"/>
          <w:lang w:val="es-PE"/>
        </w:rPr>
      </w:pPr>
      <w:r>
        <w:rPr>
          <w:rStyle w:val="Refdenotaalpie"/>
          <w:rFonts w:ascii="Arial" w:hAnsi="Arial" w:cs="Arial"/>
          <w:sz w:val="18"/>
          <w:szCs w:val="18"/>
        </w:rPr>
        <w:footnoteRef/>
      </w:r>
      <w:r>
        <w:rPr>
          <w:rFonts w:ascii="Arial" w:hAnsi="Arial" w:cs="Arial"/>
          <w:sz w:val="18"/>
          <w:szCs w:val="18"/>
        </w:rPr>
        <w:t xml:space="preserve"> </w:t>
      </w:r>
      <w:r>
        <w:rPr>
          <w:rFonts w:ascii="Arial" w:hAnsi="Arial" w:cs="Arial"/>
          <w:sz w:val="18"/>
          <w:szCs w:val="18"/>
          <w:lang w:val="es-PE"/>
        </w:rPr>
        <w:t>TARELLO, Giovanni.  La interpretación de la ley.  Palestra Editores, Lima, 2015, pág. 57.</w:t>
      </w:r>
    </w:p>
  </w:footnote>
  <w:footnote w:id="2">
    <w:p w:rsidR="00FE77D7" w:rsidP="00FE77D7" w:rsidRDefault="00FE77D7" w14:paraId="55656531" w14:textId="77777777">
      <w:pPr>
        <w:jc w:val="both"/>
        <w:rPr>
          <w:rFonts w:ascii="Arial" w:hAnsi="Arial" w:cs="Arial"/>
          <w:sz w:val="18"/>
          <w:szCs w:val="18"/>
        </w:rPr>
      </w:pPr>
      <w:r>
        <w:rPr>
          <w:rStyle w:val="Refdenotaalpie"/>
          <w:rFonts w:ascii="Arial" w:hAnsi="Arial" w:cs="Arial"/>
          <w:sz w:val="18"/>
          <w:szCs w:val="18"/>
        </w:rPr>
        <w:footnoteRef/>
      </w:r>
      <w:r>
        <w:rPr>
          <w:rFonts w:ascii="Arial" w:hAnsi="Arial" w:cs="Arial"/>
          <w:sz w:val="18"/>
          <w:szCs w:val="18"/>
        </w:rPr>
        <w:t xml:space="preserve"> ALTERINI, Jorge Horacio, CORNA, Pablo María, ANGELANI, Elsa Beatriz y VÁSQUEZ, Gabriela Alejandra. Teoría General de las Ineficacias, La Ley S.A., Buenos Aires, 2000, págs. 1 a 7.  El autor refiere a la coexistencia de los lenguajes común, académico (en este caso, jurídico) y legislativo, que no son necesariamente coincidentes.  El lenguaje común es simplemente el cotidiano, comprensible para las mayorías, para todos los miembros de una colectividad.  El lenguaje académico corresponde a una aspiración de mayor precisión, es técnico para los fines de la ciencia jurídica, en consecuencia, no es comprensible necesariamente para todos.  Y el lenguaje legislativo tiene alcances especiales, debe ser comprensible en general, pero tampoco debe alejarse de la rigurosidad jurídica.    El problema es que muchas veces lo legislativo lo leemos como si fuese un lenguaje académico, y no es así definitivamente; el lenguaje legislativo debería estar más identificado con el cotidiano, salvo en aquellos aspectos en que resulte indispensable la precisión académica.  Por ello, creemos firmemente que el lenguaje legislativo debe ser sencillo y comprensible, ajeno a interpretaciones sutiles o desnaturalizando el contexto legal.  La extinción de un contrato, conforme a ello, es simplemente una caducidad, una desaparición de la relación contractual, y al provenir de una causa posterior a su celebración, es una resolución, lo afirme o no la LCS, una resolución por falta de pago de la prima.  Entonces, </w:t>
      </w:r>
      <w:proofErr w:type="gramStart"/>
      <w:r>
        <w:rPr>
          <w:rFonts w:ascii="Arial" w:hAnsi="Arial" w:cs="Arial"/>
          <w:sz w:val="18"/>
          <w:szCs w:val="18"/>
        </w:rPr>
        <w:t>siendo</w:t>
      </w:r>
      <w:proofErr w:type="gramEnd"/>
      <w:r>
        <w:rPr>
          <w:rFonts w:ascii="Arial" w:hAnsi="Arial" w:cs="Arial"/>
          <w:sz w:val="18"/>
          <w:szCs w:val="18"/>
        </w:rPr>
        <w:t xml:space="preserve"> así las cosas, ¿es razonable que por la misma razón -falta de pago de la prima-, coexistan dos remedios distintos o es uno solo en el fondo?, ¿puede el deudor que incumple sus obligaciones acogerse a la resolución, o ello es algo conceptualmente privativo del acreedor, dado que es el afectado por el incumplimiento?, siendo esto último, ¿no debería comunicar lo que decida sobre la subsistencia del vínculo?</w:t>
      </w:r>
    </w:p>
    <w:p w:rsidR="00FE77D7" w:rsidP="00FE77D7" w:rsidRDefault="00FE77D7" w14:paraId="2DE7DA40" w14:textId="77777777">
      <w:pPr>
        <w:jc w:val="both"/>
        <w:rPr>
          <w:rFonts w:ascii="Arial" w:hAnsi="Arial" w:cs="Arial"/>
          <w:sz w:val="18"/>
          <w:szCs w:val="18"/>
        </w:rPr>
      </w:pPr>
    </w:p>
    <w:p w:rsidR="00FE77D7" w:rsidP="00FE77D7" w:rsidRDefault="00FE77D7" w14:paraId="32AC8DBC" w14:textId="77777777">
      <w:pPr>
        <w:jc w:val="both"/>
        <w:rPr>
          <w:rFonts w:ascii="Arial" w:hAnsi="Arial" w:cs="Arial"/>
          <w:sz w:val="18"/>
          <w:szCs w:val="18"/>
        </w:rPr>
      </w:pPr>
    </w:p>
    <w:p w:rsidR="00FE77D7" w:rsidP="00FE77D7" w:rsidRDefault="00FE77D7" w14:paraId="20C63FE3" w14:textId="77777777">
      <w:pPr>
        <w:pStyle w:val="Textonotapie"/>
        <w:rPr>
          <w:lang w:val="es-P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1777A"/>
    <w:multiLevelType w:val="hybridMultilevel"/>
    <w:tmpl w:val="5C964D8C"/>
    <w:lvl w:ilvl="0" w:tplc="D158A098">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AAA49A8"/>
    <w:multiLevelType w:val="hybridMultilevel"/>
    <w:tmpl w:val="8092EA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E33702D"/>
    <w:multiLevelType w:val="hybridMultilevel"/>
    <w:tmpl w:val="9334D53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4"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2B611C1"/>
    <w:multiLevelType w:val="hybridMultilevel"/>
    <w:tmpl w:val="17BCE272"/>
    <w:lvl w:ilvl="0" w:tplc="E10C23C8">
      <w:start w:val="3"/>
      <w:numFmt w:val="upp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6" w15:restartNumberingAfterBreak="0">
    <w:nsid w:val="13C6381D"/>
    <w:multiLevelType w:val="hybridMultilevel"/>
    <w:tmpl w:val="FA3C70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A2F4474"/>
    <w:multiLevelType w:val="hybridMultilevel"/>
    <w:tmpl w:val="CC7EB8A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BAD7945"/>
    <w:multiLevelType w:val="hybridMultilevel"/>
    <w:tmpl w:val="2482E05E"/>
    <w:lvl w:ilvl="0" w:tplc="F5C2C6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2B81999"/>
    <w:multiLevelType w:val="hybridMultilevel"/>
    <w:tmpl w:val="C694A1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2" w15:restartNumberingAfterBreak="0">
    <w:nsid w:val="295C70DF"/>
    <w:multiLevelType w:val="hybridMultilevel"/>
    <w:tmpl w:val="82DA61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A583B21"/>
    <w:multiLevelType w:val="hybridMultilevel"/>
    <w:tmpl w:val="8A3CB936"/>
    <w:lvl w:ilvl="0" w:tplc="A6EC5FF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2D3A3E33"/>
    <w:multiLevelType w:val="hybridMultilevel"/>
    <w:tmpl w:val="4900D4B0"/>
    <w:lvl w:ilvl="0" w:tplc="1480B39E">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5" w15:restartNumberingAfterBreak="0">
    <w:nsid w:val="30B602AE"/>
    <w:multiLevelType w:val="hybridMultilevel"/>
    <w:tmpl w:val="8AEC0C7C"/>
    <w:lvl w:ilvl="0" w:tplc="2AE60B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189041D"/>
    <w:multiLevelType w:val="hybridMultilevel"/>
    <w:tmpl w:val="733C27A0"/>
    <w:lvl w:ilvl="0" w:tplc="C0EEDB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318D2DF7"/>
    <w:multiLevelType w:val="hybridMultilevel"/>
    <w:tmpl w:val="7800370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3A9D6984"/>
    <w:multiLevelType w:val="hybridMultilevel"/>
    <w:tmpl w:val="A06279DE"/>
    <w:lvl w:ilvl="0" w:tplc="EB54857E">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0"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414E0EA3"/>
    <w:multiLevelType w:val="hybridMultilevel"/>
    <w:tmpl w:val="31D417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3A37838"/>
    <w:multiLevelType w:val="hybridMultilevel"/>
    <w:tmpl w:val="FDA8D85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5" w15:restartNumberingAfterBreak="0">
    <w:nsid w:val="4EA31860"/>
    <w:multiLevelType w:val="multilevel"/>
    <w:tmpl w:val="A828B75E"/>
    <w:lvl w:ilvl="0">
      <w:start w:val="6"/>
      <w:numFmt w:val="decimal"/>
      <w:lvlText w:val="%1."/>
      <w:lvlJc w:val="left"/>
      <w:pPr>
        <w:ind w:left="480" w:hanging="480"/>
      </w:pPr>
    </w:lvl>
    <w:lvl w:ilvl="1">
      <w:start w:val="1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6" w15:restartNumberingAfterBreak="0">
    <w:nsid w:val="4FC33CAD"/>
    <w:multiLevelType w:val="hybridMultilevel"/>
    <w:tmpl w:val="64D0DDFC"/>
    <w:lvl w:ilvl="0" w:tplc="61F0D07A">
      <w:start w:val="1"/>
      <w:numFmt w:val="lowerLetter"/>
      <w:lvlText w:val="%1)"/>
      <w:lvlJc w:val="left"/>
      <w:pPr>
        <w:ind w:left="1065" w:hanging="360"/>
      </w:pPr>
    </w:lvl>
    <w:lvl w:ilvl="1" w:tplc="280A0019">
      <w:start w:val="1"/>
      <w:numFmt w:val="lowerLetter"/>
      <w:lvlText w:val="%2."/>
      <w:lvlJc w:val="left"/>
      <w:pPr>
        <w:ind w:left="1785" w:hanging="360"/>
      </w:pPr>
    </w:lvl>
    <w:lvl w:ilvl="2" w:tplc="280A001B">
      <w:start w:val="1"/>
      <w:numFmt w:val="lowerRoman"/>
      <w:lvlText w:val="%3."/>
      <w:lvlJc w:val="right"/>
      <w:pPr>
        <w:ind w:left="2505" w:hanging="180"/>
      </w:pPr>
    </w:lvl>
    <w:lvl w:ilvl="3" w:tplc="280A000F">
      <w:start w:val="1"/>
      <w:numFmt w:val="decimal"/>
      <w:lvlText w:val="%4."/>
      <w:lvlJc w:val="left"/>
      <w:pPr>
        <w:ind w:left="3225" w:hanging="360"/>
      </w:pPr>
    </w:lvl>
    <w:lvl w:ilvl="4" w:tplc="280A0019">
      <w:start w:val="1"/>
      <w:numFmt w:val="lowerLetter"/>
      <w:lvlText w:val="%5."/>
      <w:lvlJc w:val="left"/>
      <w:pPr>
        <w:ind w:left="3945" w:hanging="360"/>
      </w:pPr>
    </w:lvl>
    <w:lvl w:ilvl="5" w:tplc="280A001B">
      <w:start w:val="1"/>
      <w:numFmt w:val="lowerRoman"/>
      <w:lvlText w:val="%6."/>
      <w:lvlJc w:val="right"/>
      <w:pPr>
        <w:ind w:left="4665" w:hanging="180"/>
      </w:pPr>
    </w:lvl>
    <w:lvl w:ilvl="6" w:tplc="280A000F">
      <w:start w:val="1"/>
      <w:numFmt w:val="decimal"/>
      <w:lvlText w:val="%7."/>
      <w:lvlJc w:val="left"/>
      <w:pPr>
        <w:ind w:left="5385" w:hanging="360"/>
      </w:pPr>
    </w:lvl>
    <w:lvl w:ilvl="7" w:tplc="280A0019">
      <w:start w:val="1"/>
      <w:numFmt w:val="lowerLetter"/>
      <w:lvlText w:val="%8."/>
      <w:lvlJc w:val="left"/>
      <w:pPr>
        <w:ind w:left="6105" w:hanging="360"/>
      </w:pPr>
    </w:lvl>
    <w:lvl w:ilvl="8" w:tplc="280A001B">
      <w:start w:val="1"/>
      <w:numFmt w:val="lowerRoman"/>
      <w:lvlText w:val="%9."/>
      <w:lvlJc w:val="right"/>
      <w:pPr>
        <w:ind w:left="6825" w:hanging="180"/>
      </w:pPr>
    </w:lvl>
  </w:abstractNum>
  <w:abstractNum w:abstractNumId="27"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8" w15:restartNumberingAfterBreak="0">
    <w:nsid w:val="5A1D65F8"/>
    <w:multiLevelType w:val="multilevel"/>
    <w:tmpl w:val="4D286D3A"/>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9"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606F5A7A"/>
    <w:multiLevelType w:val="multilevel"/>
    <w:tmpl w:val="A4F83E92"/>
    <w:lvl w:ilvl="0">
      <w:start w:val="6"/>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0FF64BA"/>
    <w:multiLevelType w:val="hybridMultilevel"/>
    <w:tmpl w:val="C0B695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64FF52B3"/>
    <w:multiLevelType w:val="hybridMultilevel"/>
    <w:tmpl w:val="17BAB60C"/>
    <w:lvl w:ilvl="0" w:tplc="F7BC8CDA">
      <w:start w:val="1"/>
      <w:numFmt w:val="upperLetter"/>
      <w:lvlText w:val="%1."/>
      <w:lvlJc w:val="left"/>
      <w:pPr>
        <w:ind w:left="1494" w:hanging="360"/>
      </w:pPr>
    </w:lvl>
    <w:lvl w:ilvl="1" w:tplc="280A0019">
      <w:start w:val="1"/>
      <w:numFmt w:val="lowerLetter"/>
      <w:lvlText w:val="%2."/>
      <w:lvlJc w:val="left"/>
      <w:pPr>
        <w:ind w:left="2214" w:hanging="360"/>
      </w:pPr>
    </w:lvl>
    <w:lvl w:ilvl="2" w:tplc="280A001B">
      <w:start w:val="1"/>
      <w:numFmt w:val="lowerRoman"/>
      <w:lvlText w:val="%3."/>
      <w:lvlJc w:val="right"/>
      <w:pPr>
        <w:ind w:left="2934" w:hanging="180"/>
      </w:pPr>
    </w:lvl>
    <w:lvl w:ilvl="3" w:tplc="280A000F">
      <w:start w:val="1"/>
      <w:numFmt w:val="decimal"/>
      <w:lvlText w:val="%4."/>
      <w:lvlJc w:val="left"/>
      <w:pPr>
        <w:ind w:left="3654" w:hanging="360"/>
      </w:pPr>
    </w:lvl>
    <w:lvl w:ilvl="4" w:tplc="280A0019">
      <w:start w:val="1"/>
      <w:numFmt w:val="lowerLetter"/>
      <w:lvlText w:val="%5."/>
      <w:lvlJc w:val="left"/>
      <w:pPr>
        <w:ind w:left="4374" w:hanging="360"/>
      </w:pPr>
    </w:lvl>
    <w:lvl w:ilvl="5" w:tplc="280A001B">
      <w:start w:val="1"/>
      <w:numFmt w:val="lowerRoman"/>
      <w:lvlText w:val="%6."/>
      <w:lvlJc w:val="right"/>
      <w:pPr>
        <w:ind w:left="5094" w:hanging="180"/>
      </w:pPr>
    </w:lvl>
    <w:lvl w:ilvl="6" w:tplc="280A000F">
      <w:start w:val="1"/>
      <w:numFmt w:val="decimal"/>
      <w:lvlText w:val="%7."/>
      <w:lvlJc w:val="left"/>
      <w:pPr>
        <w:ind w:left="5814" w:hanging="360"/>
      </w:pPr>
    </w:lvl>
    <w:lvl w:ilvl="7" w:tplc="280A0019">
      <w:start w:val="1"/>
      <w:numFmt w:val="lowerLetter"/>
      <w:lvlText w:val="%8."/>
      <w:lvlJc w:val="left"/>
      <w:pPr>
        <w:ind w:left="6534" w:hanging="360"/>
      </w:pPr>
    </w:lvl>
    <w:lvl w:ilvl="8" w:tplc="280A001B">
      <w:start w:val="1"/>
      <w:numFmt w:val="lowerRoman"/>
      <w:lvlText w:val="%9."/>
      <w:lvlJc w:val="right"/>
      <w:pPr>
        <w:ind w:left="7254" w:hanging="180"/>
      </w:pPr>
    </w:lvl>
  </w:abstractNum>
  <w:abstractNum w:abstractNumId="34" w15:restartNumberingAfterBreak="0">
    <w:nsid w:val="6BE87690"/>
    <w:multiLevelType w:val="hybridMultilevel"/>
    <w:tmpl w:val="DDC8EC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FED2328"/>
    <w:multiLevelType w:val="hybridMultilevel"/>
    <w:tmpl w:val="5A721C9A"/>
    <w:lvl w:ilvl="0" w:tplc="723866F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6" w15:restartNumberingAfterBreak="0">
    <w:nsid w:val="706F1363"/>
    <w:multiLevelType w:val="hybridMultilevel"/>
    <w:tmpl w:val="FD3CB186"/>
    <w:lvl w:ilvl="0" w:tplc="AA5E71D8">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37"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38"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7DE47162"/>
    <w:multiLevelType w:val="hybridMultilevel"/>
    <w:tmpl w:val="189A3ACA"/>
    <w:lvl w:ilvl="0" w:tplc="E4D8EA0A">
      <w:start w:val="1"/>
      <w:numFmt w:val="upp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40" w15:restartNumberingAfterBreak="0">
    <w:nsid w:val="7E085BB6"/>
    <w:multiLevelType w:val="multilevel"/>
    <w:tmpl w:val="32E256FA"/>
    <w:lvl w:ilvl="0">
      <w:start w:val="6"/>
      <w:numFmt w:val="decimal"/>
      <w:lvlText w:val="%1."/>
      <w:lvlJc w:val="left"/>
      <w:pPr>
        <w:ind w:left="360" w:hanging="360"/>
      </w:pPr>
    </w:lvl>
    <w:lvl w:ilvl="1">
      <w:start w:val="8"/>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1" w15:restartNumberingAfterBreak="0">
    <w:nsid w:val="7F261E1F"/>
    <w:multiLevelType w:val="hybridMultilevel"/>
    <w:tmpl w:val="6F68817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abstractNumId w:val="3"/>
  </w:num>
  <w:num w:numId="2">
    <w:abstractNumId w:val="27"/>
  </w:num>
  <w:num w:numId="3">
    <w:abstractNumId w:val="18"/>
  </w:num>
  <w:num w:numId="4">
    <w:abstractNumId w:val="29"/>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8"/>
  </w:num>
  <w:num w:numId="8">
    <w:abstractNumId w:val="31"/>
  </w:num>
  <w:num w:numId="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0"/>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5"/>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0"/>
    <w:lvlOverride w:ilvl="0">
      <w:startOverride w:val="6"/>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6"/>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16"/>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num>
  <w:num w:numId="37">
    <w:abstractNumId w:val="32"/>
  </w:num>
  <w:num w:numId="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B2B"/>
    <w:rsid w:val="000155B3"/>
    <w:rsid w:val="00020318"/>
    <w:rsid w:val="000320F1"/>
    <w:rsid w:val="00032526"/>
    <w:rsid w:val="00035CCC"/>
    <w:rsid w:val="00045078"/>
    <w:rsid w:val="00084E51"/>
    <w:rsid w:val="0009325F"/>
    <w:rsid w:val="00094DDA"/>
    <w:rsid w:val="000B4405"/>
    <w:rsid w:val="000D2700"/>
    <w:rsid w:val="000E1883"/>
    <w:rsid w:val="00103188"/>
    <w:rsid w:val="0010704B"/>
    <w:rsid w:val="00131D5A"/>
    <w:rsid w:val="00131FAD"/>
    <w:rsid w:val="00140C67"/>
    <w:rsid w:val="00145B5D"/>
    <w:rsid w:val="00150853"/>
    <w:rsid w:val="00154D3B"/>
    <w:rsid w:val="001631D6"/>
    <w:rsid w:val="00170BA0"/>
    <w:rsid w:val="001759F6"/>
    <w:rsid w:val="00177464"/>
    <w:rsid w:val="00180922"/>
    <w:rsid w:val="00195646"/>
    <w:rsid w:val="00197FB2"/>
    <w:rsid w:val="001A0AB8"/>
    <w:rsid w:val="001A3593"/>
    <w:rsid w:val="001A791E"/>
    <w:rsid w:val="001B6607"/>
    <w:rsid w:val="001C2B16"/>
    <w:rsid w:val="001C5991"/>
    <w:rsid w:val="001D01FD"/>
    <w:rsid w:val="001D30D1"/>
    <w:rsid w:val="001E1429"/>
    <w:rsid w:val="001E6B7D"/>
    <w:rsid w:val="001F004E"/>
    <w:rsid w:val="002024EE"/>
    <w:rsid w:val="0020442B"/>
    <w:rsid w:val="00205001"/>
    <w:rsid w:val="00214ED6"/>
    <w:rsid w:val="00233ED8"/>
    <w:rsid w:val="002370F4"/>
    <w:rsid w:val="00251FD7"/>
    <w:rsid w:val="00265628"/>
    <w:rsid w:val="00265B6F"/>
    <w:rsid w:val="00281026"/>
    <w:rsid w:val="002A2188"/>
    <w:rsid w:val="002B14D5"/>
    <w:rsid w:val="002C236D"/>
    <w:rsid w:val="002C79AF"/>
    <w:rsid w:val="002E35A4"/>
    <w:rsid w:val="002E708C"/>
    <w:rsid w:val="002F7E39"/>
    <w:rsid w:val="00302CD3"/>
    <w:rsid w:val="00316A1B"/>
    <w:rsid w:val="0032570B"/>
    <w:rsid w:val="00326F1E"/>
    <w:rsid w:val="0033155F"/>
    <w:rsid w:val="003600C6"/>
    <w:rsid w:val="00372156"/>
    <w:rsid w:val="00376F63"/>
    <w:rsid w:val="00390EFF"/>
    <w:rsid w:val="003977C8"/>
    <w:rsid w:val="003A6B6C"/>
    <w:rsid w:val="003B46E3"/>
    <w:rsid w:val="003B4770"/>
    <w:rsid w:val="003B5737"/>
    <w:rsid w:val="003C2F84"/>
    <w:rsid w:val="003E6A10"/>
    <w:rsid w:val="003E6BA6"/>
    <w:rsid w:val="003E772B"/>
    <w:rsid w:val="003F48E1"/>
    <w:rsid w:val="003F6CE5"/>
    <w:rsid w:val="00417664"/>
    <w:rsid w:val="00417E23"/>
    <w:rsid w:val="004419E4"/>
    <w:rsid w:val="00444D29"/>
    <w:rsid w:val="00467825"/>
    <w:rsid w:val="004732E6"/>
    <w:rsid w:val="00477D05"/>
    <w:rsid w:val="004854D9"/>
    <w:rsid w:val="00491944"/>
    <w:rsid w:val="004974ED"/>
    <w:rsid w:val="004B6E20"/>
    <w:rsid w:val="004C64BF"/>
    <w:rsid w:val="004E50D6"/>
    <w:rsid w:val="004F2B90"/>
    <w:rsid w:val="00506323"/>
    <w:rsid w:val="00516549"/>
    <w:rsid w:val="00531FBE"/>
    <w:rsid w:val="0053358C"/>
    <w:rsid w:val="00567EEF"/>
    <w:rsid w:val="0058358B"/>
    <w:rsid w:val="005B54AF"/>
    <w:rsid w:val="005B7ECC"/>
    <w:rsid w:val="005C24D1"/>
    <w:rsid w:val="005C5922"/>
    <w:rsid w:val="005D0395"/>
    <w:rsid w:val="005D1456"/>
    <w:rsid w:val="005D1DDE"/>
    <w:rsid w:val="005D7383"/>
    <w:rsid w:val="005F1349"/>
    <w:rsid w:val="005F148C"/>
    <w:rsid w:val="0060033C"/>
    <w:rsid w:val="00644FAD"/>
    <w:rsid w:val="00647AEE"/>
    <w:rsid w:val="00651449"/>
    <w:rsid w:val="00664636"/>
    <w:rsid w:val="00677FBF"/>
    <w:rsid w:val="0069382D"/>
    <w:rsid w:val="006A1077"/>
    <w:rsid w:val="006D33B8"/>
    <w:rsid w:val="00716FB2"/>
    <w:rsid w:val="0072229D"/>
    <w:rsid w:val="007224F7"/>
    <w:rsid w:val="00734447"/>
    <w:rsid w:val="007408CA"/>
    <w:rsid w:val="00742D07"/>
    <w:rsid w:val="00743E3F"/>
    <w:rsid w:val="007474DB"/>
    <w:rsid w:val="0076125A"/>
    <w:rsid w:val="00776208"/>
    <w:rsid w:val="00782489"/>
    <w:rsid w:val="007855C9"/>
    <w:rsid w:val="00793F6A"/>
    <w:rsid w:val="0079416E"/>
    <w:rsid w:val="007A22CF"/>
    <w:rsid w:val="007B49ED"/>
    <w:rsid w:val="007C2FC5"/>
    <w:rsid w:val="007C3730"/>
    <w:rsid w:val="007C4BDB"/>
    <w:rsid w:val="007D353F"/>
    <w:rsid w:val="007D77D3"/>
    <w:rsid w:val="007E430D"/>
    <w:rsid w:val="007E7D40"/>
    <w:rsid w:val="00804519"/>
    <w:rsid w:val="00812270"/>
    <w:rsid w:val="00832FA5"/>
    <w:rsid w:val="00834DFE"/>
    <w:rsid w:val="00835D6A"/>
    <w:rsid w:val="00856856"/>
    <w:rsid w:val="00864800"/>
    <w:rsid w:val="00865247"/>
    <w:rsid w:val="00865B73"/>
    <w:rsid w:val="00892A1F"/>
    <w:rsid w:val="008930FB"/>
    <w:rsid w:val="00895FF5"/>
    <w:rsid w:val="008A1DAB"/>
    <w:rsid w:val="008A67AB"/>
    <w:rsid w:val="008C51A3"/>
    <w:rsid w:val="008D0547"/>
    <w:rsid w:val="008D2D71"/>
    <w:rsid w:val="008F3450"/>
    <w:rsid w:val="009029DF"/>
    <w:rsid w:val="00910070"/>
    <w:rsid w:val="00916337"/>
    <w:rsid w:val="0092266A"/>
    <w:rsid w:val="00934888"/>
    <w:rsid w:val="0093542F"/>
    <w:rsid w:val="009358E7"/>
    <w:rsid w:val="00960B69"/>
    <w:rsid w:val="00967AA0"/>
    <w:rsid w:val="009767BB"/>
    <w:rsid w:val="00977F56"/>
    <w:rsid w:val="009827D5"/>
    <w:rsid w:val="00985EA6"/>
    <w:rsid w:val="00987104"/>
    <w:rsid w:val="009A589C"/>
    <w:rsid w:val="009A7580"/>
    <w:rsid w:val="009B3934"/>
    <w:rsid w:val="009B4252"/>
    <w:rsid w:val="009C28AE"/>
    <w:rsid w:val="009C4A1C"/>
    <w:rsid w:val="009D23DC"/>
    <w:rsid w:val="00A00B92"/>
    <w:rsid w:val="00A10200"/>
    <w:rsid w:val="00A14315"/>
    <w:rsid w:val="00A223FC"/>
    <w:rsid w:val="00A26BA7"/>
    <w:rsid w:val="00A433D8"/>
    <w:rsid w:val="00A5329C"/>
    <w:rsid w:val="00A54A78"/>
    <w:rsid w:val="00A653A1"/>
    <w:rsid w:val="00A663A2"/>
    <w:rsid w:val="00A74FD1"/>
    <w:rsid w:val="00A80BAD"/>
    <w:rsid w:val="00AB13B9"/>
    <w:rsid w:val="00AB3C0F"/>
    <w:rsid w:val="00AB4E49"/>
    <w:rsid w:val="00AB76D5"/>
    <w:rsid w:val="00AC5B57"/>
    <w:rsid w:val="00AC68FA"/>
    <w:rsid w:val="00AC7D5A"/>
    <w:rsid w:val="00AC7F7C"/>
    <w:rsid w:val="00AE33DC"/>
    <w:rsid w:val="00AE40BA"/>
    <w:rsid w:val="00AE6ED7"/>
    <w:rsid w:val="00B04114"/>
    <w:rsid w:val="00B51C10"/>
    <w:rsid w:val="00B60E25"/>
    <w:rsid w:val="00B74729"/>
    <w:rsid w:val="00B773DA"/>
    <w:rsid w:val="00B82586"/>
    <w:rsid w:val="00B84F66"/>
    <w:rsid w:val="00BA6133"/>
    <w:rsid w:val="00BC6134"/>
    <w:rsid w:val="00BC633A"/>
    <w:rsid w:val="00BC7C3C"/>
    <w:rsid w:val="00BD5FD0"/>
    <w:rsid w:val="00BD6582"/>
    <w:rsid w:val="00BE00BF"/>
    <w:rsid w:val="00BE7E0A"/>
    <w:rsid w:val="00BF63D6"/>
    <w:rsid w:val="00C04395"/>
    <w:rsid w:val="00C11655"/>
    <w:rsid w:val="00C15D24"/>
    <w:rsid w:val="00C21994"/>
    <w:rsid w:val="00C21A69"/>
    <w:rsid w:val="00C45FF3"/>
    <w:rsid w:val="00C5693C"/>
    <w:rsid w:val="00C71B0D"/>
    <w:rsid w:val="00C841FA"/>
    <w:rsid w:val="00C85630"/>
    <w:rsid w:val="00CA4FD6"/>
    <w:rsid w:val="00CB451A"/>
    <w:rsid w:val="00CB7C37"/>
    <w:rsid w:val="00CE002B"/>
    <w:rsid w:val="00CF3742"/>
    <w:rsid w:val="00D01DEB"/>
    <w:rsid w:val="00D10FB7"/>
    <w:rsid w:val="00D128FF"/>
    <w:rsid w:val="00D15C1E"/>
    <w:rsid w:val="00D25C4B"/>
    <w:rsid w:val="00D56839"/>
    <w:rsid w:val="00D62160"/>
    <w:rsid w:val="00D86E87"/>
    <w:rsid w:val="00D9006E"/>
    <w:rsid w:val="00DB1A50"/>
    <w:rsid w:val="00DB43CB"/>
    <w:rsid w:val="00DC6A47"/>
    <w:rsid w:val="00DD1549"/>
    <w:rsid w:val="00DD7C71"/>
    <w:rsid w:val="00DF698C"/>
    <w:rsid w:val="00E13D0F"/>
    <w:rsid w:val="00E172DD"/>
    <w:rsid w:val="00E21C2A"/>
    <w:rsid w:val="00E42BD6"/>
    <w:rsid w:val="00E50B36"/>
    <w:rsid w:val="00E908BC"/>
    <w:rsid w:val="00E958A9"/>
    <w:rsid w:val="00EA1DB3"/>
    <w:rsid w:val="00EC2694"/>
    <w:rsid w:val="00ED26AB"/>
    <w:rsid w:val="00EE5E73"/>
    <w:rsid w:val="00EE720B"/>
    <w:rsid w:val="00EF4FF0"/>
    <w:rsid w:val="00F029DD"/>
    <w:rsid w:val="00F1075C"/>
    <w:rsid w:val="00F113A1"/>
    <w:rsid w:val="00F15FBA"/>
    <w:rsid w:val="00F202DC"/>
    <w:rsid w:val="00F3616C"/>
    <w:rsid w:val="00F42DC6"/>
    <w:rsid w:val="00F465F7"/>
    <w:rsid w:val="00F46707"/>
    <w:rsid w:val="00F6424C"/>
    <w:rsid w:val="00F71D17"/>
    <w:rsid w:val="00F97A17"/>
    <w:rsid w:val="00FE3F91"/>
    <w:rsid w:val="00FE77D7"/>
    <w:rsid w:val="00FF25AC"/>
    <w:rsid w:val="0BA3126C"/>
    <w:rsid w:val="0CC3E74E"/>
    <w:rsid w:val="0ECD33A5"/>
    <w:rsid w:val="1122DA2B"/>
    <w:rsid w:val="11F0749E"/>
    <w:rsid w:val="1781C041"/>
    <w:rsid w:val="1A81CA7C"/>
    <w:rsid w:val="1BBB2972"/>
    <w:rsid w:val="3C73A823"/>
    <w:rsid w:val="3D4E5756"/>
    <w:rsid w:val="3E3B01C6"/>
    <w:rsid w:val="437041A1"/>
    <w:rsid w:val="4B56CB58"/>
    <w:rsid w:val="567B8D05"/>
    <w:rsid w:val="5F7E251B"/>
    <w:rsid w:val="67713668"/>
    <w:rsid w:val="6E5576ED"/>
    <w:rsid w:val="71A71576"/>
    <w:rsid w:val="7339129F"/>
    <w:rsid w:val="75C4C628"/>
    <w:rsid w:val="780DC4FA"/>
    <w:rsid w:val="7C365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8FFF752-ACA7-4195-BDDF-03FD82C1F899}"/>
</file>

<file path=customXml/itemProps3.xml><?xml version="1.0" encoding="utf-8"?>
<ds:datastoreItem xmlns:ds="http://schemas.openxmlformats.org/officeDocument/2006/customXml" ds:itemID="{7DD0BA2E-4309-4D82-BE8D-F5CD5A37A74E}"/>
</file>

<file path=customXml/itemProps4.xml><?xml version="1.0" encoding="utf-8"?>
<ds:datastoreItem xmlns:ds="http://schemas.openxmlformats.org/officeDocument/2006/customXml" ds:itemID="{FE84014C-8908-458C-A7C0-3F05BBCF3D7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153</cp:revision>
  <cp:lastPrinted>2022-03-16T15:32:00Z</cp:lastPrinted>
  <dcterms:created xsi:type="dcterms:W3CDTF">2020-12-18T20:09:00Z</dcterms:created>
  <dcterms:modified xsi:type="dcterms:W3CDTF">2025-03-27T17:59:30Z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