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D196C" w:rsidR="00F15FBA" w:rsidP="00F15FBA" w:rsidRDefault="00F15FBA" w14:paraId="6BA6C8A5" w14:textId="75DE4A9D">
      <w:pPr>
        <w:pStyle w:val="Ttulo"/>
        <w:outlineLvl w:val="0"/>
        <w:rPr>
          <w:lang w:val="es-PE"/>
        </w:rPr>
      </w:pPr>
      <w:r w:rsidRPr="007D196C">
        <w:rPr>
          <w:lang w:val="es-PE"/>
        </w:rPr>
        <w:t xml:space="preserve">RESOLUCIÓN </w:t>
      </w:r>
      <w:proofErr w:type="spellStart"/>
      <w:r w:rsidRPr="007D196C">
        <w:rPr>
          <w:lang w:val="es-PE"/>
        </w:rPr>
        <w:t>N</w:t>
      </w:r>
      <w:r w:rsidRPr="007D196C" w:rsidR="001631D6">
        <w:rPr>
          <w:lang w:val="es-PE"/>
        </w:rPr>
        <w:t>°</w:t>
      </w:r>
      <w:proofErr w:type="spellEnd"/>
      <w:r w:rsidRPr="007D196C" w:rsidR="001631D6">
        <w:rPr>
          <w:lang w:val="es-PE"/>
        </w:rPr>
        <w:t xml:space="preserve"> </w:t>
      </w:r>
      <w:r w:rsidRPr="007D196C" w:rsidR="00784209">
        <w:rPr>
          <w:lang w:val="es-PE"/>
        </w:rPr>
        <w:t>0</w:t>
      </w:r>
      <w:r w:rsidRPr="007D196C" w:rsidR="005276A6">
        <w:rPr>
          <w:lang w:val="es-PE"/>
        </w:rPr>
        <w:t>9</w:t>
      </w:r>
      <w:r w:rsidRPr="007D196C" w:rsidR="00520FDC">
        <w:rPr>
          <w:lang w:val="es-PE"/>
        </w:rPr>
        <w:t>2</w:t>
      </w:r>
      <w:r w:rsidRPr="007D196C" w:rsidR="00F96FDD">
        <w:rPr>
          <w:lang w:val="es-PE"/>
        </w:rPr>
        <w:t>/</w:t>
      </w:r>
      <w:r w:rsidRPr="007D196C" w:rsidR="001631D6">
        <w:rPr>
          <w:lang w:val="es-PE"/>
        </w:rPr>
        <w:t>2</w:t>
      </w:r>
      <w:r w:rsidRPr="007D196C" w:rsidR="00444D29">
        <w:rPr>
          <w:lang w:val="es-PE"/>
        </w:rPr>
        <w:t>2</w:t>
      </w:r>
    </w:p>
    <w:p w:rsidRPr="007D196C" w:rsidR="00511CED" w:rsidP="00022570" w:rsidRDefault="00511CED" w14:paraId="14926A17" w14:textId="77777777">
      <w:pPr>
        <w:jc w:val="both"/>
        <w:outlineLvl w:val="0"/>
        <w:rPr>
          <w:b/>
          <w:bCs/>
          <w:lang w:val="es-PE"/>
        </w:rPr>
      </w:pPr>
    </w:p>
    <w:p w:rsidRPr="007D196C" w:rsidR="007D196C" w:rsidP="007D196C" w:rsidRDefault="007D196C" w14:paraId="70E4B0DB" w14:textId="77777777">
      <w:pPr>
        <w:jc w:val="both"/>
        <w:outlineLvl w:val="0"/>
        <w:rPr>
          <w:b/>
          <w:bCs/>
          <w:lang w:val="es-PE"/>
        </w:rPr>
      </w:pPr>
      <w:r w:rsidRPr="007D196C">
        <w:rPr>
          <w:b/>
          <w:bCs/>
          <w:lang w:val="es-PE"/>
        </w:rPr>
        <w:t>Vistos:</w:t>
      </w:r>
    </w:p>
    <w:p w:rsidRPr="007D196C" w:rsidR="007D196C" w:rsidP="007D196C" w:rsidRDefault="007D196C" w14:paraId="1061BDDE" w14:textId="77777777">
      <w:pPr>
        <w:jc w:val="both"/>
        <w:rPr>
          <w:b/>
          <w:bCs/>
          <w:lang w:val="es-PE"/>
        </w:rPr>
      </w:pPr>
    </w:p>
    <w:p w:rsidRPr="007D196C" w:rsidR="007D196C" w:rsidP="007D196C" w:rsidRDefault="007D196C" w14:paraId="10BDAE51" w14:textId="6B219D5F">
      <w:pPr>
        <w:tabs>
          <w:tab w:val="left" w:pos="708"/>
          <w:tab w:val="left" w:pos="1416"/>
          <w:tab w:val="left" w:pos="2977"/>
          <w:tab w:val="left" w:pos="4248"/>
          <w:tab w:val="left" w:pos="4956"/>
          <w:tab w:val="left" w:pos="5664"/>
          <w:tab w:val="left" w:pos="6372"/>
          <w:tab w:val="left" w:pos="7125"/>
        </w:tabs>
        <w:jc w:val="both"/>
        <w:rPr>
          <w:lang w:val="es-PE"/>
        </w:rPr>
      </w:pPr>
      <w:r w:rsidRPr="4A6418C7" w:rsidR="007D196C">
        <w:rPr>
          <w:lang w:val="es-PE"/>
        </w:rPr>
        <w:t xml:space="preserve">Que doña </w:t>
      </w:r>
      <w:r w:rsidRPr="4A6418C7" w:rsidR="0570F9F4">
        <w:rPr>
          <w:lang w:val="es-PE"/>
        </w:rPr>
        <w:t>..........................................................</w:t>
      </w:r>
      <w:r w:rsidRPr="4A6418C7" w:rsidR="007D196C">
        <w:rPr>
          <w:lang w:val="es-PE"/>
        </w:rPr>
        <w:t xml:space="preserve"> </w:t>
      </w:r>
      <w:r w:rsidR="007D196C">
        <w:rPr/>
        <w:t>interpone</w:t>
      </w:r>
      <w:r w:rsidRPr="4A6418C7" w:rsidR="007D196C">
        <w:rPr>
          <w:lang w:val="es-PE"/>
        </w:rPr>
        <w:t xml:space="preserve"> reclamación ante esta Defensoría del Asegurado (DEFASEG), solicitando que</w:t>
      </w:r>
      <w:r w:rsidR="007D196C">
        <w:rPr/>
        <w:t xml:space="preserve"> </w:t>
      </w:r>
      <w:r w:rsidR="7889D637">
        <w:rPr/>
        <w:t>..........................</w:t>
      </w:r>
      <w:r w:rsidRPr="4A6418C7" w:rsidR="007D196C">
        <w:rPr>
          <w:lang w:val="es-PE"/>
        </w:rPr>
        <w:t xml:space="preserve"> </w:t>
      </w:r>
      <w:bookmarkStart w:name="OLE_LINK2" w:id="0"/>
      <w:r w:rsidRPr="4A6418C7" w:rsidR="007D196C">
        <w:rPr>
          <w:lang w:val="es-PE"/>
        </w:rPr>
        <w:t xml:space="preserve">otorgue cobertura por el fallecimiento de su cónyuge señor </w:t>
      </w:r>
      <w:r w:rsidRPr="4A6418C7" w:rsidR="240FE444">
        <w:rPr>
          <w:lang w:val="es-PE"/>
        </w:rPr>
        <w:t>.............................................</w:t>
      </w:r>
      <w:r w:rsidRPr="4A6418C7" w:rsidR="007D196C">
        <w:rPr>
          <w:lang w:val="es-PE"/>
        </w:rPr>
        <w:t xml:space="preserve">, </w:t>
      </w:r>
      <w:r w:rsidRPr="4A6418C7" w:rsidR="007D196C">
        <w:rPr>
          <w:lang w:val="es-PE"/>
        </w:rPr>
        <w:t>de acuerdo a</w:t>
      </w:r>
      <w:r w:rsidRPr="4A6418C7" w:rsidR="007D196C">
        <w:rPr>
          <w:lang w:val="es-PE"/>
        </w:rPr>
        <w:t xml:space="preserve"> los términos y condiciones del </w:t>
      </w:r>
      <w:r w:rsidR="007D196C">
        <w:rPr/>
        <w:t>Seguro</w:t>
      </w:r>
      <w:bookmarkEnd w:id="0"/>
      <w:r w:rsidR="007D196C">
        <w:rPr/>
        <w:t xml:space="preserve"> de </w:t>
      </w:r>
      <w:r w:rsidR="007D196C">
        <w:rPr/>
        <w:t>Desgravamen Préstamo Personal.</w:t>
      </w:r>
    </w:p>
    <w:p w:rsidRPr="007D196C" w:rsidR="007D196C" w:rsidP="007D196C" w:rsidRDefault="007D196C" w14:paraId="57D50389" w14:textId="77777777">
      <w:pPr>
        <w:jc w:val="both"/>
        <w:rPr>
          <w:rFonts w:eastAsia="Arial Unicode MS"/>
          <w:lang w:val="es-PE"/>
        </w:rPr>
      </w:pPr>
    </w:p>
    <w:p w:rsidRPr="007D196C" w:rsidR="007D196C" w:rsidP="007D196C" w:rsidRDefault="007D196C" w14:paraId="21F57BC2" w14:textId="77777777">
      <w:pPr>
        <w:jc w:val="both"/>
        <w:rPr>
          <w:rFonts w:eastAsia="Arial Unicode MS"/>
          <w:lang w:val="es-PE"/>
        </w:rPr>
      </w:pPr>
      <w:r w:rsidRPr="007D196C">
        <w:rPr>
          <w:rFonts w:eastAsia="Arial Unicode MS"/>
          <w:lang w:val="es-PE"/>
        </w:rPr>
        <w:t>Que, la señalada reclamación cumple con los requisitos de materia, cuantía y oportunidad establecidos en el Reglamento de la DEFASEG (</w:t>
      </w:r>
      <w:hyperlink w:history="1" r:id="rId8">
        <w:r w:rsidRPr="007D196C">
          <w:rPr>
            <w:rStyle w:val="Hipervnculo"/>
            <w:rFonts w:eastAsia="Arial Unicode MS"/>
            <w:lang w:val="es-PE"/>
          </w:rPr>
          <w:t>http://www.defaseg.com.pe/reglamento.html</w:t>
        </w:r>
      </w:hyperlink>
      <w:r w:rsidRPr="007D196C">
        <w:rPr>
          <w:rFonts w:eastAsia="Arial Unicode MS"/>
          <w:lang w:val="es-PE"/>
        </w:rPr>
        <w:t>);</w:t>
      </w:r>
    </w:p>
    <w:p w:rsidRPr="007D196C" w:rsidR="007D196C" w:rsidP="007D196C" w:rsidRDefault="007D196C" w14:paraId="619984E9" w14:textId="77777777">
      <w:pPr>
        <w:tabs>
          <w:tab w:val="num" w:pos="720"/>
        </w:tabs>
        <w:jc w:val="both"/>
        <w:rPr>
          <w:lang w:val="es-PE"/>
        </w:rPr>
      </w:pPr>
    </w:p>
    <w:p w:rsidRPr="007D196C" w:rsidR="007D196C" w:rsidP="4A6418C7" w:rsidRDefault="007D196C" w14:paraId="598CCAC4" w14:textId="55328494">
      <w:pPr>
        <w:jc w:val="both"/>
      </w:pPr>
      <w:r w:rsidRPr="4A6418C7" w:rsidR="007D196C">
        <w:rPr>
          <w:lang w:val="es-PE"/>
        </w:rPr>
        <w:t>Que, habiéndosele corrido traslado de la respectiva reclamación</w:t>
      </w:r>
      <w:r w:rsidR="007D196C">
        <w:rPr/>
        <w:t xml:space="preserve">, </w:t>
      </w:r>
      <w:r w:rsidR="14C1A2D3">
        <w:rPr/>
        <w:t>....................................</w:t>
      </w:r>
      <w:r w:rsidR="007D196C">
        <w:rPr/>
        <w:t xml:space="preserve"> presentó sus descargos y la documentación correspondiente. </w:t>
      </w:r>
    </w:p>
    <w:p w:rsidRPr="007D196C" w:rsidR="007D196C" w:rsidP="007D196C" w:rsidRDefault="007D196C" w14:paraId="094B9F2B" w14:textId="77777777">
      <w:pPr>
        <w:tabs>
          <w:tab w:val="num" w:pos="720"/>
        </w:tabs>
        <w:jc w:val="both"/>
        <w:rPr>
          <w:lang w:val="es-419"/>
        </w:rPr>
      </w:pPr>
    </w:p>
    <w:p w:rsidRPr="007D196C" w:rsidR="007D196C" w:rsidP="007D196C" w:rsidRDefault="007D196C" w14:paraId="3525DF8E" w14:textId="77777777">
      <w:pPr>
        <w:tabs>
          <w:tab w:val="num" w:pos="720"/>
        </w:tabs>
        <w:jc w:val="both"/>
        <w:rPr>
          <w:rFonts w:eastAsiaTheme="minorHAnsi"/>
          <w:lang w:eastAsia="en-US"/>
        </w:rPr>
      </w:pPr>
      <w:r w:rsidRPr="007D196C">
        <w:rPr>
          <w:lang w:val="es-419"/>
        </w:rPr>
        <w:t xml:space="preserve">Que, con fecha 11 de abril de 2022 se realizó </w:t>
      </w:r>
      <w:r w:rsidRPr="007D196C">
        <w:rPr>
          <w:lang w:val="es-PE"/>
        </w:rPr>
        <w:t>la audiencia de vista virtual con la participación de ambas partes, en la plataforma electrónica habilitada para dicho efecto por la secretaría técnica de la DEFASEG, siendo que ambas partes sustentaron su posición</w:t>
      </w:r>
      <w:r w:rsidRPr="007D196C">
        <w:t xml:space="preserve">, </w:t>
      </w:r>
      <w:r w:rsidRPr="007D196C">
        <w:rPr>
          <w:lang w:val="es-PE"/>
        </w:rPr>
        <w:t xml:space="preserve">absolviendo las diversas preguntas formuladas por este colegiado, conforme consta de la correspondiente acta.  </w:t>
      </w:r>
    </w:p>
    <w:p w:rsidRPr="007D196C" w:rsidR="007D196C" w:rsidP="007D196C" w:rsidRDefault="007D196C" w14:paraId="08FE2780" w14:textId="77777777">
      <w:pPr>
        <w:tabs>
          <w:tab w:val="num" w:pos="720"/>
        </w:tabs>
        <w:jc w:val="both"/>
      </w:pPr>
    </w:p>
    <w:p w:rsidRPr="007D196C" w:rsidR="007D196C" w:rsidP="007D196C" w:rsidRDefault="007D196C" w14:paraId="193E15F8" w14:textId="77777777">
      <w:pPr>
        <w:jc w:val="both"/>
        <w:rPr>
          <w:rFonts w:eastAsiaTheme="minorHAnsi"/>
          <w:lang w:val="es-PE"/>
        </w:rPr>
      </w:pPr>
      <w:r w:rsidRPr="007D196C">
        <w:rPr>
          <w:lang w:val="es-PE"/>
        </w:rPr>
        <w:t>Que, la reclamación interpuesta se sustenta resumidamente en lo siguiente:</w:t>
      </w:r>
      <w:r w:rsidRPr="007D196C">
        <w:t xml:space="preserve"> a) </w:t>
      </w:r>
      <w:r w:rsidRPr="007D196C">
        <w:rPr>
          <w:lang w:val="es-PE"/>
        </w:rPr>
        <w:t>La aseguradora ha rechazado la cobertura de seguro pues considerada que  el asegurado tenía un diagnóstico de hipertensión arterial preexistente a la contratación del seguro, el cual está directamente relacionado con la causa del fallecimiento, siendo que de acuerdo a la póliza no se cubren las consecuencias de una enfermedad grave y/o crónica preexistente a la contratación; b) discrepa del rechazo, pues la hipertensión está siendo considerada como un antecedente de enfermedad cuando es un factor de riesgo, mas no una causa; existen variedad de factores de riesgo como son el tabaquismo, obesidad, diabetes, ser hombre mayor de 45 años, lo que es común en la sociedad; en este caso la enfermedad que le produce el fallecimiento se conoce el 22 de marzo de 2015, cuando ya se había contratado el seguro; su esposo seguía su tratamiento y era muy cuidadoso con su salud, lo que puede corroborarse de los documentos que adjunta, c) la causa de fallecimiento fue falla multiorgánica por la enfermedad coronaria diagnosticada el 22 de marzo de 2015 y tratada desde ese momento, antes de ello no tenía una enfermedad solo se hacía chequeos para cuidar su salud.</w:t>
      </w:r>
    </w:p>
    <w:p w:rsidRPr="007D196C" w:rsidR="007D196C" w:rsidP="007D196C" w:rsidRDefault="007D196C" w14:paraId="7DDD94F8" w14:textId="77777777">
      <w:pPr>
        <w:jc w:val="both"/>
        <w:rPr>
          <w:lang w:val="es-PE"/>
        </w:rPr>
      </w:pPr>
    </w:p>
    <w:p w:rsidRPr="007D196C" w:rsidR="007D196C" w:rsidP="007D196C" w:rsidRDefault="007D196C" w14:paraId="38A8F20B" w14:textId="2270B9BF">
      <w:pPr>
        <w:jc w:val="both"/>
        <w:rPr>
          <w:rStyle w:val="normaltextrun"/>
          <w:lang w:eastAsia="en-US"/>
        </w:rPr>
      </w:pPr>
      <w:r w:rsidRPr="4A6418C7" w:rsidR="007D196C">
        <w:rPr>
          <w:lang w:val="es-PE"/>
        </w:rPr>
        <w:t xml:space="preserve">Que, por su parte, ratificando el rechazo de cobertura, </w:t>
      </w:r>
      <w:r w:rsidRPr="4A6418C7" w:rsidR="42C6AC04">
        <w:rPr>
          <w:lang w:val="es-PE"/>
        </w:rPr>
        <w:t>.....................................</w:t>
      </w:r>
      <w:r w:rsidRPr="4A6418C7" w:rsidR="007D196C">
        <w:rPr>
          <w:lang w:val="es-PE"/>
        </w:rPr>
        <w:t xml:space="preserve"> expresa resumidamente lo siguiente: a)</w:t>
      </w:r>
      <w:r w:rsidRPr="4A6418C7" w:rsidR="007D196C">
        <w:rPr>
          <w:rStyle w:val="normaltextrun"/>
          <w:lang w:val="es-PE"/>
        </w:rPr>
        <w:t xml:space="preserve"> el 01 de diciembre de 2014 el señor</w:t>
      </w:r>
      <w:r w:rsidRPr="4A6418C7" w:rsidR="5B0E701C">
        <w:rPr>
          <w:rStyle w:val="normaltextrun"/>
          <w:lang w:val="es-PE"/>
        </w:rPr>
        <w:t>............................................</w:t>
      </w:r>
      <w:r w:rsidRPr="4A6418C7" w:rsidR="007D196C">
        <w:rPr>
          <w:rStyle w:val="normaltextrun"/>
          <w:lang w:val="es-PE"/>
        </w:rPr>
        <w:t xml:space="preserve"> celebró un contrato con </w:t>
      </w:r>
      <w:r w:rsidRPr="4A6418C7" w:rsidR="01EB85B4">
        <w:rPr>
          <w:rStyle w:val="normaltextrun"/>
          <w:lang w:val="es-PE"/>
        </w:rPr>
        <w:t>...............</w:t>
      </w:r>
      <w:r w:rsidRPr="4A6418C7" w:rsidR="007D196C">
        <w:rPr>
          <w:rStyle w:val="normaltextrun"/>
          <w:lang w:val="es-PE"/>
        </w:rPr>
        <w:t xml:space="preserve"> mediante Póliza de Seguro de Desgravamen BANBIF TC, con la finalidad de respaldar una deuda contraída; b) el 30 de abril de 2021 fallece debido a una falla multiorgánica, debido a insuficiencia cardiaca congestiva e hipertensión arterial, portador de </w:t>
      </w:r>
      <w:r w:rsidRPr="4A6418C7" w:rsidR="007D196C">
        <w:rPr>
          <w:rStyle w:val="normaltextrun"/>
          <w:lang w:val="es-PE"/>
        </w:rPr>
        <w:t>stent</w:t>
      </w:r>
      <w:r w:rsidRPr="4A6418C7" w:rsidR="007D196C">
        <w:rPr>
          <w:rStyle w:val="normaltextrun"/>
          <w:lang w:val="es-PE"/>
        </w:rPr>
        <w:t xml:space="preserve"> e infarto agudo de miocardio conforme se aprecia del certificado de defunción, razón por la cual la señora Pinto solicita la ejecución del contrato de seguro de desgravamen; c) verificada la solicitud se constató que el asegurado incurrió en la causal de exclusión prevista en el inciso g) de las Condiciones Generales de la Póliza referida a enfermedades preexistentes; d) de la revisión de la historia clínica se aprecia que en el 2010 y 2013 se hace referencia a la hipertensión arterial, lo cual se corrobora con el </w:t>
      </w:r>
      <w:r w:rsidRPr="4A6418C7" w:rsidR="007D196C">
        <w:rPr>
          <w:rStyle w:val="normaltextrun"/>
          <w:lang w:val="es-PE"/>
        </w:rPr>
        <w:t xml:space="preserve">informe médico del Dr. Javier Heredia que consigna atención desde el 06/05/2013 por el diagnóstico de hipertensión arterial, y se señala que sufrió un síndrome coronario agudo ST no elevado con colocación de </w:t>
      </w:r>
      <w:r w:rsidRPr="4A6418C7" w:rsidR="007D196C">
        <w:rPr>
          <w:rStyle w:val="normaltextrun"/>
          <w:lang w:val="es-PE"/>
        </w:rPr>
        <w:t>stent</w:t>
      </w:r>
      <w:r w:rsidRPr="4A6418C7" w:rsidR="007D196C">
        <w:rPr>
          <w:rStyle w:val="normaltextrun"/>
          <w:lang w:val="es-PE"/>
        </w:rPr>
        <w:t xml:space="preserve"> en arteria descendente anterior lo cual ocurrió en el año 2015; añaden que este diagnóstico está directamente relacionado con la causa del fallecimiento conforme se indica en el certificado de defunción; e) la póliza señala lo siguiente respecto de las exclusiones: “La ASEGURADORA estará eximida de cualquier obligación, en caso de que el fallecimiento o invalidez de (l/los) ASEGURADO (S) ocurra en las siguientes circunstancias: (…) G. Como consecuencia de una condición, enfermedad, o accidente grave y/o crónico preexistente a la contratación de la Póliza.”; por lo que han rechazado el seguro </w:t>
      </w:r>
      <w:r w:rsidRPr="4A6418C7" w:rsidR="007D196C">
        <w:rPr>
          <w:rStyle w:val="normaltextrun"/>
          <w:lang w:val="es-PE"/>
        </w:rPr>
        <w:t>de acuerdo a</w:t>
      </w:r>
      <w:r w:rsidRPr="4A6418C7" w:rsidR="007D196C">
        <w:rPr>
          <w:rStyle w:val="normaltextrun"/>
          <w:lang w:val="es-PE"/>
        </w:rPr>
        <w:t xml:space="preserve"> ley.</w:t>
      </w:r>
    </w:p>
    <w:p w:rsidRPr="007D196C" w:rsidR="007D196C" w:rsidP="007D196C" w:rsidRDefault="007D196C" w14:paraId="445A64E4" w14:textId="77777777">
      <w:pPr>
        <w:jc w:val="both"/>
        <w:rPr>
          <w:rStyle w:val="normaltextrun"/>
          <w:lang w:val="es-PE"/>
        </w:rPr>
      </w:pPr>
    </w:p>
    <w:p w:rsidRPr="007D196C" w:rsidR="007D196C" w:rsidP="007D196C" w:rsidRDefault="007D196C" w14:paraId="5ADD50F3" w14:textId="77777777">
      <w:pPr>
        <w:jc w:val="both"/>
      </w:pPr>
      <w:r w:rsidRPr="007D196C">
        <w:rPr>
          <w:bCs/>
          <w:lang w:val="es-PE"/>
        </w:rPr>
        <w:t>Que,</w:t>
      </w:r>
      <w:r w:rsidRPr="007D196C">
        <w:rPr>
          <w:lang w:val="es-PE"/>
        </w:rPr>
        <w:t xml:space="preserve"> en la audiencia de vista se otorgó un plazo de 3 días útiles a ambas partes: a la reclamante para que presente la solicitud de cobertura y precise cuándo recibió la carta de rechazo; a la aseguradora para que sustente la causalidad del siniestro y asimismo precise cuando recibieron la documentación completa de la solicitud de cobertura y cuanto notificaron la carta de rechazo.</w:t>
      </w:r>
    </w:p>
    <w:p w:rsidRPr="007D196C" w:rsidR="007D196C" w:rsidP="007D196C" w:rsidRDefault="007D196C" w14:paraId="7777571C" w14:textId="77777777">
      <w:pPr>
        <w:jc w:val="both"/>
        <w:rPr>
          <w:lang w:val="es-PE"/>
        </w:rPr>
      </w:pPr>
    </w:p>
    <w:p w:rsidRPr="007D196C" w:rsidR="007D196C" w:rsidP="007D196C" w:rsidRDefault="007D196C" w14:paraId="3855CF66" w14:textId="77777777">
      <w:pPr>
        <w:jc w:val="both"/>
        <w:rPr>
          <w:lang w:val="es-PE"/>
        </w:rPr>
      </w:pPr>
      <w:r w:rsidRPr="007D196C">
        <w:rPr>
          <w:lang w:val="es-PE"/>
        </w:rPr>
        <w:t xml:space="preserve">Que, con fecha 13 de abril de 2022 la reclamante presentó lo requerido en la audiencia de vista indicando que completó la documentación el 18/05/2021, así como adjuntando una carta de Rímac de fecha 23/08/2021 donde le informan que hacen extensiva la solicitud de un plazo de 30 días adicionales para evaluar el siniestro, siendo que mediante correo electrónico de fecha 14/09/2021 les informan del rechazo de siniestro. </w:t>
      </w:r>
    </w:p>
    <w:p w:rsidRPr="007D196C" w:rsidR="007D196C" w:rsidP="007D196C" w:rsidRDefault="007D196C" w14:paraId="4F024A34" w14:textId="77777777">
      <w:pPr>
        <w:jc w:val="both"/>
        <w:rPr>
          <w:lang w:val="es-PE"/>
        </w:rPr>
      </w:pPr>
    </w:p>
    <w:p w:rsidRPr="007D196C" w:rsidR="007D196C" w:rsidP="007D196C" w:rsidRDefault="007D196C" w14:paraId="25E5980A" w14:textId="26CA90E1">
      <w:pPr>
        <w:jc w:val="both"/>
        <w:rPr>
          <w:lang w:val="es-PE"/>
        </w:rPr>
      </w:pPr>
      <w:r w:rsidRPr="4A6418C7" w:rsidR="007D196C">
        <w:rPr>
          <w:lang w:val="es-PE"/>
        </w:rPr>
        <w:t xml:space="preserve">Adicionalmente mediante requerimiento adicional se solicitó a la aseguradora informe sobre el procedimiento de prorroga informado en la carta </w:t>
      </w:r>
      <w:r w:rsidRPr="4A6418C7" w:rsidR="5DBF0F19">
        <w:rPr>
          <w:lang w:val="es-PE"/>
        </w:rPr>
        <w:t>..............................</w:t>
      </w:r>
      <w:r w:rsidRPr="4A6418C7" w:rsidR="007D196C">
        <w:rPr>
          <w:lang w:val="es-PE"/>
        </w:rPr>
        <w:t xml:space="preserve"> de fecha 23 de agosto de 2021, adjuntando copia de las comunicaciones a las que se refiere el segundo párrafo del artículo 12 de la Resolución</w:t>
      </w:r>
      <w:r w:rsidRPr="4A6418C7" w:rsidR="4AF69A2B">
        <w:rPr>
          <w:lang w:val="es-PE"/>
        </w:rPr>
        <w:t>...........................</w:t>
      </w:r>
      <w:r w:rsidRPr="4A6418C7" w:rsidR="007D196C">
        <w:rPr>
          <w:lang w:val="es-PE"/>
        </w:rPr>
        <w:t xml:space="preserve"> que citan en dicha comunicación.</w:t>
      </w:r>
    </w:p>
    <w:p w:rsidRPr="007D196C" w:rsidR="007D196C" w:rsidP="007D196C" w:rsidRDefault="007D196C" w14:paraId="740687BA" w14:textId="77777777">
      <w:pPr>
        <w:jc w:val="both"/>
        <w:rPr>
          <w:lang w:val="es-PE"/>
        </w:rPr>
      </w:pPr>
    </w:p>
    <w:p w:rsidRPr="007D196C" w:rsidR="007D196C" w:rsidP="007D196C" w:rsidRDefault="007D196C" w14:paraId="3991F171" w14:textId="77777777">
      <w:pPr>
        <w:jc w:val="both"/>
        <w:rPr>
          <w:lang w:val="es-PE"/>
        </w:rPr>
      </w:pPr>
      <w:r w:rsidRPr="007D196C">
        <w:rPr>
          <w:lang w:val="es-PE"/>
        </w:rPr>
        <w:t>Que, con fecha 21 de abril de 2022, la aseguradora presentó un escrito a través del cual presenta sus argumentos sobre la causalidad del siniestro, reiterando su posición sobre la preexistencia y la causalidad de la misma; sin pronunciarse sobre el requerimiento formulado referido a la fecha en que se habría completado la documentación del siniestro  y se habría notificado la carta de rechazo; habiendo vencido asimismo el plazo otorgado para informar sobre el procedimiento de prorroga señalado en el párrafo anterior.</w:t>
      </w:r>
    </w:p>
    <w:p w:rsidRPr="007D196C" w:rsidR="007D196C" w:rsidP="007D196C" w:rsidRDefault="007D196C" w14:paraId="2EE85418" w14:textId="77777777">
      <w:pPr>
        <w:jc w:val="both"/>
        <w:rPr>
          <w:lang w:val="es-PE"/>
        </w:rPr>
      </w:pPr>
    </w:p>
    <w:p w:rsidRPr="007D196C" w:rsidR="007D196C" w:rsidP="007D196C" w:rsidRDefault="007D196C" w14:paraId="21EEE09B" w14:textId="77777777">
      <w:pPr>
        <w:jc w:val="both"/>
        <w:rPr>
          <w:lang w:val="es-PE"/>
        </w:rPr>
      </w:pPr>
      <w:r w:rsidRPr="007D196C">
        <w:rPr>
          <w:lang w:val="es-PE"/>
        </w:rPr>
        <w:t>Que el expediente se encuentra en condiciones para que este colegiado expida su pronunciamiento.</w:t>
      </w:r>
    </w:p>
    <w:p w:rsidRPr="007D196C" w:rsidR="007D196C" w:rsidP="007D196C" w:rsidRDefault="007D196C" w14:paraId="642B6383" w14:textId="77777777">
      <w:pPr>
        <w:jc w:val="both"/>
        <w:rPr>
          <w:lang w:val="es-PE"/>
        </w:rPr>
      </w:pPr>
    </w:p>
    <w:p w:rsidRPr="007D196C" w:rsidR="007D196C" w:rsidP="007D196C" w:rsidRDefault="007D196C" w14:paraId="6F95842F" w14:textId="77777777">
      <w:pPr>
        <w:jc w:val="both"/>
        <w:rPr>
          <w:lang w:val="es-PE"/>
        </w:rPr>
      </w:pPr>
      <w:r w:rsidRPr="007D196C">
        <w:rPr>
          <w:b/>
          <w:bCs/>
          <w:lang w:val="es-PE"/>
        </w:rPr>
        <w:t>Considerando:</w:t>
      </w:r>
    </w:p>
    <w:p w:rsidRPr="007D196C" w:rsidR="007D196C" w:rsidP="007D196C" w:rsidRDefault="007D196C" w14:paraId="55FCF8FB" w14:textId="77777777">
      <w:pPr>
        <w:jc w:val="both"/>
        <w:rPr>
          <w:lang w:val="es-PE"/>
        </w:rPr>
      </w:pPr>
    </w:p>
    <w:p w:rsidRPr="007D196C" w:rsidR="007D196C" w:rsidP="007D196C" w:rsidRDefault="007D196C" w14:paraId="64E8A367" w14:textId="77777777">
      <w:pPr>
        <w:jc w:val="both"/>
        <w:rPr>
          <w:lang w:val="es-PE"/>
        </w:rPr>
      </w:pPr>
      <w:r w:rsidRPr="007D196C">
        <w:rPr>
          <w:b/>
          <w:u w:val="single"/>
          <w:lang w:val="es-PE"/>
        </w:rPr>
        <w:t>Primero</w:t>
      </w:r>
      <w:r w:rsidRPr="007D196C">
        <w:rPr>
          <w:b/>
          <w:lang w:val="es-PE"/>
        </w:rPr>
        <w:t xml:space="preserve">: </w:t>
      </w:r>
      <w:r w:rsidRPr="007D196C">
        <w:rPr>
          <w:lang w:val="es-PE"/>
        </w:rPr>
        <w:t>Conforme a su Reglamento, la</w:t>
      </w:r>
      <w:r w:rsidRPr="007D196C">
        <w:rPr>
          <w:b/>
          <w:bCs/>
          <w:lang w:val="es-PE"/>
        </w:rPr>
        <w:t xml:space="preserve"> </w:t>
      </w:r>
      <w:r w:rsidRPr="007D196C">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7D196C" w:rsidR="007D196C" w:rsidP="007D196C" w:rsidRDefault="007D196C" w14:paraId="4BD187AD" w14:textId="77777777">
      <w:pPr>
        <w:jc w:val="both"/>
        <w:rPr>
          <w:lang w:val="es-PE"/>
        </w:rPr>
      </w:pPr>
    </w:p>
    <w:p w:rsidRPr="007D196C" w:rsidR="007D196C" w:rsidP="007D196C" w:rsidRDefault="007D196C" w14:paraId="404EC8D8" w14:textId="77777777">
      <w:pPr>
        <w:jc w:val="both"/>
        <w:rPr>
          <w:bCs/>
          <w:lang w:val="es-PE"/>
        </w:rPr>
      </w:pPr>
      <w:r w:rsidRPr="007D196C">
        <w:rPr>
          <w:b/>
          <w:bCs/>
          <w:u w:val="single"/>
          <w:lang w:val="es-PE"/>
        </w:rPr>
        <w:t>Segundo</w:t>
      </w:r>
      <w:r w:rsidRPr="007D196C">
        <w:rPr>
          <w:b/>
          <w:bCs/>
          <w:lang w:val="es-PE"/>
        </w:rPr>
        <w:t>:</w:t>
      </w:r>
      <w:r w:rsidRPr="007D196C">
        <w:rPr>
          <w:bCs/>
          <w:lang w:val="es-PE"/>
        </w:rPr>
        <w:t xml:space="preserve"> </w:t>
      </w:r>
      <w:r w:rsidRPr="007D196C">
        <w:rPr>
          <w:lang w:val="es-PE"/>
        </w:rPr>
        <w:t xml:space="preserve">Asimismo, </w:t>
      </w:r>
      <w:proofErr w:type="gramStart"/>
      <w:r w:rsidRPr="007D196C">
        <w:rPr>
          <w:lang w:val="es-PE"/>
        </w:rPr>
        <w:t>de acuerdo a</w:t>
      </w:r>
      <w:proofErr w:type="gramEnd"/>
      <w:r w:rsidRPr="007D196C">
        <w:rPr>
          <w:lang w:val="es-PE"/>
        </w:rPr>
        <w:t xml:space="preserve"> </w:t>
      </w:r>
      <w:r w:rsidRPr="007D196C">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7D196C" w:rsidR="007D196C" w:rsidP="007D196C" w:rsidRDefault="007D196C" w14:paraId="297BEDDF" w14:textId="77777777">
      <w:pPr>
        <w:jc w:val="both"/>
        <w:rPr>
          <w:bCs/>
          <w:lang w:val="es-PE"/>
        </w:rPr>
      </w:pPr>
    </w:p>
    <w:p w:rsidRPr="007D196C" w:rsidR="007D196C" w:rsidP="007D196C" w:rsidRDefault="007D196C" w14:paraId="126150F7" w14:textId="77777777">
      <w:pPr>
        <w:jc w:val="both"/>
      </w:pPr>
      <w:r w:rsidRPr="007D196C">
        <w:rPr>
          <w:b/>
          <w:bCs/>
          <w:u w:val="single"/>
          <w:lang w:val="es-PE"/>
        </w:rPr>
        <w:t>Tercero</w:t>
      </w:r>
      <w:r w:rsidRPr="007D196C">
        <w:rPr>
          <w:b/>
          <w:bCs/>
          <w:lang w:val="es-PE"/>
        </w:rPr>
        <w:t>:</w:t>
      </w:r>
      <w:r w:rsidRPr="007D196C">
        <w:rPr>
          <w:lang w:val="es-PE"/>
        </w:rPr>
        <w:t xml:space="preserve"> Que, de acuerdo a la Ley Nro. </w:t>
      </w:r>
      <w:r w:rsidRPr="007D196C">
        <w:t xml:space="preserve">29946 – Ley del Contrato de Seguro, norma legal vigente con ocasión de la celebración del contrato al cual se contrae el presente caso, </w:t>
      </w:r>
      <w:r w:rsidRPr="007D196C">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D196C" w:rsidR="007D196C" w:rsidP="007D196C" w:rsidRDefault="007D196C" w14:paraId="3A6BDC1D" w14:textId="77777777">
      <w:pPr>
        <w:jc w:val="both"/>
        <w:rPr>
          <w:b/>
          <w:u w:val="single"/>
          <w:lang w:val="es-PE"/>
        </w:rPr>
      </w:pPr>
    </w:p>
    <w:p w:rsidRPr="007D196C" w:rsidR="007D196C" w:rsidP="007D196C" w:rsidRDefault="007D196C" w14:paraId="56E809D8" w14:textId="77777777">
      <w:pPr>
        <w:jc w:val="both"/>
        <w:rPr>
          <w:lang w:val="es-PE"/>
        </w:rPr>
      </w:pPr>
      <w:r w:rsidRPr="007D196C">
        <w:rPr>
          <w:b/>
          <w:u w:val="single"/>
          <w:lang w:val="es-PE"/>
        </w:rPr>
        <w:t>Cuarto</w:t>
      </w:r>
      <w:r w:rsidRPr="007D196C">
        <w:rPr>
          <w:b/>
          <w:lang w:val="es-PE"/>
        </w:rPr>
        <w:t>:</w:t>
      </w:r>
      <w:r w:rsidRPr="007D196C">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7D196C" w:rsidR="007D196C" w:rsidP="007D196C" w:rsidRDefault="007D196C" w14:paraId="1ECE7DFC" w14:textId="77777777">
      <w:pPr>
        <w:jc w:val="both"/>
        <w:rPr>
          <w:bCs/>
        </w:rPr>
      </w:pPr>
    </w:p>
    <w:p w:rsidRPr="007D196C" w:rsidR="007D196C" w:rsidP="007D196C" w:rsidRDefault="007D196C" w14:paraId="72C3F034" w14:textId="77777777">
      <w:pPr>
        <w:jc w:val="both"/>
      </w:pPr>
      <w:r w:rsidRPr="007D196C">
        <w:rPr>
          <w:b/>
          <w:bCs/>
          <w:u w:val="single"/>
          <w:lang w:val="es-PE"/>
        </w:rPr>
        <w:t>Quinto</w:t>
      </w:r>
      <w:r w:rsidRPr="007D196C">
        <w:rPr>
          <w:b/>
          <w:bCs/>
          <w:lang w:val="es-PE"/>
        </w:rPr>
        <w:t xml:space="preserve">: </w:t>
      </w:r>
      <w:r w:rsidRPr="007D196C">
        <w:rPr>
          <w:bCs/>
          <w:lang w:val="es-PE"/>
        </w:rPr>
        <w:t>Que, conforme al</w:t>
      </w:r>
      <w:r w:rsidRPr="007D196C">
        <w:rPr>
          <w:b/>
          <w:bCs/>
          <w:lang w:val="es-PE"/>
        </w:rPr>
        <w:t xml:space="preserve"> </w:t>
      </w:r>
      <w:r w:rsidRPr="007D196C">
        <w:rPr>
          <w:lang w:val="es-PE"/>
        </w:rPr>
        <w:t>artículo 196 del Código Procesal Civil, la carga de la prueba corresponde a quien afirma hechos que configuran su pretensión, o a quien los contradice alegando nuevos hechos, salvo disposición legal diferente.</w:t>
      </w:r>
    </w:p>
    <w:p w:rsidRPr="007D196C" w:rsidR="007D196C" w:rsidP="007D196C" w:rsidRDefault="007D196C" w14:paraId="61E2FBEA" w14:textId="77777777">
      <w:pPr>
        <w:jc w:val="both"/>
        <w:rPr>
          <w:lang w:val="es-PE"/>
        </w:rPr>
      </w:pPr>
    </w:p>
    <w:p w:rsidRPr="007D196C" w:rsidR="007D196C" w:rsidP="007D196C" w:rsidRDefault="007D196C" w14:paraId="5BE7381E" w14:textId="77777777">
      <w:pPr>
        <w:tabs>
          <w:tab w:val="left" w:pos="2160"/>
        </w:tabs>
        <w:jc w:val="both"/>
        <w:rPr>
          <w:lang w:val="es-PE"/>
        </w:rPr>
      </w:pPr>
      <w:r w:rsidRPr="007D196C">
        <w:rPr>
          <w:b/>
          <w:u w:val="single"/>
        </w:rPr>
        <w:t>Sexto</w:t>
      </w:r>
      <w:r w:rsidRPr="007D196C">
        <w:rPr>
          <w:b/>
        </w:rPr>
        <w:t>:</w:t>
      </w:r>
      <w:r w:rsidRPr="007D196C">
        <w:rPr>
          <w:b/>
          <w:lang w:val="es-PE"/>
        </w:rPr>
        <w:t xml:space="preserve"> </w:t>
      </w:r>
      <w:r w:rsidRPr="007D196C">
        <w:rPr>
          <w:lang w:val="es-PE"/>
        </w:rPr>
        <w:t>Sobre la base de los términos contenidos en la reclamación</w:t>
      </w:r>
      <w:r w:rsidRPr="007D196C">
        <w:rPr>
          <w:lang w:val="es-419"/>
        </w:rPr>
        <w:t xml:space="preserve"> y </w:t>
      </w:r>
      <w:r w:rsidRPr="007D196C">
        <w:rPr>
          <w:lang w:val="es-PE"/>
        </w:rPr>
        <w:t>a lo tratado en la audiencia de vista, las cuestiones controvertidas radican en lo siguiente: (i) ¿El rechazo de cobertura fue comunicado al asegurado dentro del plazo de los treinta (30) días de presentada la solicitud de cobertura con la documentación exigida en la póliza para el pago del siniestro? y (</w:t>
      </w:r>
      <w:proofErr w:type="spellStart"/>
      <w:r w:rsidRPr="007D196C">
        <w:rPr>
          <w:lang w:val="es-PE"/>
        </w:rPr>
        <w:t>ii</w:t>
      </w:r>
      <w:proofErr w:type="spellEnd"/>
      <w:r w:rsidRPr="007D196C">
        <w:rPr>
          <w:lang w:val="es-PE"/>
        </w:rPr>
        <w:t>) De haberse configurado efectivamente la exclusión invocada para fines del rechazo, ¿la misma está prevista en el contrato de seguro y resulta siendo oponible al asegurado no contratante del respectivo seguro?</w:t>
      </w:r>
    </w:p>
    <w:p w:rsidRPr="007D196C" w:rsidR="007D196C" w:rsidP="007D196C" w:rsidRDefault="007D196C" w14:paraId="5060B741" w14:textId="77777777">
      <w:pPr>
        <w:tabs>
          <w:tab w:val="left" w:pos="2160"/>
        </w:tabs>
        <w:jc w:val="both"/>
        <w:rPr>
          <w:lang w:val="es-PE"/>
        </w:rPr>
      </w:pPr>
    </w:p>
    <w:p w:rsidRPr="007D196C" w:rsidR="007D196C" w:rsidP="007D196C" w:rsidRDefault="007D196C" w14:paraId="29632915" w14:textId="77777777">
      <w:pPr>
        <w:tabs>
          <w:tab w:val="left" w:pos="2160"/>
        </w:tabs>
        <w:jc w:val="both"/>
        <w:rPr>
          <w:lang w:val="es-PE"/>
        </w:rPr>
      </w:pPr>
      <w:r w:rsidRPr="007D196C">
        <w:rPr>
          <w:lang w:val="es-PE"/>
        </w:rPr>
        <w:t>Este colegiado destaca que tales interrogantes fueron planteadas en la audiencia de vista virtual, en atención a que la DEFASEG resuelve las reclamaciones sometidas a su conocimiento con arreglo a derecho.  Asimismo, se destaca que, no exigiéndose reglamentariamente de asistencia de letrado para fines de la interposición de reclamaciones, corresponde a esta Defensoría verificar que para fines de un rechazo se haya cumplido estrictamente con las exigencias legales aplicables, por más que cualquier infracción no hubiese sido invocada por el asegurado, atendiendo a la asimetría informativa sobre el marco regulatorio al  contrato de seguro, al régimen de póliza grupales y al rechazo de siniestros, conocimiento que definitivamente está al alcance de las aseguradoras y de sus abogados, por el desarrollo de sus actividades.</w:t>
      </w:r>
    </w:p>
    <w:p w:rsidRPr="007D196C" w:rsidR="007D196C" w:rsidP="007D196C" w:rsidRDefault="007D196C" w14:paraId="5C2BD6C1" w14:textId="77777777">
      <w:pPr>
        <w:tabs>
          <w:tab w:val="left" w:pos="2160"/>
        </w:tabs>
        <w:jc w:val="both"/>
        <w:rPr>
          <w:lang w:val="es-PE"/>
        </w:rPr>
      </w:pPr>
    </w:p>
    <w:p w:rsidRPr="007D196C" w:rsidR="007D196C" w:rsidP="007D196C" w:rsidRDefault="007D196C" w14:paraId="18DA98EF" w14:textId="77777777">
      <w:pPr>
        <w:tabs>
          <w:tab w:val="left" w:pos="2160"/>
        </w:tabs>
        <w:jc w:val="both"/>
        <w:rPr>
          <w:b/>
          <w:bCs/>
          <w:lang w:val="es-PE"/>
        </w:rPr>
      </w:pPr>
      <w:r w:rsidRPr="007D196C">
        <w:rPr>
          <w:b/>
          <w:bCs/>
          <w:lang w:val="es-PE"/>
        </w:rPr>
        <w:t xml:space="preserve">Sobre el siniestro </w:t>
      </w:r>
      <w:proofErr w:type="gramStart"/>
      <w:r w:rsidRPr="007D196C">
        <w:rPr>
          <w:b/>
          <w:bCs/>
          <w:lang w:val="es-PE"/>
        </w:rPr>
        <w:t>consentido.-</w:t>
      </w:r>
      <w:proofErr w:type="gramEnd"/>
    </w:p>
    <w:p w:rsidRPr="007D196C" w:rsidR="007D196C" w:rsidP="007D196C" w:rsidRDefault="007D196C" w14:paraId="1529D51B" w14:textId="77777777">
      <w:pPr>
        <w:tabs>
          <w:tab w:val="left" w:pos="2160"/>
        </w:tabs>
        <w:jc w:val="both"/>
        <w:rPr>
          <w:b/>
          <w:bCs/>
          <w:lang w:val="es-PE"/>
        </w:rPr>
      </w:pPr>
    </w:p>
    <w:p w:rsidRPr="007D196C" w:rsidR="007D196C" w:rsidP="007D196C" w:rsidRDefault="007D196C" w14:paraId="00E11CD8" w14:textId="77777777">
      <w:pPr>
        <w:tabs>
          <w:tab w:val="left" w:pos="709"/>
          <w:tab w:val="left" w:pos="2160"/>
        </w:tabs>
        <w:ind w:left="705" w:hanging="705"/>
        <w:jc w:val="both"/>
        <w:rPr>
          <w:rFonts w:eastAsiaTheme="minorHAnsi"/>
          <w:lang w:val="es-PE" w:eastAsia="en-US"/>
        </w:rPr>
      </w:pPr>
      <w:r w:rsidRPr="007D196C">
        <w:rPr>
          <w:lang w:val="es-PE"/>
        </w:rPr>
        <w:t xml:space="preserve">6.1. </w:t>
      </w:r>
      <w:r w:rsidRPr="007D196C">
        <w:rPr>
          <w:lang w:val="es-PE"/>
        </w:rPr>
        <w:tab/>
      </w:r>
      <w:r w:rsidRPr="007D196C">
        <w:rPr>
          <w:lang w:val="es-PE"/>
        </w:rPr>
        <w:t>En lo que se refiere a la oportunidad del pronunciamiento de la aseguradora respecto de una solicitud de cobertura derivada de la ocurrencia de un siniestro, el artículo 74 de la Ley Nro. 29946 – Ley del Contrato de Seguro dispone lo siguiente:</w:t>
      </w:r>
    </w:p>
    <w:p w:rsidRPr="007D196C" w:rsidR="007D196C" w:rsidP="007D196C" w:rsidRDefault="007D196C" w14:paraId="571C2824" w14:textId="77777777">
      <w:pPr>
        <w:tabs>
          <w:tab w:val="left" w:pos="2160"/>
        </w:tabs>
        <w:jc w:val="both"/>
        <w:rPr>
          <w:i/>
          <w:lang w:val="es-PE"/>
        </w:rPr>
      </w:pPr>
    </w:p>
    <w:p w:rsidRPr="007D196C" w:rsidR="007D196C" w:rsidP="007D196C" w:rsidRDefault="007D196C" w14:paraId="6E3CC438" w14:textId="77777777">
      <w:pPr>
        <w:autoSpaceDE w:val="0"/>
        <w:autoSpaceDN w:val="0"/>
        <w:adjustRightInd w:val="0"/>
        <w:ind w:left="709"/>
        <w:jc w:val="both"/>
        <w:rPr>
          <w:i/>
          <w:lang w:val="es-PE"/>
        </w:rPr>
      </w:pPr>
      <w:r w:rsidRPr="007D196C">
        <w:rPr>
          <w:i/>
          <w:lang w:val="es-PE"/>
        </w:rPr>
        <w:t xml:space="preserve">“El pago de la indemnización o el capital asegurado que se realice directamente a los asegurados, beneficiarios y/ o endosatarios, deberá efectuarse en un plazo no mayor de treinta (30) días siguientes de consentido el siniestro. </w:t>
      </w:r>
    </w:p>
    <w:p w:rsidRPr="007D196C" w:rsidR="007D196C" w:rsidP="007D196C" w:rsidRDefault="007D196C" w14:paraId="2C40872A" w14:textId="77777777">
      <w:pPr>
        <w:autoSpaceDE w:val="0"/>
        <w:autoSpaceDN w:val="0"/>
        <w:adjustRightInd w:val="0"/>
        <w:ind w:left="709"/>
        <w:jc w:val="both"/>
        <w:rPr>
          <w:i/>
          <w:lang w:val="es-PE"/>
        </w:rPr>
      </w:pPr>
      <w:r w:rsidRPr="007D196C">
        <w:rPr>
          <w:i/>
          <w:lang w:val="es-PE"/>
        </w:rPr>
        <w:t xml:space="preserve">Se entiende consentido el siniestro, cuando la compañía aseguradora aprueba o no ha rechazado el convenio de ajuste debidamente firmado por el asegurado en un plazo no mayor de diez (10) días contados desde su suscripción y notificación al asegurador. En el caso de que la aseguradora no esté de acuerdo con el ajuste señalado en el convenio, puede exigir un nuevo ajuste en un plazo no mayor de treinta (30) días, para consentir o rechazar el siniestro, determinar un nuevo monto o proponer acudir a la cláusula de arbitraje o a la vía judicial. </w:t>
      </w:r>
    </w:p>
    <w:p w:rsidRPr="007D196C" w:rsidR="007D196C" w:rsidP="007D196C" w:rsidRDefault="007D196C" w14:paraId="428E229C" w14:textId="77777777">
      <w:pPr>
        <w:autoSpaceDE w:val="0"/>
        <w:autoSpaceDN w:val="0"/>
        <w:adjustRightInd w:val="0"/>
        <w:ind w:left="709"/>
        <w:jc w:val="both"/>
        <w:rPr>
          <w:i/>
          <w:lang w:val="es-PE"/>
        </w:rPr>
      </w:pPr>
      <w:r w:rsidRPr="007D196C">
        <w:rPr>
          <w:i/>
          <w:lang w:val="es-PE"/>
        </w:rPr>
        <w:t xml:space="preserve">En los casos en que, objetivamente, no exista convenio de ajuste, sea porque no se ha requerido la participación del ajustador o este aún no ha concluido su informe, </w:t>
      </w:r>
      <w:r w:rsidRPr="007D196C">
        <w:rPr>
          <w:b/>
          <w:i/>
          <w:lang w:val="es-PE"/>
        </w:rPr>
        <w:t xml:space="preserve">se entenderá como consentido el siniestro cuando la aseguradora no se haya pronunciado sobre el monto reclamado en un plazo que no exceda de los treinta (30) días contados desde la fecha de haberse completado toda la documentación exigida en la póliza para el pago del siniestro, </w:t>
      </w:r>
      <w:r w:rsidRPr="007D196C">
        <w:rPr>
          <w:i/>
          <w:lang w:val="es-PE"/>
        </w:rPr>
        <w:t xml:space="preserve">salvo lo señalado en el párrafo siguiente. </w:t>
      </w:r>
    </w:p>
    <w:p w:rsidRPr="007D196C" w:rsidR="007D196C" w:rsidP="007D196C" w:rsidRDefault="007D196C" w14:paraId="61D29808" w14:textId="77777777">
      <w:pPr>
        <w:autoSpaceDE w:val="0"/>
        <w:autoSpaceDN w:val="0"/>
        <w:adjustRightInd w:val="0"/>
        <w:ind w:left="709"/>
        <w:jc w:val="both"/>
        <w:rPr>
          <w:i/>
          <w:lang w:val="es-PE"/>
        </w:rPr>
      </w:pPr>
      <w:r w:rsidRPr="007D196C">
        <w:rPr>
          <w:i/>
          <w:lang w:val="es-PE"/>
        </w:rPr>
        <w:t xml:space="preserve">Cuando el ajustador requiere contar con un plazo mayor para concluir su informe podrá presentar solicitud debidamente fundamentada por única vez a la Superintendencia precisando las razones técnicas y el plazo requerido, bajo responsabilidad. La Superintendencia se pronunciará de manera motivada sobre dicha solicitud en un plazo máximo de treinta (30) días, bajo responsabilidad. </w:t>
      </w:r>
    </w:p>
    <w:p w:rsidRPr="007D196C" w:rsidR="007D196C" w:rsidP="007D196C" w:rsidRDefault="007D196C" w14:paraId="671F512E" w14:textId="77777777">
      <w:pPr>
        <w:autoSpaceDE w:val="0"/>
        <w:autoSpaceDN w:val="0"/>
        <w:adjustRightInd w:val="0"/>
        <w:ind w:left="709"/>
        <w:jc w:val="both"/>
        <w:rPr>
          <w:i/>
          <w:lang w:val="es-PE"/>
        </w:rPr>
      </w:pPr>
      <w:r w:rsidRPr="007D196C">
        <w:rPr>
          <w:i/>
          <w:lang w:val="es-PE"/>
        </w:rPr>
        <w:t xml:space="preserve">Asimismo, cuando la aseguradora requiera contar con un plazo mayor para realizar investigaciones adicionales u obtener evidencias suficientes sobre la procedencia del siniestro o para la adecuada determinación de su monto, y el asegurado no apruebe, en el caso específico, la ampliación de dicho plazo, la aseguradora podrá presentar solicitud debidamente justificada por única vez y, requiriendo un plazo no mayor al original, a la Superintendencia dentro de los referidos treinta días. </w:t>
      </w:r>
    </w:p>
    <w:p w:rsidRPr="007D196C" w:rsidR="007D196C" w:rsidP="007D196C" w:rsidRDefault="007D196C" w14:paraId="377A4F97" w14:textId="77777777">
      <w:pPr>
        <w:autoSpaceDE w:val="0"/>
        <w:autoSpaceDN w:val="0"/>
        <w:adjustRightInd w:val="0"/>
        <w:ind w:left="709"/>
        <w:jc w:val="both"/>
        <w:rPr>
          <w:i/>
          <w:lang w:val="es-PE"/>
        </w:rPr>
      </w:pPr>
      <w:r w:rsidRPr="007D196C">
        <w:rPr>
          <w:i/>
          <w:lang w:val="es-PE"/>
        </w:rPr>
        <w:t xml:space="preserve">La Superintendencia se pronunciará de manera motivada sobre dicha solicitud en un plazo máximo de treinta (30) días, bajo responsabilidad. A falta de pronunciamiento dentro de dicho plazo, se entiende aprobada la solicitud. </w:t>
      </w:r>
    </w:p>
    <w:p w:rsidRPr="007D196C" w:rsidR="007D196C" w:rsidP="007D196C" w:rsidRDefault="007D196C" w14:paraId="6A4C33B0" w14:textId="77777777">
      <w:pPr>
        <w:autoSpaceDE w:val="0"/>
        <w:autoSpaceDN w:val="0"/>
        <w:adjustRightInd w:val="0"/>
        <w:ind w:left="709"/>
        <w:jc w:val="both"/>
        <w:rPr>
          <w:lang w:val="es-PE"/>
        </w:rPr>
      </w:pPr>
      <w:r w:rsidRPr="007D196C">
        <w:rPr>
          <w:i/>
          <w:lang w:val="es-PE"/>
        </w:rPr>
        <w:t>En caso de mora de la empresa de seguros, ésta pagará al asegurado un interés moratorio equivalente a uno punco (1.5) veces la tasa promedio para las operaciones activas en el Perú, en la moneda en que se encuentre expresado el contrato de seguro por todo el tiempo de la mora”.</w:t>
      </w:r>
      <w:r w:rsidRPr="007D196C">
        <w:rPr>
          <w:lang w:val="es-PE"/>
        </w:rPr>
        <w:tab/>
      </w:r>
      <w:r w:rsidRPr="007D196C">
        <w:rPr>
          <w:lang w:val="es-PE"/>
        </w:rPr>
        <w:t>Lo destacado con negrita es nuestro.</w:t>
      </w:r>
    </w:p>
    <w:p w:rsidRPr="007D196C" w:rsidR="007D196C" w:rsidP="007D196C" w:rsidRDefault="007D196C" w14:paraId="0867CCFE" w14:textId="77777777">
      <w:pPr>
        <w:tabs>
          <w:tab w:val="left" w:pos="709"/>
          <w:tab w:val="left" w:pos="2160"/>
        </w:tabs>
        <w:ind w:left="705" w:hanging="705"/>
        <w:jc w:val="both"/>
        <w:rPr>
          <w:lang w:val="es-PE"/>
        </w:rPr>
      </w:pPr>
      <w:r w:rsidRPr="007D196C">
        <w:rPr>
          <w:lang w:val="es-PE"/>
        </w:rPr>
        <w:t>6.2.</w:t>
      </w:r>
      <w:r w:rsidRPr="007D196C">
        <w:rPr>
          <w:lang w:val="es-PE"/>
        </w:rPr>
        <w:tab/>
      </w:r>
      <w:r w:rsidRPr="007D196C">
        <w:rPr>
          <w:lang w:val="es-PE"/>
        </w:rPr>
        <w:t>De manera complementaria, los artículos 11 (Liquidación del siniestro cuando no interviene un ajustador) y 12 del Reglamento para la Gestión y Pago de Siniestros, aprobado mediante Resolución SBS Nro. 3202-2013, establecen lo siguiente:</w:t>
      </w:r>
    </w:p>
    <w:p w:rsidRPr="007D196C" w:rsidR="007D196C" w:rsidP="007D196C" w:rsidRDefault="007D196C" w14:paraId="112FEEE3" w14:textId="77777777">
      <w:pPr>
        <w:pStyle w:val="Default"/>
        <w:ind w:left="709"/>
        <w:jc w:val="both"/>
        <w:rPr>
          <w:rFonts w:ascii="Times New Roman" w:hAnsi="Times New Roman" w:cs="Times New Roman"/>
          <w:i/>
        </w:rPr>
      </w:pPr>
      <w:r w:rsidRPr="007D196C">
        <w:rPr>
          <w:rFonts w:ascii="Times New Roman" w:hAnsi="Times New Roman" w:cs="Times New Roman"/>
          <w:i/>
        </w:rPr>
        <w:t>" Artículo 11</w:t>
      </w:r>
      <w:proofErr w:type="gramStart"/>
      <w:r w:rsidRPr="007D196C">
        <w:rPr>
          <w:rFonts w:ascii="Times New Roman" w:hAnsi="Times New Roman" w:cs="Times New Roman"/>
          <w:i/>
        </w:rPr>
        <w:t>°.-</w:t>
      </w:r>
      <w:proofErr w:type="gramEnd"/>
      <w:r w:rsidRPr="007D196C">
        <w:rPr>
          <w:rFonts w:ascii="Times New Roman" w:hAnsi="Times New Roman" w:cs="Times New Roman"/>
          <w:i/>
        </w:rPr>
        <w:t xml:space="preserve"> Liquidación del siniestro cuando no interviene un ajustador</w:t>
      </w:r>
    </w:p>
    <w:p w:rsidRPr="007D196C" w:rsidR="007D196C" w:rsidP="007D196C" w:rsidRDefault="007D196C" w14:paraId="76EC404C" w14:textId="77777777">
      <w:pPr>
        <w:pStyle w:val="Default"/>
        <w:ind w:left="709"/>
        <w:jc w:val="both"/>
        <w:rPr>
          <w:rFonts w:ascii="Times New Roman" w:hAnsi="Times New Roman" w:cs="Times New Roman"/>
          <w:i/>
        </w:rPr>
      </w:pPr>
      <w:r w:rsidRPr="007D196C">
        <w:rPr>
          <w:rFonts w:ascii="Times New Roman" w:hAnsi="Times New Roman" w:cs="Times New Roman"/>
          <w:i/>
        </w:rPr>
        <w:t xml:space="preserve">Dentro de los treinta (30) días siguientes a la fecha de haber recibido la documentación e información completa exigida en la póliza para el proceso de liquidación del siniestro, la empresa deberá pronunciarse sobre el consentimiento o rechazo del siniestro.  En caso la empresa requiera aclaraciones o precisiones adicionales respecto de la documentación e información presentada por el </w:t>
      </w:r>
      <w:r w:rsidRPr="007D196C">
        <w:rPr>
          <w:rFonts w:ascii="Times New Roman" w:hAnsi="Times New Roman" w:cs="Times New Roman"/>
          <w:i/>
        </w:rPr>
        <w:t>asegurado, deberá solicitarlas dentro de los primeros veinte (20) días del plazo ante señalado; lo que suspenderá el plazo hasta que se presente la documentación e información correspondiente.</w:t>
      </w:r>
    </w:p>
    <w:p w:rsidRPr="007D196C" w:rsidR="007D196C" w:rsidP="007D196C" w:rsidRDefault="007D196C" w14:paraId="606B8889" w14:textId="77777777">
      <w:pPr>
        <w:pStyle w:val="Default"/>
        <w:ind w:left="705"/>
        <w:jc w:val="both"/>
        <w:rPr>
          <w:rFonts w:ascii="Times New Roman" w:hAnsi="Times New Roman" w:cs="Times New Roman"/>
          <w:b/>
          <w:i/>
        </w:rPr>
      </w:pPr>
    </w:p>
    <w:p w:rsidRPr="007D196C" w:rsidR="007D196C" w:rsidP="007D196C" w:rsidRDefault="007D196C" w14:paraId="1861E363" w14:textId="77777777">
      <w:pPr>
        <w:pStyle w:val="Default"/>
        <w:ind w:left="705"/>
        <w:jc w:val="both"/>
        <w:rPr>
          <w:rFonts w:ascii="Times New Roman" w:hAnsi="Times New Roman" w:cs="Times New Roman"/>
          <w:iCs/>
        </w:rPr>
      </w:pPr>
      <w:r w:rsidRPr="007D196C">
        <w:rPr>
          <w:rFonts w:ascii="Times New Roman" w:hAnsi="Times New Roman" w:cs="Times New Roman"/>
          <w:b/>
          <w:i/>
        </w:rPr>
        <w:t xml:space="preserve">Si la empresa no se pronuncia dentro del plazo de treinta (30) días a que se refiere el párrafo anterior, se entenderá que el siniestro ha quedado consentido, salvo que se presente una solicitud de prórroga del plazo con que cuenta la empresa para consentir o rechazar el siniestro, </w:t>
      </w:r>
      <w:r w:rsidRPr="007D196C">
        <w:rPr>
          <w:rFonts w:ascii="Times New Roman" w:hAnsi="Times New Roman" w:cs="Times New Roman"/>
          <w:i/>
        </w:rPr>
        <w:t xml:space="preserve">conforme a lo señalado en el artículo siguiente". </w:t>
      </w:r>
      <w:r w:rsidRPr="007D196C">
        <w:rPr>
          <w:rFonts w:ascii="Times New Roman" w:hAnsi="Times New Roman" w:cs="Times New Roman"/>
          <w:iCs/>
        </w:rPr>
        <w:t>Lo destacado con negrita es nuestro.</w:t>
      </w:r>
    </w:p>
    <w:p w:rsidRPr="007D196C" w:rsidR="007D196C" w:rsidP="007D196C" w:rsidRDefault="007D196C" w14:paraId="7E5D0ADA" w14:textId="77777777">
      <w:pPr>
        <w:pStyle w:val="Default"/>
        <w:ind w:left="705"/>
        <w:jc w:val="both"/>
        <w:rPr>
          <w:rFonts w:ascii="Times New Roman" w:hAnsi="Times New Roman" w:cs="Times New Roman"/>
          <w:iCs/>
        </w:rPr>
      </w:pPr>
    </w:p>
    <w:p w:rsidRPr="007D196C" w:rsidR="007D196C" w:rsidP="007D196C" w:rsidRDefault="007D196C" w14:paraId="52764EBF" w14:textId="77777777">
      <w:pPr>
        <w:pStyle w:val="Default"/>
        <w:ind w:left="709"/>
        <w:jc w:val="both"/>
        <w:rPr>
          <w:rFonts w:ascii="Times New Roman" w:hAnsi="Times New Roman" w:cs="Times New Roman"/>
          <w:i/>
        </w:rPr>
      </w:pPr>
      <w:r w:rsidRPr="007D196C">
        <w:rPr>
          <w:rFonts w:ascii="Times New Roman" w:hAnsi="Times New Roman" w:cs="Times New Roman"/>
          <w:i/>
        </w:rPr>
        <w:t>Artículo 12</w:t>
      </w:r>
      <w:proofErr w:type="gramStart"/>
      <w:r w:rsidRPr="007D196C">
        <w:rPr>
          <w:rFonts w:ascii="Times New Roman" w:hAnsi="Times New Roman" w:cs="Times New Roman"/>
          <w:i/>
        </w:rPr>
        <w:t>°.-</w:t>
      </w:r>
      <w:proofErr w:type="gramEnd"/>
      <w:r w:rsidRPr="007D196C">
        <w:rPr>
          <w:rFonts w:ascii="Times New Roman" w:hAnsi="Times New Roman" w:cs="Times New Roman"/>
          <w:i/>
        </w:rPr>
        <w:t xml:space="preserve"> Solicitud de prórroga de la empresa </w:t>
      </w:r>
    </w:p>
    <w:p w:rsidRPr="007D196C" w:rsidR="007D196C" w:rsidP="007D196C" w:rsidRDefault="007D196C" w14:paraId="1FB7D17A" w14:textId="77777777">
      <w:pPr>
        <w:pStyle w:val="Default"/>
        <w:ind w:left="709"/>
        <w:jc w:val="both"/>
        <w:rPr>
          <w:rFonts w:ascii="Times New Roman" w:hAnsi="Times New Roman" w:cs="Times New Roman"/>
          <w:i/>
        </w:rPr>
      </w:pPr>
      <w:r w:rsidRPr="007D196C">
        <w:rPr>
          <w:rFonts w:ascii="Times New Roman" w:hAnsi="Times New Roman" w:cs="Times New Roman"/>
          <w:i/>
        </w:rPr>
        <w:t xml:space="preserve">Cuando la empresa requiera un plazo adicional para realizar nuevas investigaciones u obtener evidencias relacionadas con el siniestro, o la adecuada determinación de la indemnización o prestación a su cargo, podrá solicitar al asegurado la extensión del plazo antes señalado; en caso contrario, se sujetará al procedimiento 91° establecido en el Texto Único de Procedimientos Administrativos de la Superintendencia.  </w:t>
      </w:r>
    </w:p>
    <w:p w:rsidRPr="007D196C" w:rsidR="007D196C" w:rsidP="007D196C" w:rsidRDefault="007D196C" w14:paraId="69EBF1DC" w14:textId="77777777">
      <w:pPr>
        <w:pStyle w:val="Default"/>
        <w:ind w:left="709"/>
        <w:jc w:val="both"/>
        <w:rPr>
          <w:rFonts w:ascii="Times New Roman" w:hAnsi="Times New Roman" w:cs="Times New Roman"/>
          <w:i/>
        </w:rPr>
      </w:pPr>
    </w:p>
    <w:p w:rsidRPr="007D196C" w:rsidR="007D196C" w:rsidP="007D196C" w:rsidRDefault="007D196C" w14:paraId="1BAA7C23" w14:textId="77777777">
      <w:pPr>
        <w:pStyle w:val="Default"/>
        <w:ind w:left="709"/>
        <w:jc w:val="both"/>
        <w:rPr>
          <w:rFonts w:ascii="Times New Roman" w:hAnsi="Times New Roman" w:cs="Times New Roman"/>
          <w:i/>
        </w:rPr>
      </w:pPr>
      <w:r w:rsidRPr="007D196C">
        <w:rPr>
          <w:rFonts w:ascii="Times New Roman" w:hAnsi="Times New Roman" w:cs="Times New Roman"/>
          <w:i/>
        </w:rPr>
        <w:t xml:space="preserve">La presentación de la solicitud de prórroga efectuada a la Superintendencia debe comunicarse al asegurado dentro de los tres (3) días siguientes de iniciado el procedimiento administrativo. Asimismo, el pronunciamiento de la Superintendencia deberá </w:t>
      </w:r>
      <w:proofErr w:type="gramStart"/>
      <w:r w:rsidRPr="007D196C">
        <w:rPr>
          <w:rFonts w:ascii="Times New Roman" w:hAnsi="Times New Roman" w:cs="Times New Roman"/>
          <w:i/>
        </w:rPr>
        <w:t>comunicarse  al</w:t>
      </w:r>
      <w:proofErr w:type="gramEnd"/>
      <w:r w:rsidRPr="007D196C">
        <w:rPr>
          <w:rFonts w:ascii="Times New Roman" w:hAnsi="Times New Roman" w:cs="Times New Roman"/>
          <w:i/>
        </w:rPr>
        <w:t xml:space="preserve"> asegurado en el mismo plazo antes señalado, contado a partir de la fecha en que el solicitante haya tomado conocimiento del pronunciamiento correspondiente.</w:t>
      </w:r>
    </w:p>
    <w:p w:rsidRPr="007D196C" w:rsidR="007D196C" w:rsidP="007D196C" w:rsidRDefault="007D196C" w14:paraId="7668FDD0" w14:textId="77777777">
      <w:pPr>
        <w:pStyle w:val="Default"/>
        <w:ind w:left="705"/>
        <w:jc w:val="both"/>
        <w:rPr>
          <w:rFonts w:ascii="Times New Roman" w:hAnsi="Times New Roman" w:cs="Times New Roman"/>
          <w:iCs/>
        </w:rPr>
      </w:pPr>
    </w:p>
    <w:p w:rsidRPr="007D196C" w:rsidR="007D196C" w:rsidP="007D196C" w:rsidRDefault="007D196C" w14:paraId="34DE101F" w14:textId="77777777">
      <w:pPr>
        <w:pStyle w:val="Default"/>
        <w:ind w:left="709"/>
        <w:jc w:val="both"/>
        <w:rPr>
          <w:rFonts w:ascii="Times New Roman" w:hAnsi="Times New Roman" w:cs="Times New Roman"/>
          <w:i/>
        </w:rPr>
      </w:pPr>
    </w:p>
    <w:p w:rsidRPr="007D196C" w:rsidR="007D196C" w:rsidP="007D196C" w:rsidRDefault="007D196C" w14:paraId="461D3CF8" w14:textId="77777777">
      <w:pPr>
        <w:tabs>
          <w:tab w:val="left" w:pos="709"/>
          <w:tab w:val="left" w:pos="2160"/>
        </w:tabs>
        <w:ind w:left="705" w:hanging="705"/>
        <w:jc w:val="both"/>
        <w:rPr>
          <w:lang w:val="es-PE"/>
        </w:rPr>
      </w:pPr>
      <w:r w:rsidRPr="007D196C">
        <w:rPr>
          <w:lang w:val="es-PE"/>
        </w:rPr>
        <w:t>6.3.</w:t>
      </w:r>
      <w:r w:rsidRPr="007D196C">
        <w:rPr>
          <w:lang w:val="es-PE"/>
        </w:rPr>
        <w:tab/>
      </w:r>
      <w:r w:rsidRPr="007D196C">
        <w:rPr>
          <w:lang w:val="es-PE"/>
        </w:rPr>
        <w:t>El reclamante ha informado la secuencia de hechos a través de la cual se envió la documentación requerida para evaluar el siniestro, así como se recibió la carta de rechazo, lo que a continuación se resume:</w:t>
      </w:r>
    </w:p>
    <w:p w:rsidRPr="007D196C" w:rsidR="007D196C" w:rsidP="007D196C" w:rsidRDefault="007D196C" w14:paraId="6AB8C969" w14:textId="77777777">
      <w:pPr>
        <w:tabs>
          <w:tab w:val="left" w:pos="709"/>
          <w:tab w:val="left" w:pos="2160"/>
        </w:tabs>
        <w:ind w:left="705" w:hanging="705"/>
        <w:jc w:val="both"/>
        <w:rPr>
          <w:lang w:val="es-PE"/>
        </w:rPr>
      </w:pPr>
    </w:p>
    <w:p w:rsidRPr="007D196C" w:rsidR="007D196C" w:rsidP="007D196C" w:rsidRDefault="007D196C" w14:paraId="4E13C0BF" w14:textId="77777777">
      <w:pPr>
        <w:pStyle w:val="Prrafodelista"/>
        <w:numPr>
          <w:ilvl w:val="0"/>
          <w:numId w:val="8"/>
        </w:numPr>
        <w:tabs>
          <w:tab w:val="left" w:pos="709"/>
          <w:tab w:val="left" w:pos="2160"/>
        </w:tabs>
        <w:jc w:val="both"/>
        <w:rPr>
          <w:lang w:val="es-PE"/>
        </w:rPr>
      </w:pPr>
      <w:r w:rsidRPr="007D196C">
        <w:rPr>
          <w:lang w:val="es-PE"/>
        </w:rPr>
        <w:t xml:space="preserve">18-05-21 La reclamante envía el certificado de defunción al banco por ambas partes como lo estaban solicitando y la historia clínica completa pero como no podían visualizarla por la cantidad de hojas, con fecha 19-05-2021 se le envía en nueve (9) correos que contenían la misma información. </w:t>
      </w:r>
    </w:p>
    <w:p w:rsidRPr="007D196C" w:rsidR="007D196C" w:rsidP="007D196C" w:rsidRDefault="007D196C" w14:paraId="66D64609" w14:textId="77777777">
      <w:pPr>
        <w:pStyle w:val="Prrafodelista"/>
        <w:tabs>
          <w:tab w:val="left" w:pos="709"/>
          <w:tab w:val="left" w:pos="2160"/>
        </w:tabs>
        <w:ind w:left="1065"/>
        <w:jc w:val="both"/>
        <w:rPr>
          <w:lang w:val="es-PE"/>
        </w:rPr>
      </w:pPr>
    </w:p>
    <w:p w:rsidRPr="007D196C" w:rsidR="007D196C" w:rsidP="007D196C" w:rsidRDefault="007D196C" w14:paraId="4549C1A1" w14:textId="77777777">
      <w:pPr>
        <w:pStyle w:val="Prrafodelista"/>
        <w:numPr>
          <w:ilvl w:val="0"/>
          <w:numId w:val="8"/>
        </w:numPr>
        <w:tabs>
          <w:tab w:val="left" w:pos="709"/>
          <w:tab w:val="left" w:pos="2160"/>
        </w:tabs>
        <w:jc w:val="both"/>
        <w:rPr>
          <w:lang w:val="es-PE"/>
        </w:rPr>
      </w:pPr>
      <w:r w:rsidRPr="007D196C">
        <w:rPr>
          <w:lang w:val="es-PE"/>
        </w:rPr>
        <w:t>09-06-21 La reclamante solicita información del seguro de desgravamen porque les seguían llegando cartas de cobranzas, llamadas, estados de cuenta a su hija y familiares.</w:t>
      </w:r>
    </w:p>
    <w:p w:rsidRPr="007D196C" w:rsidR="007D196C" w:rsidP="007D196C" w:rsidRDefault="007D196C" w14:paraId="399608B8" w14:textId="77777777">
      <w:pPr>
        <w:pStyle w:val="Prrafodelista"/>
        <w:rPr>
          <w:lang w:val="es-PE"/>
        </w:rPr>
      </w:pPr>
    </w:p>
    <w:p w:rsidRPr="007D196C" w:rsidR="007D196C" w:rsidP="007D196C" w:rsidRDefault="007D196C" w14:paraId="4BD93C68" w14:textId="77777777">
      <w:pPr>
        <w:pStyle w:val="Prrafodelista"/>
        <w:numPr>
          <w:ilvl w:val="0"/>
          <w:numId w:val="8"/>
        </w:numPr>
        <w:tabs>
          <w:tab w:val="left" w:pos="709"/>
          <w:tab w:val="left" w:pos="2160"/>
        </w:tabs>
        <w:jc w:val="both"/>
        <w:rPr>
          <w:lang w:val="es-PE"/>
        </w:rPr>
      </w:pPr>
      <w:r w:rsidRPr="007D196C">
        <w:rPr>
          <w:lang w:val="es-PE"/>
        </w:rPr>
        <w:t xml:space="preserve">11-06-21, la Analista de Seguros, funcionaria de </w:t>
      </w:r>
      <w:proofErr w:type="spellStart"/>
      <w:r w:rsidRPr="007D196C">
        <w:rPr>
          <w:lang w:val="es-PE"/>
        </w:rPr>
        <w:t>Banbif</w:t>
      </w:r>
      <w:proofErr w:type="spellEnd"/>
      <w:r w:rsidRPr="007D196C">
        <w:rPr>
          <w:lang w:val="es-PE"/>
        </w:rPr>
        <w:t xml:space="preserve"> le informa que el caso sigue en proceso de evaluación. La reclamante adjunta correo respectivo que obra en el expediente, luego de lo cual adjunta sucesivos correos del 30 de junio, 19 y 26 de julio consultando sobre el estado de su solicitud de cobertura.</w:t>
      </w:r>
    </w:p>
    <w:p w:rsidRPr="007D196C" w:rsidR="007D196C" w:rsidP="007D196C" w:rsidRDefault="007D196C" w14:paraId="67EF3925" w14:textId="77777777">
      <w:pPr>
        <w:pStyle w:val="Prrafodelista"/>
        <w:rPr>
          <w:lang w:val="es-PE"/>
        </w:rPr>
      </w:pPr>
    </w:p>
    <w:p w:rsidRPr="007D196C" w:rsidR="007D196C" w:rsidP="007D196C" w:rsidRDefault="007D196C" w14:paraId="5F7038B3" w14:textId="70855870">
      <w:pPr>
        <w:pStyle w:val="Prrafodelista"/>
        <w:numPr>
          <w:ilvl w:val="0"/>
          <w:numId w:val="8"/>
        </w:numPr>
        <w:tabs>
          <w:tab w:val="left" w:pos="709"/>
          <w:tab w:val="left" w:pos="2160"/>
        </w:tabs>
        <w:jc w:val="both"/>
        <w:rPr>
          <w:lang w:val="es-PE"/>
        </w:rPr>
      </w:pPr>
      <w:r w:rsidRPr="4A6418C7" w:rsidR="007D196C">
        <w:rPr>
          <w:lang w:val="es-PE"/>
        </w:rPr>
        <w:t xml:space="preserve">13-08-2021 La reclamante recibe un correo de la funcionaria del banco, que obra en el expediente, donde le indican que han observado la historia clínica presentada, por lo que solicitan el envío de la historia clínica que falta y adjuntan </w:t>
      </w:r>
      <w:r w:rsidRPr="4A6418C7" w:rsidR="007D196C">
        <w:rPr>
          <w:lang w:val="es-PE"/>
        </w:rPr>
        <w:t xml:space="preserve">la carta </w:t>
      </w:r>
      <w:r w:rsidRPr="4A6418C7" w:rsidR="1076A63B">
        <w:rPr>
          <w:lang w:val="es-PE"/>
        </w:rPr>
        <w:t>............................</w:t>
      </w:r>
      <w:r w:rsidRPr="4A6418C7" w:rsidR="007D196C">
        <w:rPr>
          <w:lang w:val="es-PE"/>
        </w:rPr>
        <w:t xml:space="preserve"> con fecha de emisión 23 de junio de 2021 pero que fue enviada el 13-08-2021.</w:t>
      </w:r>
    </w:p>
    <w:p w:rsidRPr="007D196C" w:rsidR="007D196C" w:rsidP="007D196C" w:rsidRDefault="007D196C" w14:paraId="6F3C1952" w14:textId="77777777">
      <w:pPr>
        <w:pStyle w:val="Prrafodelista"/>
        <w:rPr>
          <w:lang w:val="es-PE"/>
        </w:rPr>
      </w:pPr>
    </w:p>
    <w:p w:rsidRPr="007D196C" w:rsidR="007D196C" w:rsidP="007D196C" w:rsidRDefault="007D196C" w14:paraId="6FA44703" w14:textId="50A3EBA8">
      <w:pPr>
        <w:pStyle w:val="Prrafodelista"/>
        <w:numPr>
          <w:ilvl w:val="0"/>
          <w:numId w:val="8"/>
        </w:numPr>
        <w:tabs>
          <w:tab w:val="left" w:pos="709"/>
          <w:tab w:val="left" w:pos="2160"/>
        </w:tabs>
        <w:jc w:val="both"/>
        <w:rPr>
          <w:lang w:val="es-PE"/>
        </w:rPr>
      </w:pPr>
      <w:r w:rsidRPr="4A6418C7" w:rsidR="007D196C">
        <w:rPr>
          <w:lang w:val="es-PE"/>
        </w:rPr>
        <w:t xml:space="preserve">13-08-2021, la reclamante responde adjuntando una carta dirigida a </w:t>
      </w:r>
      <w:r w:rsidRPr="4A6418C7" w:rsidR="48B96BFD">
        <w:rPr>
          <w:lang w:val="es-PE"/>
        </w:rPr>
        <w:t>..................................</w:t>
      </w:r>
      <w:r w:rsidRPr="4A6418C7" w:rsidR="007D196C">
        <w:rPr>
          <w:lang w:val="es-PE"/>
        </w:rPr>
        <w:t xml:space="preserve"> y </w:t>
      </w:r>
      <w:r w:rsidRPr="4A6418C7" w:rsidR="007D196C">
        <w:rPr>
          <w:lang w:val="es-PE"/>
        </w:rPr>
        <w:t>BanBif</w:t>
      </w:r>
      <w:r w:rsidRPr="4A6418C7" w:rsidR="007D196C">
        <w:rPr>
          <w:lang w:val="es-PE"/>
        </w:rPr>
        <w:t>, donde se les recalca que toda la información que estaban solicitando, ya ha sido enviada el 18-05-2021.</w:t>
      </w:r>
    </w:p>
    <w:p w:rsidRPr="007D196C" w:rsidR="007D196C" w:rsidP="007D196C" w:rsidRDefault="007D196C" w14:paraId="0C453168" w14:textId="77777777">
      <w:pPr>
        <w:pStyle w:val="Prrafodelista"/>
        <w:rPr>
          <w:lang w:val="es-PE"/>
        </w:rPr>
      </w:pPr>
    </w:p>
    <w:p w:rsidRPr="007D196C" w:rsidR="007D196C" w:rsidP="007D196C" w:rsidRDefault="007D196C" w14:paraId="55852B3C" w14:textId="47BA270B">
      <w:pPr>
        <w:pStyle w:val="Prrafodelista"/>
        <w:numPr>
          <w:ilvl w:val="0"/>
          <w:numId w:val="8"/>
        </w:numPr>
        <w:tabs>
          <w:tab w:val="left" w:pos="709"/>
          <w:tab w:val="left" w:pos="2160"/>
        </w:tabs>
        <w:jc w:val="both"/>
        <w:rPr>
          <w:lang w:val="es-PE"/>
        </w:rPr>
      </w:pPr>
      <w:r w:rsidRPr="4A6418C7" w:rsidR="007D196C">
        <w:rPr>
          <w:lang w:val="es-PE"/>
        </w:rPr>
        <w:t xml:space="preserve">24-08-2021 </w:t>
      </w:r>
      <w:r w:rsidRPr="4A6418C7" w:rsidR="5B38DD37">
        <w:rPr>
          <w:lang w:val="es-PE"/>
        </w:rPr>
        <w:t>................................</w:t>
      </w:r>
      <w:r w:rsidRPr="4A6418C7" w:rsidR="007D196C">
        <w:rPr>
          <w:lang w:val="es-PE"/>
        </w:rPr>
        <w:t xml:space="preserve">envía una carta de ampliación de plazo </w:t>
      </w:r>
      <w:r w:rsidRPr="4A6418C7" w:rsidR="712C2F90">
        <w:rPr>
          <w:lang w:val="es-PE"/>
        </w:rPr>
        <w:t>..........................</w:t>
      </w:r>
      <w:r w:rsidRPr="4A6418C7" w:rsidR="007D196C">
        <w:rPr>
          <w:lang w:val="es-PE"/>
        </w:rPr>
        <w:t>, bajo el siguiente tenor:</w:t>
      </w:r>
    </w:p>
    <w:p w:rsidRPr="007D196C" w:rsidR="007D196C" w:rsidP="007D196C" w:rsidRDefault="007D196C" w14:paraId="70D88F6F" w14:textId="77777777">
      <w:pPr>
        <w:tabs>
          <w:tab w:val="left" w:pos="709"/>
          <w:tab w:val="left" w:pos="2160"/>
        </w:tabs>
        <w:jc w:val="both"/>
        <w:rPr>
          <w:lang w:val="es-PE"/>
        </w:rPr>
      </w:pPr>
    </w:p>
    <w:p w:rsidRPr="007D196C" w:rsidR="007D196C" w:rsidP="007D196C" w:rsidRDefault="007D196C" w14:paraId="3F039215" w14:textId="6D2F7053">
      <w:pPr>
        <w:tabs>
          <w:tab w:val="left" w:pos="709"/>
          <w:tab w:val="left" w:pos="2160"/>
        </w:tabs>
        <w:ind w:left="1440"/>
        <w:jc w:val="both"/>
      </w:pPr>
      <w:r w:rsidR="6D8C69CB">
        <w:rPr/>
        <w:t>................................................................................</w:t>
      </w:r>
    </w:p>
    <w:p w:rsidR="4A6418C7" w:rsidP="4A6418C7" w:rsidRDefault="4A6418C7" w14:paraId="47BF50AB" w14:textId="0A50AA6B">
      <w:pPr>
        <w:tabs>
          <w:tab w:val="left" w:leader="none" w:pos="709"/>
          <w:tab w:val="left" w:leader="none" w:pos="2160"/>
        </w:tabs>
        <w:ind w:left="1440"/>
        <w:jc w:val="both"/>
      </w:pPr>
    </w:p>
    <w:p w:rsidRPr="007D196C" w:rsidR="007D196C" w:rsidP="007D196C" w:rsidRDefault="007D196C" w14:paraId="0707F3BE" w14:textId="77777777">
      <w:pPr>
        <w:tabs>
          <w:tab w:val="left" w:pos="709"/>
          <w:tab w:val="left" w:pos="2160"/>
        </w:tabs>
        <w:jc w:val="both"/>
        <w:rPr>
          <w:lang w:val="es-PE"/>
        </w:rPr>
      </w:pPr>
    </w:p>
    <w:p w:rsidRPr="007D196C" w:rsidR="007D196C" w:rsidP="007D196C" w:rsidRDefault="007D196C" w14:paraId="571E77C5" w14:textId="1DAA0562">
      <w:pPr>
        <w:pStyle w:val="Prrafodelista"/>
        <w:numPr>
          <w:ilvl w:val="0"/>
          <w:numId w:val="8"/>
        </w:numPr>
        <w:tabs>
          <w:tab w:val="left" w:pos="709"/>
          <w:tab w:val="left" w:pos="2160"/>
        </w:tabs>
        <w:jc w:val="both"/>
        <w:rPr>
          <w:lang w:val="es-PE"/>
        </w:rPr>
      </w:pPr>
      <w:r w:rsidRPr="4A6418C7" w:rsidR="007D196C">
        <w:rPr>
          <w:lang w:val="es-PE"/>
        </w:rPr>
        <w:t xml:space="preserve">14-09-2021 la reclamante recibe la carta </w:t>
      </w:r>
      <w:r w:rsidRPr="4A6418C7" w:rsidR="3FB48BA4">
        <w:rPr>
          <w:lang w:val="es-PE"/>
        </w:rPr>
        <w:t>.........................</w:t>
      </w:r>
      <w:r w:rsidRPr="4A6418C7" w:rsidR="007D196C">
        <w:rPr>
          <w:lang w:val="es-PE"/>
        </w:rPr>
        <w:t xml:space="preserve"> de negativa en la activación del seguro de desgravamen.</w:t>
      </w:r>
    </w:p>
    <w:p w:rsidRPr="007D196C" w:rsidR="007D196C" w:rsidP="007D196C" w:rsidRDefault="007D196C" w14:paraId="46E59FCD" w14:textId="77777777">
      <w:pPr>
        <w:tabs>
          <w:tab w:val="left" w:pos="709"/>
          <w:tab w:val="left" w:pos="2160"/>
        </w:tabs>
        <w:jc w:val="both"/>
        <w:rPr>
          <w:lang w:val="es-PE"/>
        </w:rPr>
      </w:pPr>
    </w:p>
    <w:p w:rsidRPr="007D196C" w:rsidR="007D196C" w:rsidP="007D196C" w:rsidRDefault="007D196C" w14:paraId="72305024" w14:textId="77777777">
      <w:pPr>
        <w:tabs>
          <w:tab w:val="left" w:pos="709"/>
          <w:tab w:val="left" w:pos="2160"/>
        </w:tabs>
        <w:ind w:left="705" w:hanging="705"/>
        <w:jc w:val="both"/>
        <w:rPr>
          <w:lang w:val="es-PE"/>
        </w:rPr>
      </w:pPr>
      <w:r w:rsidRPr="007D196C">
        <w:rPr>
          <w:lang w:val="es-PE"/>
        </w:rPr>
        <w:t xml:space="preserve">6.4. </w:t>
      </w:r>
      <w:r w:rsidRPr="007D196C">
        <w:rPr>
          <w:lang w:val="es-PE"/>
        </w:rPr>
        <w:tab/>
      </w:r>
      <w:r w:rsidRPr="007D196C">
        <w:rPr>
          <w:lang w:val="es-PE"/>
        </w:rPr>
        <w:t xml:space="preserve">Siendo que está acreditado que se presentó la documentación requerida, certificado de defunción e historia clínica para analizar el siniestro el 18 y 19 de mayo de 2021, y que luego de ello transcurrieron más de 30 días sin que la aseguradora hubiera requerido </w:t>
      </w:r>
      <w:proofErr w:type="gramStart"/>
      <w:r w:rsidRPr="007D196C">
        <w:rPr>
          <w:lang w:val="es-PE"/>
        </w:rPr>
        <w:t>mayor información</w:t>
      </w:r>
      <w:proofErr w:type="gramEnd"/>
      <w:r w:rsidRPr="007D196C">
        <w:rPr>
          <w:lang w:val="es-PE"/>
        </w:rPr>
        <w:t>, se tiene que el siniestro quedó consentido a fines del mes de junio y antes que se requiriera mayor información sobre la historia clínica.</w:t>
      </w:r>
    </w:p>
    <w:p w:rsidRPr="007D196C" w:rsidR="007D196C" w:rsidP="007D196C" w:rsidRDefault="007D196C" w14:paraId="427F58A8" w14:textId="77777777">
      <w:pPr>
        <w:tabs>
          <w:tab w:val="left" w:pos="709"/>
          <w:tab w:val="left" w:pos="2160"/>
        </w:tabs>
        <w:ind w:left="705" w:hanging="705"/>
        <w:jc w:val="both"/>
        <w:rPr>
          <w:lang w:val="es-PE"/>
        </w:rPr>
      </w:pPr>
      <w:r w:rsidRPr="007D196C">
        <w:rPr>
          <w:lang w:val="es-PE"/>
        </w:rPr>
        <w:tab/>
      </w:r>
    </w:p>
    <w:p w:rsidRPr="007D196C" w:rsidR="007D196C" w:rsidP="007D196C" w:rsidRDefault="007D196C" w14:paraId="2A790E4F" w14:textId="77777777">
      <w:pPr>
        <w:tabs>
          <w:tab w:val="left" w:pos="709"/>
          <w:tab w:val="left" w:pos="2160"/>
        </w:tabs>
        <w:ind w:left="705" w:hanging="705"/>
        <w:jc w:val="both"/>
        <w:rPr>
          <w:lang w:val="es-PE"/>
        </w:rPr>
      </w:pPr>
      <w:r w:rsidRPr="007D196C">
        <w:rPr>
          <w:lang w:val="es-PE"/>
        </w:rPr>
        <w:tab/>
      </w:r>
      <w:r w:rsidRPr="007D196C">
        <w:rPr>
          <w:lang w:val="es-PE"/>
        </w:rPr>
        <w:t xml:space="preserve">Si bien se observa que la aseguradora requiere en el mes de agosto la historia clínica anterior al año 2015. Ello pudo ser observado desde el momento que se presentó la historia clínica en mayo de 2021, cumpliendo con el plazo previsto en el artículo 11 del Reglamento para la Gestión y Pago de Siniestros antes referido, lo que no se hizo. Asimismo, según se menciona en el correo electrónico de fecha 17 de mayo de 2021 enviado por la reclamante al comercializador del seguro, la historia clínica presentada </w:t>
      </w:r>
      <w:r w:rsidRPr="007D196C">
        <w:rPr>
          <w:lang w:val="es-PE"/>
        </w:rPr>
        <w:t xml:space="preserve">se encontraba y fedateada por la Clínica Angloamericana y compuesta de 481 páginas. </w:t>
      </w:r>
    </w:p>
    <w:p w:rsidRPr="007D196C" w:rsidR="007D196C" w:rsidP="007D196C" w:rsidRDefault="007D196C" w14:paraId="0126A80C" w14:textId="77777777">
      <w:pPr>
        <w:tabs>
          <w:tab w:val="left" w:pos="709"/>
          <w:tab w:val="left" w:pos="2160"/>
        </w:tabs>
        <w:ind w:left="705" w:hanging="705"/>
        <w:jc w:val="both"/>
        <w:rPr>
          <w:lang w:val="es-PE"/>
        </w:rPr>
      </w:pPr>
    </w:p>
    <w:p w:rsidRPr="007D196C" w:rsidR="007D196C" w:rsidP="007D196C" w:rsidRDefault="007D196C" w14:paraId="43098271" w14:textId="77777777">
      <w:pPr>
        <w:tabs>
          <w:tab w:val="left" w:pos="709"/>
          <w:tab w:val="left" w:pos="2160"/>
        </w:tabs>
        <w:ind w:left="705" w:hanging="705"/>
        <w:jc w:val="both"/>
        <w:rPr>
          <w:lang w:val="es-PE"/>
        </w:rPr>
      </w:pPr>
      <w:r w:rsidRPr="007D196C">
        <w:rPr>
          <w:lang w:val="es-PE"/>
        </w:rPr>
        <w:tab/>
      </w:r>
      <w:r w:rsidRPr="007D196C">
        <w:rPr>
          <w:lang w:val="es-PE"/>
        </w:rPr>
        <w:t xml:space="preserve">A mayor abundamiento se ha verificado que luego del envío de la historia clínica y ante el requerimiento de información de la reclamante, el propio Banco reconoce que el siniestro seguía en evaluación, sin haberse requerido hasta esa fecha información adicional, conforme consta del correo de fecha 11 de junio de 2021 que obra en el expediente. </w:t>
      </w:r>
    </w:p>
    <w:p w:rsidRPr="007D196C" w:rsidR="007D196C" w:rsidP="007D196C" w:rsidRDefault="007D196C" w14:paraId="5EDDF7BA" w14:textId="77777777">
      <w:pPr>
        <w:tabs>
          <w:tab w:val="left" w:pos="709"/>
          <w:tab w:val="left" w:pos="2160"/>
        </w:tabs>
        <w:ind w:left="705" w:hanging="705"/>
        <w:jc w:val="both"/>
        <w:rPr>
          <w:lang w:val="es-PE"/>
        </w:rPr>
      </w:pPr>
    </w:p>
    <w:p w:rsidRPr="007D196C" w:rsidR="007D196C" w:rsidP="007D196C" w:rsidRDefault="007D196C" w14:paraId="0475753D" w14:textId="77777777">
      <w:pPr>
        <w:tabs>
          <w:tab w:val="left" w:pos="709"/>
          <w:tab w:val="left" w:pos="2160"/>
        </w:tabs>
        <w:ind w:left="705" w:hanging="705"/>
        <w:jc w:val="both"/>
        <w:rPr>
          <w:lang w:val="es-PE"/>
        </w:rPr>
      </w:pPr>
      <w:r w:rsidRPr="007D196C">
        <w:rPr>
          <w:lang w:val="es-PE"/>
        </w:rPr>
        <w:tab/>
      </w:r>
      <w:r w:rsidRPr="007D196C">
        <w:rPr>
          <w:lang w:val="es-PE"/>
        </w:rPr>
        <w:t xml:space="preserve">Asimismo, se han verificado los correos electrónicos enviados por la reclamante a través de la cual insiste indicando que ya han transcurrido más de dos meses sin que se le haya proporcionado una respuesta, siendo que recién se le requiere </w:t>
      </w:r>
      <w:proofErr w:type="gramStart"/>
      <w:r w:rsidRPr="007D196C">
        <w:rPr>
          <w:lang w:val="es-PE"/>
        </w:rPr>
        <w:t>mayor información</w:t>
      </w:r>
      <w:proofErr w:type="gramEnd"/>
      <w:r w:rsidRPr="007D196C">
        <w:rPr>
          <w:lang w:val="es-PE"/>
        </w:rPr>
        <w:t xml:space="preserve"> en agosto de 2021, siendo dicho requerimiento extemporáneo, conforme a lo expuesto.</w:t>
      </w:r>
    </w:p>
    <w:p w:rsidRPr="007D196C" w:rsidR="007D196C" w:rsidP="007D196C" w:rsidRDefault="007D196C" w14:paraId="291F5065" w14:textId="77777777">
      <w:pPr>
        <w:tabs>
          <w:tab w:val="left" w:pos="709"/>
          <w:tab w:val="left" w:pos="2160"/>
        </w:tabs>
        <w:ind w:left="705" w:hanging="705"/>
        <w:jc w:val="both"/>
        <w:rPr>
          <w:lang w:val="es-PE"/>
        </w:rPr>
      </w:pPr>
    </w:p>
    <w:p w:rsidRPr="007D196C" w:rsidR="007D196C" w:rsidP="007D196C" w:rsidRDefault="007D196C" w14:paraId="315C051D" w14:textId="77777777">
      <w:pPr>
        <w:tabs>
          <w:tab w:val="left" w:pos="709"/>
          <w:tab w:val="left" w:pos="2160"/>
        </w:tabs>
        <w:ind w:left="705" w:hanging="705"/>
        <w:jc w:val="both"/>
        <w:rPr>
          <w:lang w:val="es-PE"/>
        </w:rPr>
      </w:pPr>
    </w:p>
    <w:p w:rsidRPr="007D196C" w:rsidR="007D196C" w:rsidP="007D196C" w:rsidRDefault="007D196C" w14:paraId="323CFBE2" w14:textId="2656D418">
      <w:pPr>
        <w:tabs>
          <w:tab w:val="left" w:pos="709"/>
          <w:tab w:val="left" w:pos="2160"/>
        </w:tabs>
        <w:ind w:left="705" w:hanging="705"/>
        <w:jc w:val="both"/>
        <w:rPr>
          <w:lang w:val="es-PE"/>
        </w:rPr>
      </w:pPr>
      <w:r w:rsidRPr="4A6418C7" w:rsidR="007D196C">
        <w:rPr>
          <w:lang w:val="es-PE"/>
        </w:rPr>
        <w:t>6.5.</w:t>
      </w:r>
      <w:r>
        <w:tab/>
      </w:r>
      <w:r w:rsidRPr="4A6418C7" w:rsidR="007D196C">
        <w:rPr>
          <w:lang w:val="es-PE"/>
        </w:rPr>
        <w:t>De otro lado, la carta informando la prórroga de plazo (</w:t>
      </w:r>
      <w:r w:rsidRPr="4A6418C7" w:rsidR="268A8E0E">
        <w:rPr>
          <w:lang w:val="es-PE"/>
        </w:rPr>
        <w:t>carta .................</w:t>
      </w:r>
      <w:r w:rsidRPr="4A6418C7" w:rsidR="007D196C">
        <w:rPr>
          <w:lang w:val="es-PE"/>
        </w:rPr>
        <w:t xml:space="preserve"> de fecha 23 de agosto de 2021) para realizar mayores investigaciones, no acredita que se haya cumplido con el procedimiento dispuesto en el artículo 12 del Reglamento para la Gestión y Pago de Siniestros, por lo que no existe documento que acredite que antes que el siniestro quedara consentido, se cumplió con solicitar la ampliación del plazo ante la Superintendencia siguiendo el procedimiento previsto en el artículo 90 del TUPA de la SBS. </w:t>
      </w:r>
    </w:p>
    <w:p w:rsidRPr="007D196C" w:rsidR="007D196C" w:rsidP="007D196C" w:rsidRDefault="007D196C" w14:paraId="6897D87A" w14:textId="77777777">
      <w:pPr>
        <w:tabs>
          <w:tab w:val="left" w:pos="709"/>
          <w:tab w:val="left" w:pos="2160"/>
        </w:tabs>
        <w:ind w:left="705" w:hanging="705"/>
        <w:jc w:val="both"/>
        <w:rPr>
          <w:lang w:val="es-PE"/>
        </w:rPr>
      </w:pPr>
    </w:p>
    <w:p w:rsidRPr="007D196C" w:rsidR="007D196C" w:rsidP="007D196C" w:rsidRDefault="007D196C" w14:paraId="2458B62F" w14:textId="77777777">
      <w:pPr>
        <w:tabs>
          <w:tab w:val="left" w:pos="709"/>
          <w:tab w:val="left" w:pos="2160"/>
        </w:tabs>
        <w:ind w:left="705" w:hanging="705"/>
        <w:jc w:val="both"/>
        <w:rPr>
          <w:lang w:val="es-PE"/>
        </w:rPr>
      </w:pPr>
      <w:r w:rsidRPr="007D196C">
        <w:rPr>
          <w:lang w:val="es-PE"/>
        </w:rPr>
        <w:t xml:space="preserve">6.6. </w:t>
      </w:r>
      <w:r w:rsidRPr="007D196C">
        <w:rPr>
          <w:lang w:val="es-PE"/>
        </w:rPr>
        <w:tab/>
      </w:r>
      <w:r w:rsidRPr="007D196C">
        <w:rPr>
          <w:lang w:val="es-PE"/>
        </w:rPr>
        <w:t>Habiendo quedado acreditado que el siniestro quedó consentido, carece de relevancia pronunciarse sobre la oponibilidad de la exclusión y la exclusión invocada. Sin perjuicio de lo cual se deja constancia que se acreditó la entrega del certificado de seguro al asegurado donde constan las exclusiones del seguro.</w:t>
      </w:r>
    </w:p>
    <w:p w:rsidRPr="007D196C" w:rsidR="007D196C" w:rsidP="007D196C" w:rsidRDefault="007D196C" w14:paraId="7A51F832" w14:textId="77777777">
      <w:pPr>
        <w:tabs>
          <w:tab w:val="left" w:pos="709"/>
          <w:tab w:val="left" w:pos="2160"/>
        </w:tabs>
        <w:jc w:val="both"/>
        <w:rPr>
          <w:b/>
          <w:bCs/>
          <w:u w:val="single"/>
          <w:lang w:val="es-PE"/>
        </w:rPr>
      </w:pPr>
    </w:p>
    <w:p w:rsidRPr="007D196C" w:rsidR="007D196C" w:rsidP="007D196C" w:rsidRDefault="007D196C" w14:paraId="35AB8F2D" w14:textId="5E34B1BC">
      <w:pPr>
        <w:tabs>
          <w:tab w:val="left" w:pos="709"/>
          <w:tab w:val="left" w:pos="2160"/>
        </w:tabs>
        <w:jc w:val="both"/>
        <w:rPr>
          <w:lang w:val="es-PE"/>
        </w:rPr>
      </w:pPr>
      <w:r w:rsidRPr="4A6418C7" w:rsidR="007D196C">
        <w:rPr>
          <w:b w:val="1"/>
          <w:bCs w:val="1"/>
          <w:u w:val="single"/>
          <w:lang w:val="es-PE"/>
        </w:rPr>
        <w:t>Sétimo</w:t>
      </w:r>
      <w:r w:rsidRPr="4A6418C7" w:rsidR="007D196C">
        <w:rPr>
          <w:b w:val="1"/>
          <w:bCs w:val="1"/>
          <w:lang w:val="es-PE"/>
        </w:rPr>
        <w:t xml:space="preserve">: </w:t>
      </w:r>
      <w:r w:rsidRPr="4A6418C7" w:rsidR="007D196C">
        <w:rPr>
          <w:lang w:val="es-PE"/>
        </w:rPr>
        <w:t xml:space="preserve">Reiterar a </w:t>
      </w:r>
      <w:r w:rsidRPr="4A6418C7" w:rsidR="296B3223">
        <w:rPr>
          <w:lang w:val="es-PE"/>
        </w:rPr>
        <w:t>...........................................</w:t>
      </w:r>
      <w:r w:rsidRPr="4A6418C7" w:rsidR="007D196C">
        <w:rPr>
          <w:lang w:val="es-PE"/>
        </w:rPr>
        <w:t xml:space="preserve"> las exhortaciones ya formuladas en oportunidades anteriores en el sentido que, conforme a sus compromisos gremiales, debe adoptar las previsiones necesarias para atender los requerimientos documentales que le formule esta Defensoría, contribuyendo de dicha manera a brindar una oportuna atención y resolución a las reclamaciones.</w:t>
      </w:r>
    </w:p>
    <w:p w:rsidRPr="007D196C" w:rsidR="007D196C" w:rsidP="007D196C" w:rsidRDefault="007D196C" w14:paraId="11A07250" w14:textId="77777777">
      <w:pPr>
        <w:tabs>
          <w:tab w:val="left" w:pos="709"/>
          <w:tab w:val="left" w:pos="2160"/>
        </w:tabs>
        <w:jc w:val="both"/>
        <w:rPr>
          <w:lang w:val="es-PE"/>
        </w:rPr>
      </w:pPr>
    </w:p>
    <w:p w:rsidRPr="007D196C" w:rsidR="007D196C" w:rsidP="007D196C" w:rsidRDefault="007D196C" w14:paraId="534E2D0B" w14:textId="77777777">
      <w:pPr>
        <w:tabs>
          <w:tab w:val="left" w:pos="709"/>
          <w:tab w:val="left" w:pos="2160"/>
        </w:tabs>
        <w:jc w:val="both"/>
      </w:pPr>
      <w:r w:rsidRPr="007D196C">
        <w:rPr>
          <w:lang w:val="es-PE"/>
        </w:rPr>
        <w:t xml:space="preserve">Atendiendo a lo expresado, este colegiado </w:t>
      </w:r>
      <w:r w:rsidRPr="007D196C">
        <w:t>concluye su apreciación razonada y conjunta al amparo de lo establecido en su Reglamento, por lo que</w:t>
      </w:r>
    </w:p>
    <w:p w:rsidRPr="007D196C" w:rsidR="007D196C" w:rsidP="007D196C" w:rsidRDefault="007D196C" w14:paraId="7922F1DC" w14:textId="77777777">
      <w:pPr>
        <w:tabs>
          <w:tab w:val="left" w:pos="709"/>
          <w:tab w:val="left" w:pos="2160"/>
        </w:tabs>
        <w:jc w:val="both"/>
      </w:pPr>
    </w:p>
    <w:p w:rsidRPr="007D196C" w:rsidR="007D196C" w:rsidP="007D196C" w:rsidRDefault="007D196C" w14:paraId="4CA57038" w14:textId="77777777">
      <w:pPr>
        <w:tabs>
          <w:tab w:val="left" w:pos="709"/>
          <w:tab w:val="left" w:pos="2160"/>
        </w:tabs>
        <w:jc w:val="both"/>
        <w:rPr>
          <w:b/>
        </w:rPr>
      </w:pPr>
      <w:r w:rsidRPr="007D196C">
        <w:rPr>
          <w:b/>
        </w:rPr>
        <w:t>SE RESUELVE</w:t>
      </w:r>
      <w:r w:rsidRPr="007D196C">
        <w:rPr>
          <w:b/>
          <w:lang w:val="es-PE"/>
        </w:rPr>
        <w:t>:</w:t>
      </w:r>
    </w:p>
    <w:p w:rsidRPr="007D196C" w:rsidR="007D196C" w:rsidP="007D196C" w:rsidRDefault="007D196C" w14:paraId="01CEF262" w14:textId="77777777">
      <w:pPr>
        <w:tabs>
          <w:tab w:val="left" w:pos="709"/>
          <w:tab w:val="left" w:pos="2160"/>
        </w:tabs>
        <w:jc w:val="both"/>
        <w:rPr>
          <w:b/>
          <w:bCs/>
        </w:rPr>
      </w:pPr>
    </w:p>
    <w:p w:rsidRPr="007D196C" w:rsidR="007D196C" w:rsidP="4A6418C7" w:rsidRDefault="007D196C" w14:paraId="7B354B80" w14:textId="14C13F33">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4A6418C7" w:rsidR="007D196C">
        <w:rPr>
          <w:b w:val="1"/>
          <w:bCs w:val="1"/>
          <w:lang w:val="es-PE"/>
        </w:rPr>
        <w:t xml:space="preserve">Declarar FUNDADA </w:t>
      </w:r>
      <w:r w:rsidRPr="4A6418C7" w:rsidR="007D196C">
        <w:rPr>
          <w:lang w:val="es-PE"/>
        </w:rPr>
        <w:t xml:space="preserve">la reclamación interpuesta por </w:t>
      </w:r>
      <w:r w:rsidRPr="4A6418C7" w:rsidR="62573B40">
        <w:rPr>
          <w:lang w:val="es-PE"/>
        </w:rPr>
        <w:t>........................................................</w:t>
      </w:r>
      <w:r w:rsidR="007D196C">
        <w:rPr/>
        <w:t xml:space="preserve">, por lo que </w:t>
      </w:r>
      <w:r w:rsidR="4D86FFD6">
        <w:rPr/>
        <w:t>..........................................</w:t>
      </w:r>
      <w:r w:rsidR="007D196C">
        <w:rPr/>
        <w:t xml:space="preserve"> debe </w:t>
      </w:r>
      <w:r w:rsidR="007D196C">
        <w:rPr/>
        <w:t>proceder a otorgar</w:t>
      </w:r>
      <w:r w:rsidR="007D196C">
        <w:rPr/>
        <w:t xml:space="preserve"> la cobertura del seguro de desgravamen reclamada, derivada del fallecimiento del asegurado señor </w:t>
      </w:r>
      <w:r w:rsidR="39724389">
        <w:rPr/>
        <w:t>......................................</w:t>
      </w:r>
    </w:p>
    <w:p w:rsidRPr="007D196C" w:rsidR="009630E4" w:rsidP="009630E4" w:rsidRDefault="009630E4" w14:paraId="2B3D86E7" w14:textId="77777777">
      <w:pPr>
        <w:tabs>
          <w:tab w:val="left" w:pos="0"/>
          <w:tab w:val="left" w:pos="1416"/>
          <w:tab w:val="left" w:pos="2977"/>
          <w:tab w:val="left" w:pos="4248"/>
          <w:tab w:val="left" w:pos="4956"/>
          <w:tab w:val="left" w:pos="5664"/>
          <w:tab w:val="left" w:pos="6372"/>
          <w:tab w:val="left" w:pos="7125"/>
        </w:tabs>
        <w:jc w:val="both"/>
        <w:rPr>
          <w:lang w:val="es-PE"/>
        </w:rPr>
      </w:pPr>
      <w:r w:rsidRPr="007D196C">
        <w:rPr>
          <w:lang w:val="es-PE"/>
        </w:rPr>
        <w:t xml:space="preserve"> </w:t>
      </w:r>
    </w:p>
    <w:p w:rsidRPr="007D196C" w:rsidR="001631D6" w:rsidP="00F202DC" w:rsidRDefault="00F15FBA" w14:paraId="48C7895B" w14:textId="1A648BFA">
      <w:pPr>
        <w:jc w:val="right"/>
        <w:outlineLvl w:val="0"/>
        <w:rPr>
          <w:lang w:val="es-PE"/>
        </w:rPr>
      </w:pPr>
      <w:r w:rsidRPr="007D196C">
        <w:rPr>
          <w:lang w:val="es-PE"/>
        </w:rPr>
        <w:t xml:space="preserve">Lima, </w:t>
      </w:r>
      <w:r w:rsidRPr="007D196C" w:rsidR="0096094A">
        <w:t>0</w:t>
      </w:r>
      <w:r w:rsidRPr="007D196C" w:rsidR="00BD2134">
        <w:t>5</w:t>
      </w:r>
      <w:r w:rsidRPr="007D196C" w:rsidR="0098224D">
        <w:t xml:space="preserve"> </w:t>
      </w:r>
      <w:r w:rsidRPr="007D196C">
        <w:rPr>
          <w:lang w:val="es-PE"/>
        </w:rPr>
        <w:t>de</w:t>
      </w:r>
      <w:r w:rsidRPr="007D196C" w:rsidR="00E13D0F">
        <w:rPr>
          <w:lang w:val="es-PE"/>
        </w:rPr>
        <w:t xml:space="preserve"> </w:t>
      </w:r>
      <w:r w:rsidRPr="007D196C" w:rsidR="0096094A">
        <w:rPr>
          <w:lang w:val="es-PE"/>
        </w:rPr>
        <w:t>mayo</w:t>
      </w:r>
      <w:r w:rsidRPr="007D196C" w:rsidR="001631D6">
        <w:rPr>
          <w:lang w:val="es-PE"/>
        </w:rPr>
        <w:t xml:space="preserve"> </w:t>
      </w:r>
      <w:r w:rsidRPr="007D196C">
        <w:rPr>
          <w:lang w:val="es-PE"/>
        </w:rPr>
        <w:t>de 20</w:t>
      </w:r>
      <w:r w:rsidRPr="007D196C" w:rsidR="001631D6">
        <w:rPr>
          <w:lang w:val="es-PE"/>
        </w:rPr>
        <w:t>2</w:t>
      </w:r>
      <w:r w:rsidRPr="007D196C" w:rsidR="00444D29">
        <w:rPr>
          <w:lang w:val="es-PE"/>
        </w:rPr>
        <w:t>2</w:t>
      </w:r>
    </w:p>
    <w:p w:rsidRPr="007D196C" w:rsidR="00F202DC" w:rsidP="001631D6" w:rsidRDefault="00F202DC" w14:paraId="55EA6443" w14:textId="77777777">
      <w:pPr>
        <w:jc w:val="both"/>
      </w:pPr>
    </w:p>
    <w:p w:rsidRPr="007D196C" w:rsidR="001631D6" w:rsidP="001631D6" w:rsidRDefault="001631D6" w14:paraId="54F717D9" w14:textId="77777777">
      <w:pPr>
        <w:jc w:val="both"/>
        <w:rPr>
          <w:b/>
          <w:bCs/>
          <w:i/>
          <w:iCs/>
          <w:lang w:val="es-ES_tradnl"/>
        </w:rPr>
      </w:pPr>
      <w:r w:rsidRPr="007D196C">
        <w:rPr>
          <w:b/>
          <w:bCs/>
          <w:i/>
          <w:iCs/>
          <w:lang w:val="es-ES_tradnl"/>
        </w:rPr>
        <w:t>La Secretaría Técnica certifica que la presente resolución cuenta con el voto de los vocales cuyos nombres figuran en el presente documento.</w:t>
      </w:r>
    </w:p>
    <w:p w:rsidRPr="007D196C" w:rsidR="001631D6" w:rsidP="001631D6" w:rsidRDefault="001631D6" w14:paraId="265ABE8B" w14:textId="77777777">
      <w:pPr>
        <w:jc w:val="both"/>
        <w:rPr>
          <w:b/>
          <w:bCs/>
          <w:i/>
          <w:iCs/>
          <w:lang w:val="es-ES_tradnl"/>
        </w:rPr>
      </w:pPr>
    </w:p>
    <w:p w:rsidRPr="007D196C" w:rsidR="001631D6" w:rsidP="001631D6" w:rsidRDefault="001631D6" w14:paraId="024CA4C1" w14:textId="77777777">
      <w:pPr>
        <w:jc w:val="both"/>
        <w:rPr>
          <w:b/>
          <w:bCs/>
          <w:i/>
          <w:iCs/>
          <w:lang w:val="es-ES_tradnl"/>
        </w:rPr>
      </w:pPr>
    </w:p>
    <w:p w:rsidRPr="007D196C" w:rsidR="003E6BA6" w:rsidP="003E6BA6" w:rsidRDefault="0096094A" w14:paraId="7E9839D4" w14:textId="0E0E06BB">
      <w:pPr>
        <w:spacing w:line="360" w:lineRule="auto"/>
        <w:jc w:val="center"/>
        <w:rPr>
          <w:b/>
          <w:bCs/>
        </w:rPr>
      </w:pPr>
      <w:r w:rsidRPr="007D196C">
        <w:rPr>
          <w:b/>
          <w:bCs/>
        </w:rPr>
        <w:t xml:space="preserve">Marco Antonio Ortega Piana </w:t>
      </w:r>
      <w:r w:rsidRPr="007D196C" w:rsidR="003E6BA6">
        <w:rPr>
          <w:b/>
          <w:bCs/>
        </w:rPr>
        <w:t xml:space="preserve">– </w:t>
      </w:r>
      <w:proofErr w:type="gramStart"/>
      <w:r w:rsidRPr="007D196C" w:rsidR="003E6BA6">
        <w:rPr>
          <w:b/>
          <w:bCs/>
        </w:rPr>
        <w:t>Presidente</w:t>
      </w:r>
      <w:proofErr w:type="gramEnd"/>
    </w:p>
    <w:p w:rsidRPr="009630E4" w:rsidR="0096094A" w:rsidP="0096094A" w:rsidRDefault="0096094A" w14:paraId="3458C0C0" w14:textId="6E7C8E64">
      <w:pPr>
        <w:spacing w:line="360" w:lineRule="auto"/>
        <w:jc w:val="center"/>
        <w:rPr>
          <w:b/>
          <w:bCs/>
        </w:rPr>
      </w:pPr>
      <w:r w:rsidRPr="009630E4">
        <w:rPr>
          <w:b/>
          <w:bCs/>
        </w:rPr>
        <w:t>María Eugenia Valdez Fernández Baca– Vocal</w:t>
      </w:r>
    </w:p>
    <w:p w:rsidRPr="009630E4" w:rsidR="001631D6" w:rsidP="001631D6" w:rsidRDefault="001631D6" w14:paraId="515933D0" w14:textId="575B7E12">
      <w:pPr>
        <w:spacing w:line="360" w:lineRule="auto"/>
        <w:jc w:val="center"/>
        <w:rPr>
          <w:b/>
          <w:bCs/>
        </w:rPr>
      </w:pPr>
      <w:r w:rsidRPr="009630E4">
        <w:rPr>
          <w:b/>
          <w:bCs/>
        </w:rPr>
        <w:t xml:space="preserve">Rolando Eyzaguirre </w:t>
      </w:r>
      <w:proofErr w:type="spellStart"/>
      <w:r w:rsidRPr="009630E4">
        <w:rPr>
          <w:b/>
          <w:bCs/>
        </w:rPr>
        <w:t>Maccan</w:t>
      </w:r>
      <w:proofErr w:type="spellEnd"/>
      <w:r w:rsidRPr="009630E4">
        <w:rPr>
          <w:b/>
          <w:bCs/>
        </w:rPr>
        <w:t xml:space="preserve"> – </w:t>
      </w:r>
      <w:r w:rsidRPr="009630E4" w:rsidR="003E6BA6">
        <w:rPr>
          <w:b/>
          <w:bCs/>
        </w:rPr>
        <w:t>Vocal</w:t>
      </w:r>
    </w:p>
    <w:p w:rsidRPr="009630E4" w:rsidR="00517989" w:rsidP="00AB70B7" w:rsidRDefault="00AB70B7" w14:paraId="164CAA9F" w14:textId="01A81F40">
      <w:pPr>
        <w:spacing w:line="360" w:lineRule="auto"/>
        <w:jc w:val="center"/>
        <w:rPr>
          <w:b/>
          <w:bCs/>
        </w:rPr>
      </w:pPr>
      <w:r w:rsidRPr="009630E4">
        <w:rPr>
          <w:b/>
          <w:bCs/>
        </w:rPr>
        <w:t>Gonzalo Abad del Busto - Vocal</w:t>
      </w:r>
    </w:p>
    <w:p w:rsidRPr="003E772B" w:rsidR="00865247" w:rsidRDefault="00865247" w14:paraId="0F6CCBAC" w14:textId="77777777"/>
    <w:sectPr w:rsidRPr="003E772B" w:rsidR="00865247"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32BC8" w:rsidP="005F148C" w:rsidRDefault="00932BC8" w14:paraId="5BBD3D12" w14:textId="77777777">
      <w:r>
        <w:separator/>
      </w:r>
    </w:p>
  </w:endnote>
  <w:endnote w:type="continuationSeparator" w:id="0">
    <w:p w:rsidR="00932BC8" w:rsidP="005F148C" w:rsidRDefault="00932BC8" w14:paraId="003DEF5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32BC8" w:rsidP="005F148C" w:rsidRDefault="00932BC8" w14:paraId="443F6204" w14:textId="77777777">
      <w:r>
        <w:separator/>
      </w:r>
    </w:p>
  </w:footnote>
  <w:footnote w:type="continuationSeparator" w:id="0">
    <w:p w:rsidR="00932BC8" w:rsidP="005F148C" w:rsidRDefault="00932BC8" w14:paraId="6F52AF1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4"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6"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7557848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3"/>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B23C9"/>
    <w:rsid w:val="000B4405"/>
    <w:rsid w:val="000D2700"/>
    <w:rsid w:val="000E1883"/>
    <w:rsid w:val="000E52A2"/>
    <w:rsid w:val="00103188"/>
    <w:rsid w:val="0010704B"/>
    <w:rsid w:val="00122734"/>
    <w:rsid w:val="00131D5A"/>
    <w:rsid w:val="00131E5A"/>
    <w:rsid w:val="00131FAD"/>
    <w:rsid w:val="00140C67"/>
    <w:rsid w:val="00145B5D"/>
    <w:rsid w:val="00150853"/>
    <w:rsid w:val="00154D3B"/>
    <w:rsid w:val="001631D6"/>
    <w:rsid w:val="00170BA0"/>
    <w:rsid w:val="00170F87"/>
    <w:rsid w:val="001759F6"/>
    <w:rsid w:val="00177464"/>
    <w:rsid w:val="00180922"/>
    <w:rsid w:val="00193A8A"/>
    <w:rsid w:val="00195646"/>
    <w:rsid w:val="00196162"/>
    <w:rsid w:val="00196D53"/>
    <w:rsid w:val="00197FB2"/>
    <w:rsid w:val="001A0AB8"/>
    <w:rsid w:val="001A3593"/>
    <w:rsid w:val="001A791E"/>
    <w:rsid w:val="001B6607"/>
    <w:rsid w:val="001C2B16"/>
    <w:rsid w:val="001C5991"/>
    <w:rsid w:val="001D01FD"/>
    <w:rsid w:val="001D30D1"/>
    <w:rsid w:val="001E1429"/>
    <w:rsid w:val="001E6B7D"/>
    <w:rsid w:val="001F004E"/>
    <w:rsid w:val="002024EE"/>
    <w:rsid w:val="0020442B"/>
    <w:rsid w:val="00205001"/>
    <w:rsid w:val="00214ED6"/>
    <w:rsid w:val="00233ED8"/>
    <w:rsid w:val="002370F4"/>
    <w:rsid w:val="00251FD7"/>
    <w:rsid w:val="00265628"/>
    <w:rsid w:val="00265B6F"/>
    <w:rsid w:val="00281026"/>
    <w:rsid w:val="0029622B"/>
    <w:rsid w:val="002A2188"/>
    <w:rsid w:val="002B14D5"/>
    <w:rsid w:val="002C236D"/>
    <w:rsid w:val="002C79AF"/>
    <w:rsid w:val="002E338A"/>
    <w:rsid w:val="002E35A4"/>
    <w:rsid w:val="002E35DA"/>
    <w:rsid w:val="002E708C"/>
    <w:rsid w:val="002F7E39"/>
    <w:rsid w:val="00302CD3"/>
    <w:rsid w:val="00316A1B"/>
    <w:rsid w:val="00323387"/>
    <w:rsid w:val="0032570B"/>
    <w:rsid w:val="00326F1E"/>
    <w:rsid w:val="0033155F"/>
    <w:rsid w:val="00332769"/>
    <w:rsid w:val="003600C6"/>
    <w:rsid w:val="00372156"/>
    <w:rsid w:val="00376F63"/>
    <w:rsid w:val="00390EFF"/>
    <w:rsid w:val="003977C8"/>
    <w:rsid w:val="003A0FAD"/>
    <w:rsid w:val="003A6B6C"/>
    <w:rsid w:val="003B46E3"/>
    <w:rsid w:val="003B4770"/>
    <w:rsid w:val="003B5737"/>
    <w:rsid w:val="003C2F84"/>
    <w:rsid w:val="003E353E"/>
    <w:rsid w:val="003E6A10"/>
    <w:rsid w:val="003E6BA6"/>
    <w:rsid w:val="003E772B"/>
    <w:rsid w:val="003F48E1"/>
    <w:rsid w:val="003F6CE5"/>
    <w:rsid w:val="00412A77"/>
    <w:rsid w:val="0041480F"/>
    <w:rsid w:val="00417664"/>
    <w:rsid w:val="00417E23"/>
    <w:rsid w:val="0044190B"/>
    <w:rsid w:val="004419E4"/>
    <w:rsid w:val="004446E3"/>
    <w:rsid w:val="00444D29"/>
    <w:rsid w:val="004569EE"/>
    <w:rsid w:val="0045742B"/>
    <w:rsid w:val="00467825"/>
    <w:rsid w:val="00471E40"/>
    <w:rsid w:val="004732E6"/>
    <w:rsid w:val="00477D05"/>
    <w:rsid w:val="0048478B"/>
    <w:rsid w:val="004854D9"/>
    <w:rsid w:val="00491944"/>
    <w:rsid w:val="00492DB9"/>
    <w:rsid w:val="004974ED"/>
    <w:rsid w:val="004B6E20"/>
    <w:rsid w:val="004C64BF"/>
    <w:rsid w:val="004E0934"/>
    <w:rsid w:val="004E50D6"/>
    <w:rsid w:val="004F2B90"/>
    <w:rsid w:val="00506323"/>
    <w:rsid w:val="00511CED"/>
    <w:rsid w:val="00516549"/>
    <w:rsid w:val="00520FDC"/>
    <w:rsid w:val="005276A6"/>
    <w:rsid w:val="00531FBE"/>
    <w:rsid w:val="0053358C"/>
    <w:rsid w:val="00534670"/>
    <w:rsid w:val="00567EEF"/>
    <w:rsid w:val="0058358B"/>
    <w:rsid w:val="005B54AF"/>
    <w:rsid w:val="005B7ECC"/>
    <w:rsid w:val="005C24D1"/>
    <w:rsid w:val="005C5922"/>
    <w:rsid w:val="005D0395"/>
    <w:rsid w:val="005D1456"/>
    <w:rsid w:val="005D1DDE"/>
    <w:rsid w:val="005D4638"/>
    <w:rsid w:val="005D7383"/>
    <w:rsid w:val="005F1349"/>
    <w:rsid w:val="005F148C"/>
    <w:rsid w:val="005F4751"/>
    <w:rsid w:val="0060033C"/>
    <w:rsid w:val="00644FAD"/>
    <w:rsid w:val="00647AEE"/>
    <w:rsid w:val="00651449"/>
    <w:rsid w:val="006629E7"/>
    <w:rsid w:val="00664636"/>
    <w:rsid w:val="00677A2F"/>
    <w:rsid w:val="00677FBF"/>
    <w:rsid w:val="006846C3"/>
    <w:rsid w:val="0069382D"/>
    <w:rsid w:val="006A1077"/>
    <w:rsid w:val="006B65F2"/>
    <w:rsid w:val="006C5328"/>
    <w:rsid w:val="006D33B8"/>
    <w:rsid w:val="006E2F68"/>
    <w:rsid w:val="00716FB2"/>
    <w:rsid w:val="0072229D"/>
    <w:rsid w:val="007224F7"/>
    <w:rsid w:val="00734447"/>
    <w:rsid w:val="007408CA"/>
    <w:rsid w:val="00742D07"/>
    <w:rsid w:val="00743E3F"/>
    <w:rsid w:val="007474DB"/>
    <w:rsid w:val="0076125A"/>
    <w:rsid w:val="00776208"/>
    <w:rsid w:val="00782489"/>
    <w:rsid w:val="00784209"/>
    <w:rsid w:val="007855C9"/>
    <w:rsid w:val="00793F6A"/>
    <w:rsid w:val="0079416E"/>
    <w:rsid w:val="007A22CF"/>
    <w:rsid w:val="007B49ED"/>
    <w:rsid w:val="007C2FC5"/>
    <w:rsid w:val="007C3730"/>
    <w:rsid w:val="007C4BDB"/>
    <w:rsid w:val="007D196C"/>
    <w:rsid w:val="007D353F"/>
    <w:rsid w:val="007D77D3"/>
    <w:rsid w:val="007E430D"/>
    <w:rsid w:val="007E7D40"/>
    <w:rsid w:val="00804519"/>
    <w:rsid w:val="00812270"/>
    <w:rsid w:val="00832FA5"/>
    <w:rsid w:val="00834DFE"/>
    <w:rsid w:val="00835D6A"/>
    <w:rsid w:val="00840DD0"/>
    <w:rsid w:val="00841511"/>
    <w:rsid w:val="00856856"/>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E726A"/>
    <w:rsid w:val="008F189D"/>
    <w:rsid w:val="008F3450"/>
    <w:rsid w:val="009029DF"/>
    <w:rsid w:val="00910070"/>
    <w:rsid w:val="00914E63"/>
    <w:rsid w:val="00916337"/>
    <w:rsid w:val="0092266A"/>
    <w:rsid w:val="00922D8E"/>
    <w:rsid w:val="00932BC8"/>
    <w:rsid w:val="009335C8"/>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589C"/>
    <w:rsid w:val="009A7580"/>
    <w:rsid w:val="009B120B"/>
    <w:rsid w:val="009B3934"/>
    <w:rsid w:val="009B4252"/>
    <w:rsid w:val="009C28AE"/>
    <w:rsid w:val="009C4A1C"/>
    <w:rsid w:val="009D23DC"/>
    <w:rsid w:val="00A00B92"/>
    <w:rsid w:val="00A10200"/>
    <w:rsid w:val="00A14315"/>
    <w:rsid w:val="00A223FC"/>
    <w:rsid w:val="00A26BA7"/>
    <w:rsid w:val="00A433D8"/>
    <w:rsid w:val="00A5280B"/>
    <w:rsid w:val="00A52EA0"/>
    <w:rsid w:val="00A5329C"/>
    <w:rsid w:val="00A54A78"/>
    <w:rsid w:val="00A57082"/>
    <w:rsid w:val="00A653A1"/>
    <w:rsid w:val="00A663A2"/>
    <w:rsid w:val="00A73FB8"/>
    <w:rsid w:val="00A74FD1"/>
    <w:rsid w:val="00A80BAD"/>
    <w:rsid w:val="00A936B3"/>
    <w:rsid w:val="00AA7C0A"/>
    <w:rsid w:val="00AB13B9"/>
    <w:rsid w:val="00AB3C0F"/>
    <w:rsid w:val="00AB4E49"/>
    <w:rsid w:val="00AB572B"/>
    <w:rsid w:val="00AB70B7"/>
    <w:rsid w:val="00AB76D5"/>
    <w:rsid w:val="00AC3678"/>
    <w:rsid w:val="00AC5B57"/>
    <w:rsid w:val="00AC68FA"/>
    <w:rsid w:val="00AC7D5A"/>
    <w:rsid w:val="00AC7F7C"/>
    <w:rsid w:val="00AD7364"/>
    <w:rsid w:val="00AE33DC"/>
    <w:rsid w:val="00AE40BA"/>
    <w:rsid w:val="00AE6ED7"/>
    <w:rsid w:val="00AF3CE0"/>
    <w:rsid w:val="00AF7C8A"/>
    <w:rsid w:val="00B04114"/>
    <w:rsid w:val="00B44E44"/>
    <w:rsid w:val="00B51C10"/>
    <w:rsid w:val="00B52FDA"/>
    <w:rsid w:val="00B60E25"/>
    <w:rsid w:val="00B70CD2"/>
    <w:rsid w:val="00B74729"/>
    <w:rsid w:val="00B773DA"/>
    <w:rsid w:val="00B82586"/>
    <w:rsid w:val="00B8399B"/>
    <w:rsid w:val="00B84F66"/>
    <w:rsid w:val="00BA6133"/>
    <w:rsid w:val="00BA6BCB"/>
    <w:rsid w:val="00BB44B9"/>
    <w:rsid w:val="00BC57DD"/>
    <w:rsid w:val="00BC6134"/>
    <w:rsid w:val="00BC633A"/>
    <w:rsid w:val="00BC7C3C"/>
    <w:rsid w:val="00BD2134"/>
    <w:rsid w:val="00BD5FD0"/>
    <w:rsid w:val="00BD6582"/>
    <w:rsid w:val="00BE00BF"/>
    <w:rsid w:val="00BE7E0A"/>
    <w:rsid w:val="00BF63D6"/>
    <w:rsid w:val="00C04395"/>
    <w:rsid w:val="00C11655"/>
    <w:rsid w:val="00C15D24"/>
    <w:rsid w:val="00C21994"/>
    <w:rsid w:val="00C21A69"/>
    <w:rsid w:val="00C45FF3"/>
    <w:rsid w:val="00C5693C"/>
    <w:rsid w:val="00C71B0D"/>
    <w:rsid w:val="00C7511D"/>
    <w:rsid w:val="00C841FA"/>
    <w:rsid w:val="00C85630"/>
    <w:rsid w:val="00CA4FD6"/>
    <w:rsid w:val="00CB451A"/>
    <w:rsid w:val="00CB7C37"/>
    <w:rsid w:val="00CC23ED"/>
    <w:rsid w:val="00CE002B"/>
    <w:rsid w:val="00CF3742"/>
    <w:rsid w:val="00D01DEB"/>
    <w:rsid w:val="00D10FB7"/>
    <w:rsid w:val="00D11974"/>
    <w:rsid w:val="00D128FF"/>
    <w:rsid w:val="00D15AF0"/>
    <w:rsid w:val="00D15C1E"/>
    <w:rsid w:val="00D25C4B"/>
    <w:rsid w:val="00D56839"/>
    <w:rsid w:val="00D62160"/>
    <w:rsid w:val="00D70082"/>
    <w:rsid w:val="00D86E87"/>
    <w:rsid w:val="00D9006E"/>
    <w:rsid w:val="00D942CE"/>
    <w:rsid w:val="00DB1A50"/>
    <w:rsid w:val="00DB43CB"/>
    <w:rsid w:val="00DC6A47"/>
    <w:rsid w:val="00DD1549"/>
    <w:rsid w:val="00DD7C71"/>
    <w:rsid w:val="00DE787F"/>
    <w:rsid w:val="00DF698C"/>
    <w:rsid w:val="00E0283B"/>
    <w:rsid w:val="00E13D0F"/>
    <w:rsid w:val="00E172DD"/>
    <w:rsid w:val="00E21C2A"/>
    <w:rsid w:val="00E42BD6"/>
    <w:rsid w:val="00E50B36"/>
    <w:rsid w:val="00E908BC"/>
    <w:rsid w:val="00E958A9"/>
    <w:rsid w:val="00EA1DB3"/>
    <w:rsid w:val="00EA39EC"/>
    <w:rsid w:val="00EC2694"/>
    <w:rsid w:val="00ED26AB"/>
    <w:rsid w:val="00EE5E73"/>
    <w:rsid w:val="00EE720B"/>
    <w:rsid w:val="00EF4FF0"/>
    <w:rsid w:val="00F029DD"/>
    <w:rsid w:val="00F04E45"/>
    <w:rsid w:val="00F1075C"/>
    <w:rsid w:val="00F113A1"/>
    <w:rsid w:val="00F15FBA"/>
    <w:rsid w:val="00F202DC"/>
    <w:rsid w:val="00F3616C"/>
    <w:rsid w:val="00F42DC6"/>
    <w:rsid w:val="00F46085"/>
    <w:rsid w:val="00F465F7"/>
    <w:rsid w:val="00F46707"/>
    <w:rsid w:val="00F63579"/>
    <w:rsid w:val="00F6424C"/>
    <w:rsid w:val="00F71D17"/>
    <w:rsid w:val="00F96FDD"/>
    <w:rsid w:val="00F97A17"/>
    <w:rsid w:val="00FD73E0"/>
    <w:rsid w:val="00FE3F91"/>
    <w:rsid w:val="00FE77D7"/>
    <w:rsid w:val="00FF25AC"/>
    <w:rsid w:val="01EB85B4"/>
    <w:rsid w:val="043C1924"/>
    <w:rsid w:val="0570F9F4"/>
    <w:rsid w:val="1076A63B"/>
    <w:rsid w:val="14C1A2D3"/>
    <w:rsid w:val="240FE444"/>
    <w:rsid w:val="268A8E0E"/>
    <w:rsid w:val="26C11BD3"/>
    <w:rsid w:val="296B3223"/>
    <w:rsid w:val="37784064"/>
    <w:rsid w:val="39724389"/>
    <w:rsid w:val="3ABF1137"/>
    <w:rsid w:val="3FB48BA4"/>
    <w:rsid w:val="42C6AC04"/>
    <w:rsid w:val="44940019"/>
    <w:rsid w:val="472E5913"/>
    <w:rsid w:val="48B96BFD"/>
    <w:rsid w:val="4A6418C7"/>
    <w:rsid w:val="4AF69A2B"/>
    <w:rsid w:val="4D86FFD6"/>
    <w:rsid w:val="4FCC40B5"/>
    <w:rsid w:val="53B3CD7B"/>
    <w:rsid w:val="56AF6D02"/>
    <w:rsid w:val="5B0E701C"/>
    <w:rsid w:val="5B38DD37"/>
    <w:rsid w:val="5DBF0F19"/>
    <w:rsid w:val="62573B40"/>
    <w:rsid w:val="692E9EF5"/>
    <w:rsid w:val="6D8C69CB"/>
    <w:rsid w:val="712C2F90"/>
    <w:rsid w:val="7889D637"/>
    <w:rsid w:val="7BB3B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DF501C6-CB36-4C18-A0FB-C6319A737BDC}"/>
</file>

<file path=customXml/itemProps3.xml><?xml version="1.0" encoding="utf-8"?>
<ds:datastoreItem xmlns:ds="http://schemas.openxmlformats.org/officeDocument/2006/customXml" ds:itemID="{1AE3ABC2-BF26-4F0D-B207-E262504086CC}"/>
</file>

<file path=customXml/itemProps4.xml><?xml version="1.0" encoding="utf-8"?>
<ds:datastoreItem xmlns:ds="http://schemas.openxmlformats.org/officeDocument/2006/customXml" ds:itemID="{2FAAFD59-6188-41FB-A01E-123614E78F9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236</cp:revision>
  <cp:lastPrinted>2022-05-06T14:43:00Z</cp:lastPrinted>
  <dcterms:created xsi:type="dcterms:W3CDTF">2020-12-18T20:09:00Z</dcterms:created>
  <dcterms:modified xsi:type="dcterms:W3CDTF">2025-04-02T17:32:28Z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