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24BAF" w:rsidR="00F15FBA" w:rsidP="00F15FBA" w:rsidRDefault="00F15FBA" w14:paraId="6BA6C8A5" w14:textId="025ED5E5">
      <w:pPr>
        <w:pStyle w:val="Ttulo"/>
        <w:outlineLvl w:val="0"/>
        <w:rPr>
          <w:lang w:val="es-PE"/>
        </w:rPr>
      </w:pPr>
      <w:r w:rsidRPr="00124BAF">
        <w:rPr>
          <w:lang w:val="es-PE"/>
        </w:rPr>
        <w:t xml:space="preserve">RESOLUCIÓN </w:t>
      </w:r>
      <w:proofErr w:type="spellStart"/>
      <w:r w:rsidRPr="00124BAF">
        <w:rPr>
          <w:lang w:val="es-PE"/>
        </w:rPr>
        <w:t>N</w:t>
      </w:r>
      <w:r w:rsidRPr="00124BAF" w:rsidR="001631D6">
        <w:rPr>
          <w:lang w:val="es-PE"/>
        </w:rPr>
        <w:t>°</w:t>
      </w:r>
      <w:proofErr w:type="spellEnd"/>
      <w:r w:rsidRPr="00124BAF" w:rsidR="001631D6">
        <w:rPr>
          <w:lang w:val="es-PE"/>
        </w:rPr>
        <w:t xml:space="preserve"> </w:t>
      </w:r>
      <w:r w:rsidRPr="00124BAF" w:rsidR="00784209">
        <w:rPr>
          <w:lang w:val="es-PE"/>
        </w:rPr>
        <w:t>0</w:t>
      </w:r>
      <w:r w:rsidRPr="00124BAF" w:rsidR="005276A6">
        <w:rPr>
          <w:lang w:val="es-PE"/>
        </w:rPr>
        <w:t>9</w:t>
      </w:r>
      <w:r w:rsidRPr="00124BAF" w:rsidR="006A754A">
        <w:rPr>
          <w:lang w:val="es-PE"/>
        </w:rPr>
        <w:t>7</w:t>
      </w:r>
      <w:r w:rsidRPr="00124BAF" w:rsidR="00F96FDD">
        <w:rPr>
          <w:lang w:val="es-PE"/>
        </w:rPr>
        <w:t>/</w:t>
      </w:r>
      <w:r w:rsidRPr="00124BAF" w:rsidR="001631D6">
        <w:rPr>
          <w:lang w:val="es-PE"/>
        </w:rPr>
        <w:t>2</w:t>
      </w:r>
      <w:r w:rsidRPr="00124BAF" w:rsidR="00444D29">
        <w:rPr>
          <w:lang w:val="es-PE"/>
        </w:rPr>
        <w:t>2</w:t>
      </w:r>
    </w:p>
    <w:p w:rsidRPr="00124BAF" w:rsidR="00511CED" w:rsidP="00022570" w:rsidRDefault="00511CED" w14:paraId="14926A17" w14:textId="77777777">
      <w:pPr>
        <w:jc w:val="both"/>
        <w:outlineLvl w:val="0"/>
        <w:rPr>
          <w:b/>
          <w:bCs/>
          <w:lang w:val="es-PE"/>
        </w:rPr>
      </w:pPr>
    </w:p>
    <w:p w:rsidRPr="00124BAF" w:rsidR="00124BAF" w:rsidP="00124BAF" w:rsidRDefault="00124BAF" w14:paraId="142A7C9E" w14:textId="77777777">
      <w:pPr>
        <w:jc w:val="both"/>
        <w:outlineLvl w:val="0"/>
        <w:rPr>
          <w:b/>
          <w:bCs/>
          <w:lang w:val="es-PE"/>
        </w:rPr>
      </w:pPr>
      <w:r w:rsidRPr="00124BAF">
        <w:rPr>
          <w:b/>
          <w:bCs/>
          <w:lang w:val="es-PE"/>
        </w:rPr>
        <w:t>Vistos:</w:t>
      </w:r>
    </w:p>
    <w:p w:rsidRPr="00124BAF" w:rsidR="00124BAF" w:rsidP="00124BAF" w:rsidRDefault="00124BAF" w14:paraId="3CFB6B73" w14:textId="77777777">
      <w:pPr>
        <w:jc w:val="both"/>
        <w:rPr>
          <w:b/>
          <w:bCs/>
          <w:lang w:val="es-PE"/>
        </w:rPr>
      </w:pPr>
    </w:p>
    <w:p w:rsidRPr="00124BAF" w:rsidR="00124BAF" w:rsidP="00124BAF" w:rsidRDefault="00124BAF" w14:paraId="14560182" w14:textId="42CECB74">
      <w:pPr>
        <w:jc w:val="both"/>
        <w:rPr>
          <w:lang w:val="es-PE"/>
        </w:rPr>
      </w:pPr>
      <w:r w:rsidRPr="27DD8E64" w:rsidR="00124BAF">
        <w:rPr>
          <w:lang w:val="es-PE"/>
        </w:rPr>
        <w:t xml:space="preserve">Que, con fecha 15 de diciembre de 2021 don </w:t>
      </w:r>
      <w:r w:rsidRPr="27DD8E64" w:rsidR="1CB2F31D">
        <w:rPr>
          <w:lang w:val="es-PE"/>
        </w:rPr>
        <w:t>.................................................</w:t>
      </w:r>
      <w:r w:rsidRPr="27DD8E64" w:rsidR="00124BAF">
        <w:rPr>
          <w:lang w:val="es-PE"/>
        </w:rPr>
        <w:t xml:space="preserve"> interpone reclamación ante esta Defensoría del </w:t>
      </w:r>
      <w:r w:rsidRPr="27DD8E64" w:rsidR="00124BAF">
        <w:rPr>
          <w:rFonts w:eastAsia="Arial Unicode MS"/>
          <w:lang w:val="es-PE"/>
        </w:rPr>
        <w:t>Asegurado</w:t>
      </w:r>
      <w:r w:rsidRPr="27DD8E64" w:rsidR="00124BAF">
        <w:rPr>
          <w:lang w:val="es-PE"/>
        </w:rPr>
        <w:t xml:space="preserve"> (DEFASEG) solicitando que </w:t>
      </w:r>
      <w:r w:rsidRPr="27DD8E64" w:rsidR="3D1DC3D0">
        <w:rPr>
          <w:lang w:val="es-PE"/>
        </w:rPr>
        <w:t>.............................................</w:t>
      </w:r>
      <w:r w:rsidRPr="27DD8E64" w:rsidR="00124BAF">
        <w:rPr>
          <w:lang w:val="es-PE"/>
        </w:rPr>
        <w:t xml:space="preserve"> otorgue carta de garantía al siniestro que afecto su rodilla, conforme a la Póliza de Seguro </w:t>
      </w:r>
      <w:r w:rsidRPr="27DD8E64" w:rsidR="798237CF">
        <w:rPr>
          <w:lang w:val="es-PE"/>
        </w:rPr>
        <w:t>.......................................................</w:t>
      </w:r>
    </w:p>
    <w:p w:rsidRPr="00124BAF" w:rsidR="00124BAF" w:rsidP="00124BAF" w:rsidRDefault="00124BAF" w14:paraId="42848CD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124BAF" w:rsidR="00124BAF" w:rsidP="00124BAF" w:rsidRDefault="00124BAF" w14:paraId="721B681F" w14:textId="77777777">
      <w:pPr>
        <w:jc w:val="both"/>
        <w:rPr>
          <w:rFonts w:eastAsia="Arial Unicode MS"/>
          <w:lang w:val="es-PE"/>
        </w:rPr>
      </w:pPr>
      <w:r w:rsidRPr="00124BAF">
        <w:rPr>
          <w:rFonts w:eastAsia="Arial Unicode MS"/>
          <w:lang w:val="es-PE"/>
        </w:rPr>
        <w:t>Que, la señalada reclamación cumplió con los requisitos de materia, cuantía y oportunidad establecidos en el Reglamento de la DEFASEG (http://www.defaseg.com.pe/reglamento.html);</w:t>
      </w:r>
    </w:p>
    <w:p w:rsidRPr="00124BAF" w:rsidR="00124BAF" w:rsidP="00124BAF" w:rsidRDefault="00124BAF" w14:paraId="20765590" w14:textId="77777777">
      <w:pPr>
        <w:tabs>
          <w:tab w:val="left" w:pos="2160"/>
        </w:tabs>
        <w:jc w:val="both"/>
        <w:rPr>
          <w:lang w:val="es-PE"/>
        </w:rPr>
      </w:pPr>
    </w:p>
    <w:p w:rsidRPr="00124BAF" w:rsidR="00124BAF" w:rsidP="00124BAF" w:rsidRDefault="00124BAF" w14:paraId="76BD4927" w14:textId="32D4B709">
      <w:pPr>
        <w:tabs>
          <w:tab w:val="num" w:pos="720"/>
        </w:tabs>
        <w:jc w:val="both"/>
        <w:rPr>
          <w:lang w:val="es-PE"/>
        </w:rPr>
      </w:pPr>
      <w:r w:rsidRPr="27DD8E64" w:rsidR="00124BAF">
        <w:rPr>
          <w:lang w:val="es-PE"/>
        </w:rPr>
        <w:t xml:space="preserve">Que, habiéndosele corrido traslado de la respectiva reclamación, </w:t>
      </w:r>
      <w:r w:rsidRPr="27DD8E64" w:rsidR="7637BA79">
        <w:rPr>
          <w:lang w:val="es-PE"/>
        </w:rPr>
        <w:t>.....................................</w:t>
      </w:r>
      <w:r w:rsidRPr="27DD8E64" w:rsidR="00124BAF">
        <w:rPr>
          <w:lang w:val="es-PE"/>
        </w:rPr>
        <w:t xml:space="preserve"> solicitó un plazo adicional para presentar sus descargos, los cuales finalmente presenta el 19 de abril de 2022;</w:t>
      </w:r>
    </w:p>
    <w:p w:rsidRPr="00124BAF" w:rsidR="00124BAF" w:rsidP="00124BAF" w:rsidRDefault="00124BAF" w14:paraId="56AC672F" w14:textId="77777777">
      <w:pPr>
        <w:tabs>
          <w:tab w:val="num" w:pos="720"/>
        </w:tabs>
        <w:jc w:val="both"/>
        <w:rPr>
          <w:lang w:val="es-PE"/>
        </w:rPr>
      </w:pPr>
    </w:p>
    <w:p w:rsidRPr="00124BAF" w:rsidR="00124BAF" w:rsidP="00124BAF" w:rsidRDefault="00124BAF" w14:paraId="2EFF6665" w14:textId="77777777">
      <w:pPr>
        <w:tabs>
          <w:tab w:val="num" w:pos="720"/>
        </w:tabs>
        <w:jc w:val="both"/>
      </w:pPr>
      <w:r w:rsidRPr="00124BAF">
        <w:rPr>
          <w:lang w:val="es-PE"/>
        </w:rPr>
        <w:t xml:space="preserve">Que, el 25 de abril de 2022 se realizó la correspondiente audiencia virtual de vista con la sola participación de la parte reclamante, la que sustentó su posición, absolviendo las diversas preguntas formuladas, conforme consta en la correspondiente acta;  </w:t>
      </w:r>
    </w:p>
    <w:p w:rsidRPr="00124BAF" w:rsidR="00124BAF" w:rsidP="00124BAF" w:rsidRDefault="00124BAF" w14:paraId="1707EEE2"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124BAF" w:rsidR="00124BAF" w:rsidP="00124BAF" w:rsidRDefault="00124BAF" w14:paraId="266424CD" w14:textId="1216A2F0">
      <w:pPr>
        <w:jc w:val="both"/>
      </w:pPr>
      <w:r w:rsidRPr="27DD8E64" w:rsidR="00124BAF">
        <w:rPr>
          <w:lang w:val="es-PE"/>
        </w:rPr>
        <w:t xml:space="preserve">Que, la parte reclamante sustenta su reclamo resumidamente en lo siguiente: a) Estuvo en la póliza de </w:t>
      </w:r>
      <w:r w:rsidRPr="27DD8E64" w:rsidR="42DA02CE">
        <w:rPr>
          <w:lang w:val="es-PE"/>
        </w:rPr>
        <w:t>.........................</w:t>
      </w:r>
      <w:r w:rsidRPr="27DD8E64" w:rsidR="00124BAF">
        <w:rPr>
          <w:lang w:val="es-PE"/>
        </w:rPr>
        <w:t xml:space="preserve"> desde el año 2017 a través de su empleador, durante su permanencia en la póliza tuvo que ser operado en la rodilla, lamentablemente la operación no fue del todo exitosa; b) en el año 2021 dejó la compañía en la que laboraba y adquirió el seguro AMI con </w:t>
      </w:r>
      <w:r w:rsidRPr="27DD8E64" w:rsidR="46FB05EE">
        <w:rPr>
          <w:lang w:val="es-PE"/>
        </w:rPr>
        <w:t>.........................</w:t>
      </w:r>
      <w:r w:rsidRPr="27DD8E64" w:rsidR="00124BAF">
        <w:rPr>
          <w:lang w:val="es-PE"/>
        </w:rPr>
        <w:t>; c) posteriormente tomó la decisión de volver a operarse de la rodilla para solucionar su problema, no obstante le rechazaron la carta de garantía indicando que habían pasado 60 días de su póliza de la EPS por lo que la operación no se cubriría, en tanto al exceder dicho plazo se pierde el beneficio de poder tratarse las preexistencias; d) no está de acuerdo con dicha posición porque no ha cambiado de compañía de seguros y se encuentra en una póliza inmediatamente después de haber dejado la EPS y con la misma compañía de seguros, habiendo pasado 67 días entre su salida de la EPS y la nueva póliza de seguros</w:t>
      </w:r>
      <w:r w:rsidR="00124BAF">
        <w:rPr/>
        <w:t>.</w:t>
      </w:r>
    </w:p>
    <w:p w:rsidRPr="00124BAF" w:rsidR="00124BAF" w:rsidP="00124BAF" w:rsidRDefault="00124BAF" w14:paraId="6AE49800" w14:textId="77777777">
      <w:pPr>
        <w:jc w:val="both"/>
        <w:rPr>
          <w:lang w:val="es-PE"/>
        </w:rPr>
      </w:pPr>
    </w:p>
    <w:p w:rsidRPr="00124BAF" w:rsidR="00124BAF" w:rsidP="00124BAF" w:rsidRDefault="00124BAF" w14:paraId="5EA8156F" w14:textId="1B68FBED">
      <w:pPr>
        <w:jc w:val="both"/>
        <w:rPr>
          <w:lang w:val="es-PE"/>
        </w:rPr>
      </w:pPr>
      <w:r w:rsidRPr="27DD8E64" w:rsidR="00124BAF">
        <w:rPr>
          <w:lang w:val="es-PE"/>
        </w:rPr>
        <w:t xml:space="preserve">Que, por su parte, en su contestación a la reclamación, </w:t>
      </w:r>
      <w:r w:rsidRPr="27DD8E64" w:rsidR="1D42C627">
        <w:rPr>
          <w:lang w:val="es-PE"/>
        </w:rPr>
        <w:t>.....................................</w:t>
      </w:r>
      <w:r w:rsidRPr="27DD8E64" w:rsidR="00124BAF">
        <w:rPr>
          <w:lang w:val="es-PE"/>
        </w:rPr>
        <w:t xml:space="preserve"> expresa resumidamente lo siguiente: a) el asegurado contó con un plan médico EPS que culminó el 31 de marzo de 2021, luego de ello con fecha 10 de junio de 2021 contrato el seguro AMI Salud Red Médica con vigencia hasta el 09 de junio de 2022; b) con fecha 07 de diciembre de 2021 se solicitó una carta de garantía para una operación de la rodilla, por lo que al revisar los antecedentes vieron el antecedente trastorno de la rodilla que resultaba preexistente a la contratación del seguro, el cual se encuentra excluido de la cobertura de seguro; c) el asegurado incurre en error al señalar que en virtud de la Ley 28770 se debe mantener el tratamiento de preexistencias, toda vez que dicha ley regula la utilización de preexistencias en la contratación de un nuevo seguro con la misma compañía; ley que no resulta aplicable al caso en concreto, toda vez que es de aplicación entre empresas de seguros  y no entre EPS y aseguradora y viceversa; d) el asegurado hubiera gozado de continuidad siempre y cuando una vez concluida la vigencia de su plan médico, hubiera cambiado de plan médico a consecuencia de cambio de centro laboral o de EPS, según lo dispuesto en el artículo 1 de la Ley 29561; en este caso el asegurado decidió contratar un seguro sin que sea aplicable en su </w:t>
      </w:r>
      <w:r w:rsidRPr="27DD8E64" w:rsidR="00124BAF">
        <w:rPr>
          <w:lang w:val="es-PE"/>
        </w:rPr>
        <w:t>caso el plazo máximo de 120 días previsto en el artículo 1 de la Ley 28770, que se aprobó para aquellas personas que se trasladen de una póliza grupal a una póliza individual de otra aseguradora; en consecuencia Rímac no se encontraba en la obligación de ejecutar la cobertura del seguro AMI Salud Red Médica, debiéndose declarar infundado el reclamo.</w:t>
      </w:r>
    </w:p>
    <w:p w:rsidRPr="00124BAF" w:rsidR="00124BAF" w:rsidP="00124BAF" w:rsidRDefault="00124BAF" w14:paraId="714B30A4" w14:textId="77777777">
      <w:pPr>
        <w:jc w:val="both"/>
        <w:rPr>
          <w:lang w:val="es-PE"/>
        </w:rPr>
      </w:pPr>
    </w:p>
    <w:p w:rsidRPr="00124BAF" w:rsidR="00124BAF" w:rsidP="00124BAF" w:rsidRDefault="00124BAF" w14:paraId="52300092" w14:textId="77777777">
      <w:pPr>
        <w:jc w:val="both"/>
        <w:outlineLvl w:val="0"/>
        <w:rPr>
          <w:lang w:val="es-PE"/>
        </w:rPr>
      </w:pPr>
      <w:r w:rsidRPr="00124BAF">
        <w:rPr>
          <w:rStyle w:val="Textoennegrita"/>
          <w:lang w:val="es-PE"/>
        </w:rPr>
        <w:t>Considerando:</w:t>
      </w:r>
    </w:p>
    <w:p w:rsidRPr="00124BAF" w:rsidR="00124BAF" w:rsidP="00124BAF" w:rsidRDefault="00124BAF" w14:paraId="1692D1F5" w14:textId="77777777">
      <w:pPr>
        <w:jc w:val="both"/>
        <w:rPr>
          <w:lang w:val="es-PE"/>
        </w:rPr>
      </w:pPr>
    </w:p>
    <w:p w:rsidRPr="00124BAF" w:rsidR="00124BAF" w:rsidP="00124BAF" w:rsidRDefault="00124BAF" w14:paraId="198D7395" w14:textId="77777777">
      <w:pPr>
        <w:jc w:val="both"/>
        <w:rPr>
          <w:lang w:val="es-PE"/>
        </w:rPr>
      </w:pPr>
      <w:r w:rsidRPr="00124BAF">
        <w:rPr>
          <w:b/>
          <w:u w:val="single"/>
          <w:lang w:val="es-PE"/>
        </w:rPr>
        <w:t>Primero</w:t>
      </w:r>
      <w:r w:rsidRPr="00124BAF">
        <w:rPr>
          <w:b/>
          <w:lang w:val="es-PE"/>
        </w:rPr>
        <w:t xml:space="preserve">: </w:t>
      </w:r>
      <w:r w:rsidRPr="00124BAF">
        <w:rPr>
          <w:lang w:val="es-PE"/>
        </w:rPr>
        <w:t>Que, conforme a su Reglamento, la</w:t>
      </w:r>
      <w:r w:rsidRPr="00124BAF">
        <w:rPr>
          <w:b/>
          <w:bCs/>
          <w:lang w:val="es-PE"/>
        </w:rPr>
        <w:t xml:space="preserve"> </w:t>
      </w:r>
      <w:r w:rsidRPr="00124BAF">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124BAF" w:rsidR="00124BAF" w:rsidP="00124BAF" w:rsidRDefault="00124BAF" w14:paraId="6297CADB" w14:textId="77777777">
      <w:pPr>
        <w:jc w:val="both"/>
        <w:rPr>
          <w:rStyle w:val="Textoennegrita"/>
          <w:b w:val="0"/>
        </w:rPr>
      </w:pPr>
    </w:p>
    <w:p w:rsidRPr="00124BAF" w:rsidR="00124BAF" w:rsidP="00124BAF" w:rsidRDefault="00124BAF" w14:paraId="744E2872" w14:textId="77777777">
      <w:pPr>
        <w:jc w:val="both"/>
        <w:rPr>
          <w:rStyle w:val="Textoennegrita"/>
          <w:b w:val="0"/>
          <w:lang w:val="es-PE"/>
        </w:rPr>
      </w:pPr>
      <w:r w:rsidRPr="00124BAF">
        <w:rPr>
          <w:rStyle w:val="Textoennegrita"/>
          <w:u w:val="single"/>
          <w:lang w:val="es-PE"/>
        </w:rPr>
        <w:t>Segundo</w:t>
      </w:r>
      <w:r w:rsidRPr="00124BAF">
        <w:rPr>
          <w:rStyle w:val="Textoennegrita"/>
          <w:lang w:val="es-PE"/>
        </w:rPr>
        <w:t xml:space="preserve">: </w:t>
      </w:r>
      <w:r w:rsidRPr="00124BAF">
        <w:rPr>
          <w:lang w:val="es-PE"/>
        </w:rPr>
        <w:t xml:space="preserve">Asimismo, de acuerdo a </w:t>
      </w:r>
      <w:r w:rsidRPr="00124BAF">
        <w:rPr>
          <w:rStyle w:val="Textoennegrita"/>
          <w:b w:val="0"/>
          <w:bCs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ser las pretensiones indemnizatorias por daños y perjuicios, por reembolso de gastos, o idoneidad de servicios, son ajenas a la competencia funcional de esta Defensoría.</w:t>
      </w:r>
    </w:p>
    <w:p w:rsidRPr="00124BAF" w:rsidR="00124BAF" w:rsidP="00124BAF" w:rsidRDefault="00124BAF" w14:paraId="75728509" w14:textId="77777777">
      <w:pPr>
        <w:jc w:val="both"/>
      </w:pPr>
    </w:p>
    <w:p w:rsidRPr="00124BAF" w:rsidR="00124BAF" w:rsidP="00124BAF" w:rsidRDefault="00124BAF" w14:paraId="4566B290" w14:textId="77777777">
      <w:pPr>
        <w:jc w:val="both"/>
        <w:rPr>
          <w:rStyle w:val="Textoennegrita"/>
          <w:b w:val="0"/>
          <w:bCs w:val="0"/>
        </w:rPr>
      </w:pPr>
      <w:r w:rsidRPr="00124BAF">
        <w:rPr>
          <w:rStyle w:val="Textoennegrita"/>
          <w:u w:val="single"/>
          <w:lang w:val="es-PE"/>
        </w:rPr>
        <w:t>Tercero</w:t>
      </w:r>
      <w:r w:rsidRPr="00124BAF">
        <w:rPr>
          <w:rStyle w:val="Textoennegrita"/>
          <w:lang w:val="es-PE"/>
        </w:rPr>
        <w:t>:</w:t>
      </w:r>
      <w:r w:rsidRPr="00124BAF">
        <w:rPr>
          <w:lang w:val="es-PE"/>
        </w:rPr>
        <w:t xml:space="preserve"> Que, el artículo 380 del Código de Comercio establece que el contrato de seguro se rige por los pactos lícitos contenidos en la respectiva póliza, siendo que e</w:t>
      </w:r>
      <w:r w:rsidRPr="00124BAF">
        <w:t>l artículo 1 de la Ley Nro. 29946 – Ley del Contrato de Seguro, norma legal aplicable al presente caso, dispone que por el contrato de seguro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lo cual se encuentra enmarcado en una póliza o certificado de seguro -según se trate de una póliza individual o grupal- que la aseguradora debe entregar al contratante.</w:t>
      </w:r>
    </w:p>
    <w:p w:rsidRPr="00124BAF" w:rsidR="00124BAF" w:rsidP="00124BAF" w:rsidRDefault="00124BAF" w14:paraId="0FDD27BD" w14:textId="77777777">
      <w:pPr>
        <w:jc w:val="both"/>
        <w:rPr>
          <w:b/>
          <w:u w:val="single"/>
        </w:rPr>
      </w:pPr>
    </w:p>
    <w:p w:rsidRPr="00124BAF" w:rsidR="00124BAF" w:rsidP="00124BAF" w:rsidRDefault="00124BAF" w14:paraId="324A46F1" w14:textId="77777777">
      <w:pPr>
        <w:jc w:val="both"/>
        <w:rPr>
          <w:lang w:val="es-PE"/>
        </w:rPr>
      </w:pPr>
      <w:r w:rsidRPr="00124BAF">
        <w:rPr>
          <w:b/>
          <w:u w:val="single"/>
          <w:lang w:val="es-PE"/>
        </w:rPr>
        <w:t>Cuarto</w:t>
      </w:r>
      <w:r w:rsidRPr="00124BAF">
        <w:rPr>
          <w:b/>
          <w:lang w:val="es-PE"/>
        </w:rPr>
        <w:t>:</w:t>
      </w:r>
      <w:r w:rsidRPr="00124BAF">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124BAF" w:rsidR="00124BAF" w:rsidP="00124BAF" w:rsidRDefault="00124BAF" w14:paraId="669057C0" w14:textId="77777777">
      <w:pPr>
        <w:jc w:val="both"/>
        <w:rPr>
          <w:rStyle w:val="Textoennegrita"/>
          <w:b w:val="0"/>
        </w:rPr>
      </w:pPr>
    </w:p>
    <w:p w:rsidRPr="00124BAF" w:rsidR="00124BAF" w:rsidP="00124BAF" w:rsidRDefault="00124BAF" w14:paraId="4A835689" w14:textId="77777777">
      <w:pPr>
        <w:jc w:val="both"/>
      </w:pPr>
      <w:r w:rsidRPr="00124BAF">
        <w:rPr>
          <w:rStyle w:val="Textoennegrita"/>
          <w:u w:val="single"/>
          <w:lang w:val="es-PE"/>
        </w:rPr>
        <w:t>Quinto</w:t>
      </w:r>
      <w:r w:rsidRPr="00124BAF">
        <w:rPr>
          <w:rStyle w:val="Textoennegrita"/>
          <w:lang w:val="es-PE"/>
        </w:rPr>
        <w:t>: Que, en materia procesal</w:t>
      </w:r>
      <w:r w:rsidRPr="00124BAF">
        <w:rPr>
          <w:lang w:val="es-PE"/>
        </w:rPr>
        <w:t>, corresponde a quien invoca hechos probar su existencia, carga procesal a la que refiere el artículo 196 del Código Procesal Civil, salvo que se acoja a alguna presunción legal de carácter relativo o absoluto.</w:t>
      </w:r>
    </w:p>
    <w:p w:rsidRPr="00124BAF" w:rsidR="00124BAF" w:rsidP="00124BAF" w:rsidRDefault="00124BAF" w14:paraId="2B9BB44A" w14:textId="77777777">
      <w:pPr>
        <w:jc w:val="both"/>
        <w:rPr>
          <w:lang w:val="es-PE"/>
        </w:rPr>
      </w:pPr>
    </w:p>
    <w:p w:rsidRPr="00124BAF" w:rsidR="00124BAF" w:rsidP="00124BAF" w:rsidRDefault="00124BAF" w14:paraId="0F6051A7" w14:textId="26200606">
      <w:pPr>
        <w:tabs>
          <w:tab w:val="left" w:pos="2160"/>
        </w:tabs>
        <w:jc w:val="both"/>
        <w:rPr>
          <w:lang w:val="es-PE"/>
        </w:rPr>
      </w:pPr>
      <w:r w:rsidRPr="27DD8E64" w:rsidR="00124BAF">
        <w:rPr>
          <w:b w:val="1"/>
          <w:bCs w:val="1"/>
          <w:u w:val="single"/>
          <w:lang w:val="es-PE"/>
        </w:rPr>
        <w:t>Sexto</w:t>
      </w:r>
      <w:r w:rsidRPr="27DD8E64" w:rsidR="00124BAF">
        <w:rPr>
          <w:b w:val="1"/>
          <w:bCs w:val="1"/>
          <w:lang w:val="es-PE"/>
        </w:rPr>
        <w:t>:</w:t>
      </w:r>
      <w:r w:rsidRPr="27DD8E64" w:rsidR="00124BAF">
        <w:rPr>
          <w:lang w:val="es-PE"/>
        </w:rPr>
        <w:t xml:space="preserve"> Que, sobre la base de los términos contenidos en la reclamación y en la absolución de </w:t>
      </w:r>
      <w:r w:rsidRPr="27DD8E64" w:rsidR="00124BAF">
        <w:rPr>
          <w:lang w:val="es-PE"/>
        </w:rPr>
        <w:t>la misma</w:t>
      </w:r>
      <w:r w:rsidRPr="27DD8E64" w:rsidR="00124BAF">
        <w:rPr>
          <w:lang w:val="es-PE"/>
        </w:rPr>
        <w:t xml:space="preserve">, así como lo tratado en la audiencia de vista, la cuestión controvertida radica en determinar si el rechazo de cobertura sustentado en preexistencia </w:t>
      </w:r>
      <w:r w:rsidRPr="27DD8E64" w:rsidR="00124BAF">
        <w:rPr>
          <w:lang w:val="es-PE"/>
        </w:rPr>
        <w:t>resulta legítimo</w:t>
      </w:r>
      <w:r w:rsidRPr="27DD8E64" w:rsidR="00124BAF">
        <w:rPr>
          <w:lang w:val="es-PE"/>
        </w:rPr>
        <w:t>; o si por el contrario resultan aplicables las normas que regulan la continuidad de preexistencias cuando se cumplen los plazos de continuidad establecidos para dicho efecto.</w:t>
      </w:r>
    </w:p>
    <w:p w:rsidRPr="00124BAF" w:rsidR="00124BAF" w:rsidP="00124BAF" w:rsidRDefault="00124BAF" w14:paraId="7D29342E" w14:textId="77777777">
      <w:pPr>
        <w:tabs>
          <w:tab w:val="left" w:pos="2160"/>
        </w:tabs>
        <w:jc w:val="both"/>
        <w:rPr>
          <w:lang w:val="es-PE"/>
        </w:rPr>
      </w:pPr>
    </w:p>
    <w:p w:rsidRPr="00124BAF" w:rsidR="00124BAF" w:rsidP="00124BAF" w:rsidRDefault="00124BAF" w14:paraId="30C3B19D" w14:textId="77777777">
      <w:pPr>
        <w:tabs>
          <w:tab w:val="left" w:pos="2160"/>
        </w:tabs>
        <w:jc w:val="both"/>
        <w:rPr>
          <w:lang w:val="es-PE"/>
        </w:rPr>
      </w:pPr>
      <w:r w:rsidRPr="00124BAF">
        <w:rPr>
          <w:lang w:val="es-PE"/>
        </w:rPr>
        <w:t>Al respecto, debe considerarse lo siguiente:</w:t>
      </w:r>
    </w:p>
    <w:p w:rsidRPr="00124BAF" w:rsidR="00124BAF" w:rsidP="00124BAF" w:rsidRDefault="00124BAF" w14:paraId="5E8192E6" w14:textId="77777777">
      <w:pPr>
        <w:tabs>
          <w:tab w:val="left" w:pos="2160"/>
        </w:tabs>
        <w:jc w:val="both"/>
        <w:rPr>
          <w:lang w:val="es-PE"/>
        </w:rPr>
      </w:pPr>
    </w:p>
    <w:p w:rsidRPr="00124BAF" w:rsidR="00124BAF" w:rsidP="00124BAF" w:rsidRDefault="00124BAF" w14:paraId="2BED6A9B" w14:textId="77777777">
      <w:pPr>
        <w:tabs>
          <w:tab w:val="left" w:pos="2160"/>
        </w:tabs>
        <w:ind w:left="567" w:hanging="567"/>
        <w:jc w:val="both"/>
        <w:rPr>
          <w:lang w:val="es-PE"/>
        </w:rPr>
      </w:pPr>
      <w:r w:rsidRPr="00124BAF">
        <w:rPr>
          <w:bCs/>
          <w:lang w:val="es-PE"/>
        </w:rPr>
        <w:t xml:space="preserve">6.1. </w:t>
      </w:r>
      <w:r w:rsidRPr="00124BAF">
        <w:rPr>
          <w:bCs/>
          <w:lang w:val="es-PE"/>
        </w:rPr>
        <w:tab/>
      </w:r>
      <w:r w:rsidRPr="00124BAF">
        <w:rPr>
          <w:lang w:val="es-PE"/>
        </w:rPr>
        <w:t>No es un hecho controvertido que el reclamante sufrió un siniestro que afectó su rodilla en fecha anterior a la contratación de la póliza materia de reclamo.</w:t>
      </w:r>
    </w:p>
    <w:p w:rsidRPr="00124BAF" w:rsidR="00124BAF" w:rsidP="00124BAF" w:rsidRDefault="00124BAF" w14:paraId="4E1F891C" w14:textId="77777777">
      <w:pPr>
        <w:tabs>
          <w:tab w:val="left" w:pos="2160"/>
        </w:tabs>
        <w:jc w:val="both"/>
        <w:rPr>
          <w:lang w:val="es-PE"/>
        </w:rPr>
      </w:pPr>
    </w:p>
    <w:p w:rsidRPr="00124BAF" w:rsidR="00124BAF" w:rsidP="00124BAF" w:rsidRDefault="00124BAF" w14:paraId="2ADBD7FB" w14:textId="77777777">
      <w:pPr>
        <w:tabs>
          <w:tab w:val="left" w:pos="2160"/>
        </w:tabs>
        <w:ind w:left="567" w:hanging="567"/>
        <w:jc w:val="both"/>
        <w:rPr>
          <w:lang w:val="es-PE"/>
        </w:rPr>
      </w:pPr>
      <w:r w:rsidRPr="00124BAF">
        <w:rPr>
          <w:lang w:val="es-PE"/>
        </w:rPr>
        <w:t xml:space="preserve">6.2. </w:t>
      </w:r>
      <w:r w:rsidRPr="00124BAF">
        <w:rPr>
          <w:lang w:val="es-PE"/>
        </w:rPr>
        <w:tab/>
      </w:r>
      <w:r w:rsidRPr="00124BAF">
        <w:rPr>
          <w:lang w:val="es-PE"/>
        </w:rPr>
        <w:t>Tampoco constituyen hechos controvertidos los siguientes:</w:t>
      </w:r>
    </w:p>
    <w:p w:rsidRPr="00124BAF" w:rsidR="00124BAF" w:rsidP="00124BAF" w:rsidRDefault="00124BAF" w14:paraId="4EF985BC" w14:textId="1F40A121">
      <w:pPr>
        <w:pStyle w:val="Prrafodelista"/>
        <w:numPr>
          <w:ilvl w:val="0"/>
          <w:numId w:val="12"/>
        </w:numPr>
        <w:tabs>
          <w:tab w:val="left" w:pos="2160"/>
        </w:tabs>
        <w:jc w:val="both"/>
        <w:rPr>
          <w:lang w:val="es-PE"/>
        </w:rPr>
      </w:pPr>
      <w:r w:rsidRPr="27DD8E64" w:rsidR="00124BAF">
        <w:rPr>
          <w:lang w:val="es-PE"/>
        </w:rPr>
        <w:t xml:space="preserve">Que el reclamante estuvo asegurado bajo el plan de salud de </w:t>
      </w:r>
      <w:r w:rsidRPr="27DD8E64" w:rsidR="53DDD3C9">
        <w:rPr>
          <w:lang w:val="es-PE"/>
        </w:rPr>
        <w:t>......................</w:t>
      </w:r>
      <w:r w:rsidRPr="27DD8E64" w:rsidR="00124BAF">
        <w:rPr>
          <w:lang w:val="es-PE"/>
        </w:rPr>
        <w:t>, hasta el 31 de marzo de 2021, plan contratado a través de la empresa donde trabajó donde estuvo desde el año 2017 hasta la fecha indicada.</w:t>
      </w:r>
    </w:p>
    <w:p w:rsidRPr="00124BAF" w:rsidR="00124BAF" w:rsidP="00124BAF" w:rsidRDefault="00124BAF" w14:paraId="558C570F" w14:textId="4A9793FD">
      <w:pPr>
        <w:pStyle w:val="Prrafodelista"/>
        <w:numPr>
          <w:ilvl w:val="0"/>
          <w:numId w:val="12"/>
        </w:numPr>
        <w:tabs>
          <w:tab w:val="left" w:pos="2160"/>
        </w:tabs>
        <w:jc w:val="both"/>
        <w:rPr>
          <w:lang w:val="es-PE"/>
        </w:rPr>
      </w:pPr>
      <w:r w:rsidRPr="27DD8E64" w:rsidR="00124BAF">
        <w:rPr>
          <w:lang w:val="es-PE"/>
        </w:rPr>
        <w:t xml:space="preserve">Que el reclamante adquirió un seguro de salud con </w:t>
      </w:r>
      <w:r w:rsidRPr="27DD8E64" w:rsidR="5ED72EFA">
        <w:rPr>
          <w:lang w:val="es-PE"/>
        </w:rPr>
        <w:t>.........................</w:t>
      </w:r>
      <w:r w:rsidRPr="27DD8E64" w:rsidR="00124BAF">
        <w:rPr>
          <w:lang w:val="es-PE"/>
        </w:rPr>
        <w:t xml:space="preserve"> </w:t>
      </w:r>
      <w:r w:rsidRPr="27DD8E64" w:rsidR="00124BAF">
        <w:rPr>
          <w:lang w:val="es-PE"/>
        </w:rPr>
        <w:t xml:space="preserve">con vigencia desde el 10 de junio de 2021, a los 67 días </w:t>
      </w:r>
      <w:r w:rsidR="00124BAF">
        <w:rPr/>
        <w:t xml:space="preserve">de haber dejado de laborar en la empresa en la cual tenía contratado el plan de salud con </w:t>
      </w:r>
      <w:r w:rsidR="01EEE09B">
        <w:rPr/>
        <w:t>......................</w:t>
      </w:r>
      <w:r w:rsidR="00124BAF">
        <w:rPr/>
        <w:t xml:space="preserve"> </w:t>
      </w:r>
    </w:p>
    <w:p w:rsidRPr="00124BAF" w:rsidR="00124BAF" w:rsidP="00124BAF" w:rsidRDefault="00124BAF" w14:paraId="03F4CB85" w14:textId="77777777">
      <w:pPr>
        <w:tabs>
          <w:tab w:val="left" w:pos="2160"/>
        </w:tabs>
        <w:jc w:val="both"/>
        <w:rPr>
          <w:lang w:val="es-PE"/>
        </w:rPr>
      </w:pPr>
    </w:p>
    <w:p w:rsidRPr="00124BAF" w:rsidR="00124BAF" w:rsidP="00124BAF" w:rsidRDefault="00124BAF" w14:paraId="61306476" w14:textId="2290574E">
      <w:pPr>
        <w:tabs>
          <w:tab w:val="left" w:pos="2160"/>
        </w:tabs>
        <w:ind w:left="567" w:hanging="567"/>
        <w:jc w:val="both"/>
        <w:rPr>
          <w:lang w:val="es-PE"/>
        </w:rPr>
      </w:pPr>
      <w:r w:rsidRPr="27DD8E64" w:rsidR="00124BAF">
        <w:rPr>
          <w:lang w:val="es-PE"/>
        </w:rPr>
        <w:t xml:space="preserve">6.3. </w:t>
      </w:r>
      <w:r>
        <w:tab/>
      </w:r>
      <w:r w:rsidRPr="27DD8E64" w:rsidR="00124BAF">
        <w:rPr>
          <w:lang w:val="es-PE"/>
        </w:rPr>
        <w:t xml:space="preserve">Es importante precisar </w:t>
      </w:r>
      <w:r w:rsidRPr="27DD8E64" w:rsidR="00124BAF">
        <w:rPr>
          <w:lang w:val="es-PE"/>
        </w:rPr>
        <w:t>que</w:t>
      </w:r>
      <w:r w:rsidRPr="27DD8E64" w:rsidR="00124BAF">
        <w:rPr>
          <w:lang w:val="es-PE"/>
        </w:rPr>
        <w:t xml:space="preserve"> </w:t>
      </w:r>
      <w:r w:rsidRPr="27DD8E64" w:rsidR="0B7C3366">
        <w:rPr>
          <w:lang w:val="es-PE"/>
        </w:rPr>
        <w:t>..........................</w:t>
      </w:r>
      <w:r w:rsidRPr="27DD8E64" w:rsidR="00124BAF">
        <w:rPr>
          <w:lang w:val="es-PE"/>
        </w:rPr>
        <w:t xml:space="preserve"> y </w:t>
      </w:r>
      <w:r w:rsidRPr="27DD8E64" w:rsidR="5B4F3468">
        <w:rPr>
          <w:lang w:val="es-PE"/>
        </w:rPr>
        <w:t>..................................</w:t>
      </w:r>
      <w:r w:rsidRPr="27DD8E64" w:rsidR="00124BAF">
        <w:rPr>
          <w:lang w:val="es-PE"/>
        </w:rPr>
        <w:t xml:space="preserve">, son dos personas jurídicas distintas, la primera constituye una entidad prestadora de salud que ofrece planes de salud, y se encuentra supervisada por la Superintendencia Nacional de Salud (SUSALUD); la segunda constituye una empresa de seguros que comercializa pólizas de seguros, pertenece al sistema de seguros, estando supervisada por la Superintendencia de Banca, Seguros y </w:t>
      </w:r>
      <w:r w:rsidRPr="27DD8E64" w:rsidR="00124BAF">
        <w:rPr>
          <w:lang w:val="es-PE"/>
        </w:rPr>
        <w:t>AFPs</w:t>
      </w:r>
      <w:r w:rsidRPr="27DD8E64" w:rsidR="00124BAF">
        <w:rPr>
          <w:lang w:val="es-PE"/>
        </w:rPr>
        <w:t xml:space="preserve"> (SBS). </w:t>
      </w:r>
    </w:p>
    <w:p w:rsidRPr="00124BAF" w:rsidR="00124BAF" w:rsidP="00124BAF" w:rsidRDefault="00124BAF" w14:paraId="188AF715" w14:textId="77777777">
      <w:pPr>
        <w:tabs>
          <w:tab w:val="left" w:pos="2160"/>
        </w:tabs>
        <w:jc w:val="both"/>
        <w:rPr>
          <w:lang w:val="es-PE"/>
        </w:rPr>
      </w:pPr>
    </w:p>
    <w:p w:rsidRPr="00124BAF" w:rsidR="00124BAF" w:rsidP="00124BAF" w:rsidRDefault="00124BAF" w14:paraId="2635AFE8" w14:textId="77777777">
      <w:pPr>
        <w:tabs>
          <w:tab w:val="left" w:pos="2160"/>
        </w:tabs>
        <w:ind w:left="567" w:hanging="567"/>
        <w:jc w:val="both"/>
        <w:rPr>
          <w:lang w:val="es-PE"/>
        </w:rPr>
      </w:pPr>
      <w:r w:rsidRPr="00124BAF">
        <w:rPr>
          <w:lang w:val="es-PE"/>
        </w:rPr>
        <w:t>6.4.</w:t>
      </w:r>
      <w:r w:rsidRPr="00124BAF">
        <w:rPr>
          <w:lang w:val="es-PE"/>
        </w:rPr>
        <w:tab/>
      </w:r>
      <w:r w:rsidRPr="00124BAF">
        <w:rPr>
          <w:lang w:val="es-PE"/>
        </w:rPr>
        <w:t>Ahora bien, la ley ha regulado las siguientes situaciones de continuidad de preexistencias, según se trate de preexistencias entre compañías de seguros, EPS por cambio de empleador, cruzadas (EPS y compañías de seguros y viceversa), y de planes grupales a potestativos EPS:</w:t>
      </w:r>
    </w:p>
    <w:p w:rsidRPr="00124BAF" w:rsidR="00124BAF" w:rsidP="00124BAF" w:rsidRDefault="00124BAF" w14:paraId="74AA117F" w14:textId="77777777">
      <w:pPr>
        <w:tabs>
          <w:tab w:val="left" w:pos="2160"/>
        </w:tabs>
        <w:jc w:val="both"/>
        <w:rPr>
          <w:lang w:val="es-PE"/>
        </w:rPr>
      </w:pPr>
    </w:p>
    <w:p w:rsidRPr="00124BAF" w:rsidR="00124BAF" w:rsidP="00124BAF" w:rsidRDefault="00124BAF" w14:paraId="3B6E3A82" w14:textId="77777777">
      <w:pPr>
        <w:pStyle w:val="Prrafodelista"/>
        <w:numPr>
          <w:ilvl w:val="0"/>
          <w:numId w:val="13"/>
        </w:numPr>
        <w:tabs>
          <w:tab w:val="left" w:pos="2160"/>
        </w:tabs>
        <w:jc w:val="both"/>
        <w:rPr>
          <w:b/>
          <w:bCs/>
          <w:i/>
          <w:iCs/>
          <w:lang w:val="es-PE"/>
        </w:rPr>
      </w:pPr>
      <w:r w:rsidRPr="00124BAF">
        <w:rPr>
          <w:b/>
          <w:bCs/>
          <w:i/>
          <w:iCs/>
          <w:lang w:val="es-PE"/>
        </w:rPr>
        <w:t>Preexistencias entre compañías de seguros:</w:t>
      </w:r>
    </w:p>
    <w:p w:rsidRPr="00124BAF" w:rsidR="00124BAF" w:rsidP="00124BAF" w:rsidRDefault="00124BAF" w14:paraId="0EC7735B" w14:textId="77777777">
      <w:pPr>
        <w:tabs>
          <w:tab w:val="left" w:pos="2160"/>
        </w:tabs>
        <w:ind w:left="567" w:hanging="567"/>
        <w:jc w:val="both"/>
        <w:rPr>
          <w:lang w:val="es-PE"/>
        </w:rPr>
      </w:pPr>
      <w:r w:rsidRPr="00124BAF">
        <w:rPr>
          <w:lang w:val="es-PE"/>
        </w:rPr>
        <w:tab/>
      </w:r>
      <w:r w:rsidRPr="00124BAF">
        <w:rPr>
          <w:lang w:val="es-PE"/>
        </w:rPr>
        <w:t>La ley 28770 (Ley que regula la utilización de las preexistencias en la contratación de un nuevo seguro de enfermedades y/o asistencia médica con la misma compañía de seguros a la que se estuvo afiliado en el período inmediato anterior, publicada el 4 de julio de 2006), citada por el reclamante se refiere a las preexistencias entre compañías de seguros y establece un plazo de 120 días para que haya continuidad. Particularmente establece lo siguiente:</w:t>
      </w:r>
    </w:p>
    <w:p w:rsidRPr="00124BAF" w:rsidR="00124BAF" w:rsidP="00124BAF" w:rsidRDefault="00124BAF" w14:paraId="14A133A4" w14:textId="77777777">
      <w:pPr>
        <w:tabs>
          <w:tab w:val="left" w:pos="2160"/>
        </w:tabs>
        <w:jc w:val="both"/>
        <w:rPr>
          <w:lang w:val="es-PE"/>
        </w:rPr>
      </w:pPr>
    </w:p>
    <w:p w:rsidRPr="00124BAF" w:rsidR="00124BAF" w:rsidP="00124BAF" w:rsidRDefault="00124BAF" w14:paraId="0746DC4B" w14:textId="77777777">
      <w:pPr>
        <w:tabs>
          <w:tab w:val="left" w:pos="2160"/>
        </w:tabs>
        <w:ind w:left="1440"/>
        <w:jc w:val="both"/>
        <w:rPr>
          <w:i/>
          <w:iCs/>
          <w:lang w:val="es-PE"/>
        </w:rPr>
      </w:pPr>
      <w:r w:rsidRPr="00124BAF">
        <w:rPr>
          <w:b/>
          <w:bCs/>
          <w:i/>
          <w:iCs/>
          <w:lang w:val="es-PE"/>
        </w:rPr>
        <w:t>“Artículo 1.- Tratamiento de las preexistencias en los seguros de enfermedades y asistencia médica</w:t>
      </w:r>
    </w:p>
    <w:p w:rsidRPr="00124BAF" w:rsidR="00124BAF" w:rsidP="00124BAF" w:rsidRDefault="00124BAF" w14:paraId="447DE830" w14:textId="77777777">
      <w:pPr>
        <w:tabs>
          <w:tab w:val="left" w:pos="2160"/>
        </w:tabs>
        <w:ind w:left="1440"/>
        <w:jc w:val="both"/>
        <w:rPr>
          <w:i/>
          <w:iCs/>
          <w:lang w:val="es-PE"/>
        </w:rPr>
      </w:pPr>
      <w:r w:rsidRPr="00124BAF">
        <w:rPr>
          <w:i/>
          <w:iCs/>
          <w:lang w:val="es-PE"/>
        </w:rPr>
        <w:t>En la contratación de seguros de enfermedades y asistencia médica no se considerará enfermedad preexistente aquella que se haya generado o por la que el asegurado y/o beneficiario haya recibido cobertura durante la vigencia de un contrato de seguro que cubrió el período inmediatamente anterior, aun cuando dicho beneficio haya tenido origen en una póliza de seguro de enfermedades o asistencia médica diferente.</w:t>
      </w:r>
    </w:p>
    <w:p w:rsidRPr="00124BAF" w:rsidR="00124BAF" w:rsidP="00124BAF" w:rsidRDefault="00124BAF" w14:paraId="2D414318" w14:textId="77777777">
      <w:pPr>
        <w:tabs>
          <w:tab w:val="left" w:pos="2160"/>
        </w:tabs>
        <w:ind w:left="1440"/>
        <w:jc w:val="both"/>
        <w:rPr>
          <w:i/>
          <w:iCs/>
          <w:lang w:val="es-PE"/>
        </w:rPr>
      </w:pPr>
      <w:r w:rsidRPr="00124BAF">
        <w:rPr>
          <w:i/>
          <w:iCs/>
          <w:lang w:val="es-PE"/>
        </w:rPr>
        <w:t>El asegurado y/o beneficiario que, en los casos de pólizas grupales, deje de pertenecer al grupo asegurado, podrá contratar, en un plazo de 120 días contados a partir del término del contrato de seguro anterior, una nueva cobertura con cualquier aseguradora del sistema financiero peruano, para lo cual se aplicará lo dispuesto en el párrafo anterior.”</w:t>
      </w:r>
    </w:p>
    <w:p w:rsidRPr="00124BAF" w:rsidR="00124BAF" w:rsidP="00124BAF" w:rsidRDefault="00124BAF" w14:paraId="3BB7B866" w14:textId="77777777">
      <w:pPr>
        <w:tabs>
          <w:tab w:val="left" w:pos="2160"/>
        </w:tabs>
        <w:jc w:val="both"/>
        <w:rPr>
          <w:lang w:val="es-PE"/>
        </w:rPr>
      </w:pPr>
    </w:p>
    <w:p w:rsidRPr="00124BAF" w:rsidR="00124BAF" w:rsidP="00124BAF" w:rsidRDefault="00124BAF" w14:paraId="122A023D" w14:textId="77777777">
      <w:pPr>
        <w:tabs>
          <w:tab w:val="left" w:pos="2160"/>
        </w:tabs>
        <w:ind w:left="567" w:hanging="567"/>
        <w:jc w:val="both"/>
      </w:pPr>
      <w:r w:rsidRPr="00124BAF">
        <w:rPr>
          <w:lang w:val="es-PE"/>
        </w:rPr>
        <w:tab/>
      </w:r>
      <w:r w:rsidRPr="00124BAF">
        <w:rPr>
          <w:lang w:val="es-PE"/>
        </w:rPr>
        <w:t xml:space="preserve">A su vez, la Resolución SBS. </w:t>
      </w:r>
      <w:proofErr w:type="spellStart"/>
      <w:r w:rsidRPr="00124BAF">
        <w:rPr>
          <w:lang w:val="es-PE"/>
        </w:rPr>
        <w:t>Nº</w:t>
      </w:r>
      <w:proofErr w:type="spellEnd"/>
      <w:r w:rsidRPr="00124BAF">
        <w:rPr>
          <w:lang w:val="es-PE"/>
        </w:rPr>
        <w:t xml:space="preserve"> 3203-2013 señaló que la </w:t>
      </w:r>
      <w:r w:rsidRPr="00124BAF">
        <w:t xml:space="preserve">continuidad de la cobertura de las preexistencias en los seguros de salud a que se refiere la Ley 28770, “no se </w:t>
      </w:r>
      <w:r w:rsidRPr="00124BAF">
        <w:t xml:space="preserve">restringe en ningún caso a una sola empresa de seguros sino a cualquiera que integre el sistema de seguros peruano, según lo señalado en la citada Ley”. </w:t>
      </w:r>
    </w:p>
    <w:p w:rsidRPr="00124BAF" w:rsidR="00124BAF" w:rsidP="00124BAF" w:rsidRDefault="00124BAF" w14:paraId="70A4A830" w14:textId="77777777">
      <w:pPr>
        <w:tabs>
          <w:tab w:val="left" w:pos="2160"/>
        </w:tabs>
        <w:ind w:left="567" w:hanging="567"/>
        <w:jc w:val="both"/>
        <w:rPr>
          <w:lang w:val="es-PE"/>
        </w:rPr>
      </w:pPr>
      <w:r w:rsidRPr="00124BAF">
        <w:t xml:space="preserve"> </w:t>
      </w:r>
    </w:p>
    <w:p w:rsidRPr="00124BAF" w:rsidR="00124BAF" w:rsidP="00124BAF" w:rsidRDefault="00124BAF" w14:paraId="77D524F5" w14:textId="2BDA5F4F">
      <w:pPr>
        <w:tabs>
          <w:tab w:val="left" w:pos="2160"/>
        </w:tabs>
        <w:ind w:left="567" w:hanging="567"/>
        <w:jc w:val="both"/>
        <w:rPr>
          <w:lang w:val="es-PE"/>
        </w:rPr>
      </w:pPr>
      <w:r w:rsidRPr="00124BAF">
        <w:rPr>
          <w:lang w:val="es-PE"/>
        </w:rPr>
        <w:tab/>
      </w:r>
      <w:r w:rsidRPr="00124BAF" w:rsidR="00124BAF">
        <w:rPr>
          <w:lang w:val="es-PE"/>
        </w:rPr>
        <w:t xml:space="preserve">Como en este caso, no nos encontramos frente a una continuidad de pólizas de seguros, sino a una eventual continuidad entre un plan de salud emitido por </w:t>
      </w:r>
      <w:r w:rsidRPr="00124BAF" w:rsidR="0C11B7D9">
        <w:rPr>
          <w:lang w:val="es-PE"/>
        </w:rPr>
        <w:t>..............</w:t>
      </w:r>
      <w:r w:rsidRPr="00124BAF" w:rsidR="00124BAF">
        <w:rPr>
          <w:lang w:val="es-PE"/>
        </w:rPr>
        <w:t xml:space="preserve"> y una póliza de seguros contratado </w:t>
      </w:r>
      <w:r w:rsidRPr="00124BAF" w:rsidR="00124BAF">
        <w:rPr>
          <w:lang w:val="es-PE"/>
        </w:rPr>
        <w:t xml:space="preserve">por </w:t>
      </w:r>
      <w:r w:rsidRPr="00124BAF" w:rsidR="7F32B6E9">
        <w:rPr>
          <w:lang w:val="es-PE"/>
        </w:rPr>
        <w:t>,</w:t>
      </w:r>
      <w:r w:rsidRPr="00124BAF" w:rsidR="7F32B6E9">
        <w:rPr>
          <w:lang w:val="es-PE"/>
        </w:rPr>
        <w:t>...........................</w:t>
      </w:r>
      <w:r w:rsidRPr="00124BAF" w:rsidR="00124BAF">
        <w:rPr>
          <w:lang w:val="es-PE"/>
        </w:rPr>
        <w:t xml:space="preserve"> la aseguradora sostiene que la ley 28770, no resulta aplicable al presente caso, la que solo se aplica en caso de continuidad de pólizas contratadas entre la misma o distintas compañías de seguros.</w:t>
      </w:r>
    </w:p>
    <w:p w:rsidRPr="00124BAF" w:rsidR="00124BAF" w:rsidP="00124BAF" w:rsidRDefault="00124BAF" w14:paraId="46F7BE05" w14:textId="77777777">
      <w:pPr>
        <w:tabs>
          <w:tab w:val="left" w:pos="2160"/>
        </w:tabs>
        <w:ind w:left="567" w:hanging="567"/>
        <w:jc w:val="both"/>
        <w:rPr>
          <w:lang w:val="es-PE"/>
        </w:rPr>
      </w:pPr>
    </w:p>
    <w:p w:rsidRPr="00124BAF" w:rsidR="00124BAF" w:rsidP="00124BAF" w:rsidRDefault="00124BAF" w14:paraId="294198C4" w14:textId="77777777">
      <w:pPr>
        <w:pStyle w:val="Prrafodelista"/>
        <w:numPr>
          <w:ilvl w:val="0"/>
          <w:numId w:val="13"/>
        </w:numPr>
        <w:tabs>
          <w:tab w:val="left" w:pos="2160"/>
        </w:tabs>
        <w:jc w:val="both"/>
        <w:rPr>
          <w:b/>
          <w:bCs/>
          <w:i/>
          <w:iCs/>
          <w:lang w:val="es-PE"/>
        </w:rPr>
      </w:pPr>
      <w:r w:rsidRPr="00124BAF">
        <w:rPr>
          <w:b/>
          <w:bCs/>
          <w:i/>
          <w:iCs/>
          <w:lang w:val="es-PE"/>
        </w:rPr>
        <w:t xml:space="preserve">Preexistencias entre EPS por cambio de empleador o de EPS: </w:t>
      </w:r>
    </w:p>
    <w:p w:rsidRPr="00124BAF" w:rsidR="00124BAF" w:rsidP="00124BAF" w:rsidRDefault="00124BAF" w14:paraId="548E4D9A" w14:textId="77777777">
      <w:pPr>
        <w:tabs>
          <w:tab w:val="left" w:pos="2160"/>
        </w:tabs>
        <w:ind w:left="570"/>
        <w:jc w:val="both"/>
        <w:rPr>
          <w:lang w:val="es-PE"/>
        </w:rPr>
      </w:pPr>
      <w:r w:rsidRPr="00124BAF">
        <w:rPr>
          <w:lang w:val="es-PE"/>
        </w:rPr>
        <w:t xml:space="preserve">La ley 29561 (Ley que establece la continuidad en la cobertura de preexistencias en el plan de salud de las Entidades Prestadoras de Salud, publicada el 18 de julio de 2010) que cita la aseguradora establece la continuidad en la cobertura de preexistencias de la capa compleja del plan de salud de las EPS </w:t>
      </w:r>
      <w:r w:rsidRPr="00124BAF">
        <w:rPr>
          <w:color w:val="000000"/>
          <w:shd w:val="clear" w:color="auto" w:fill="FFFFFF"/>
        </w:rPr>
        <w:t xml:space="preserve">para los trabajadores que cambian dicho plan por otro, a consecuencia de cambio de centro laboral o de Entidad Prestadora de Salud </w:t>
      </w:r>
      <w:r w:rsidRPr="00124BAF">
        <w:rPr>
          <w:lang w:val="es-PE"/>
        </w:rPr>
        <w:t>y señala lo siguiente:</w:t>
      </w:r>
    </w:p>
    <w:p w:rsidRPr="00124BAF" w:rsidR="00124BAF" w:rsidP="00124BAF" w:rsidRDefault="00124BAF" w14:paraId="7243E1D6" w14:textId="77777777">
      <w:pPr>
        <w:tabs>
          <w:tab w:val="left" w:pos="2160"/>
        </w:tabs>
        <w:ind w:left="570"/>
        <w:jc w:val="both"/>
        <w:rPr>
          <w:lang w:val="es-PE"/>
        </w:rPr>
      </w:pPr>
    </w:p>
    <w:p w:rsidRPr="00124BAF" w:rsidR="00124BAF" w:rsidP="00124BAF" w:rsidRDefault="00124BAF" w14:paraId="313BC73A" w14:textId="77777777">
      <w:pPr>
        <w:tabs>
          <w:tab w:val="left" w:pos="2160"/>
        </w:tabs>
        <w:ind w:left="570"/>
        <w:jc w:val="both"/>
        <w:rPr>
          <w:lang w:val="es-PE"/>
        </w:rPr>
      </w:pPr>
    </w:p>
    <w:p w:rsidRPr="00124BAF" w:rsidR="00124BAF" w:rsidP="00124BAF" w:rsidRDefault="00124BAF" w14:paraId="5D56D8E8" w14:textId="77777777">
      <w:pPr>
        <w:tabs>
          <w:tab w:val="left" w:pos="2160"/>
        </w:tabs>
        <w:ind w:left="1440"/>
        <w:jc w:val="both"/>
        <w:rPr>
          <w:i/>
          <w:iCs/>
          <w:color w:val="333333"/>
          <w:lang w:val="es-PE" w:eastAsia="es-PE"/>
        </w:rPr>
      </w:pPr>
      <w:r w:rsidRPr="00124BAF">
        <w:rPr>
          <w:i/>
          <w:iCs/>
          <w:color w:val="000000"/>
          <w:lang w:val="es-PE" w:eastAsia="es-PE"/>
        </w:rPr>
        <w:t> </w:t>
      </w:r>
      <w:r w:rsidRPr="00124BAF">
        <w:rPr>
          <w:b/>
          <w:bCs/>
          <w:i/>
          <w:iCs/>
          <w:color w:val="000000"/>
          <w:lang w:val="es-PE" w:eastAsia="es-PE"/>
        </w:rPr>
        <w:t xml:space="preserve">Artículo 3.- Preexistencias de capa compleja del plan de salud de las Entidades Prestadoras de </w:t>
      </w:r>
      <w:r w:rsidRPr="00124BAF">
        <w:rPr>
          <w:b/>
          <w:bCs/>
          <w:i/>
          <w:iCs/>
          <w:lang w:val="es-PE"/>
        </w:rPr>
        <w:t>Salud</w:t>
      </w:r>
      <w:r w:rsidRPr="00124BAF">
        <w:rPr>
          <w:b/>
          <w:bCs/>
          <w:i/>
          <w:iCs/>
          <w:color w:val="000000"/>
          <w:lang w:val="es-PE" w:eastAsia="es-PE"/>
        </w:rPr>
        <w:t xml:space="preserve"> (EPS), continuidad y condiciones</w:t>
      </w:r>
    </w:p>
    <w:p w:rsidRPr="00124BAF" w:rsidR="00124BAF" w:rsidP="00124BAF" w:rsidRDefault="00124BAF" w14:paraId="67CC1824" w14:textId="77777777">
      <w:pPr>
        <w:tabs>
          <w:tab w:val="left" w:pos="2160"/>
        </w:tabs>
        <w:ind w:left="1440"/>
        <w:jc w:val="both"/>
        <w:rPr>
          <w:i/>
          <w:iCs/>
          <w:lang w:val="es-PE"/>
        </w:rPr>
      </w:pPr>
      <w:r w:rsidRPr="00124BAF">
        <w:rPr>
          <w:i/>
          <w:iCs/>
          <w:lang w:val="es-PE"/>
        </w:rPr>
        <w:t>En el plan de salud y en el contrato de prestación de servicios de seguridad social en salud para afiliados regulares, ofertados por la Entidad Prestadora de Salud (EPS), que incluyan las enfermedades de capa compleja, debe incluirse una cláusula de garantía que permita la continuidad de cobertura de diagnósticos preexistentes en los supuestos señalados en el artículo 1 de la presente Ley.</w:t>
      </w:r>
    </w:p>
    <w:p w:rsidRPr="00124BAF" w:rsidR="00124BAF" w:rsidP="00124BAF" w:rsidRDefault="00124BAF" w14:paraId="1BC71172" w14:textId="77777777">
      <w:pPr>
        <w:tabs>
          <w:tab w:val="left" w:pos="2160"/>
        </w:tabs>
        <w:ind w:left="1440"/>
        <w:jc w:val="both"/>
        <w:rPr>
          <w:i/>
          <w:iCs/>
          <w:lang w:val="es-PE"/>
        </w:rPr>
      </w:pPr>
      <w:r w:rsidRPr="00124BAF">
        <w:rPr>
          <w:i/>
          <w:iCs/>
          <w:lang w:val="es-PE"/>
        </w:rPr>
        <w:t>Para hacer efectiva la continuidad de la cobertura de preexistencias de capa compleja, se debe cumplir con la inscripción en el nuevo plan de salud, dentro de los noventa (90) días calendario posteriores al inicio de su nueva relación laboral, bajo responsabilidad de la Entidad Prestadora de Salud (EPS).</w:t>
      </w:r>
    </w:p>
    <w:p w:rsidRPr="00124BAF" w:rsidR="00124BAF" w:rsidP="00124BAF" w:rsidRDefault="00124BAF" w14:paraId="3EF4F943" w14:textId="77777777">
      <w:pPr>
        <w:tabs>
          <w:tab w:val="left" w:pos="2160"/>
        </w:tabs>
        <w:ind w:left="570"/>
        <w:jc w:val="both"/>
        <w:rPr>
          <w:lang w:val="es-PE"/>
        </w:rPr>
      </w:pPr>
    </w:p>
    <w:p w:rsidRPr="00124BAF" w:rsidR="00124BAF" w:rsidP="00124BAF" w:rsidRDefault="00124BAF" w14:paraId="570B57AE" w14:textId="77777777">
      <w:pPr>
        <w:tabs>
          <w:tab w:val="left" w:pos="2160"/>
        </w:tabs>
        <w:ind w:left="570"/>
        <w:jc w:val="both"/>
        <w:rPr>
          <w:lang w:val="es-PE"/>
        </w:rPr>
      </w:pPr>
      <w:r w:rsidRPr="00124BAF">
        <w:rPr>
          <w:lang w:val="es-PE"/>
        </w:rPr>
        <w:t>A su vez, su reglamento aprobado por D.S. 008-2012-SA, establece en su artículo 11 lo siguiente:</w:t>
      </w:r>
    </w:p>
    <w:p w:rsidRPr="00124BAF" w:rsidR="00124BAF" w:rsidP="00124BAF" w:rsidRDefault="00124BAF" w14:paraId="692F8DF8" w14:textId="77777777">
      <w:pPr>
        <w:tabs>
          <w:tab w:val="left" w:pos="2160"/>
        </w:tabs>
        <w:ind w:left="570"/>
        <w:jc w:val="both"/>
        <w:rPr>
          <w:lang w:val="es-PE"/>
        </w:rPr>
      </w:pPr>
    </w:p>
    <w:p w:rsidRPr="00124BAF" w:rsidR="00124BAF" w:rsidP="00124BAF" w:rsidRDefault="00124BAF" w14:paraId="6066422D" w14:textId="77777777">
      <w:pPr>
        <w:tabs>
          <w:tab w:val="left" w:pos="2160"/>
        </w:tabs>
        <w:ind w:left="1440"/>
        <w:jc w:val="both"/>
        <w:rPr>
          <w:b/>
          <w:bCs/>
          <w:i/>
          <w:iCs/>
          <w:color w:val="000000"/>
          <w:lang w:val="es-PE" w:eastAsia="es-PE"/>
        </w:rPr>
      </w:pPr>
      <w:r w:rsidRPr="00124BAF">
        <w:rPr>
          <w:b/>
          <w:bCs/>
          <w:i/>
          <w:iCs/>
          <w:color w:val="000000"/>
          <w:lang w:val="es-PE" w:eastAsia="es-PE"/>
        </w:rPr>
        <w:t> Artículo 11.- CAMBIO DE CENTRO LABORAL</w:t>
      </w:r>
    </w:p>
    <w:p w:rsidRPr="00124BAF" w:rsidR="00124BAF" w:rsidP="00124BAF" w:rsidRDefault="00124BAF" w14:paraId="4E05A571" w14:textId="77777777">
      <w:pPr>
        <w:tabs>
          <w:tab w:val="left" w:pos="2160"/>
        </w:tabs>
        <w:ind w:left="1440"/>
        <w:jc w:val="both"/>
        <w:rPr>
          <w:i/>
          <w:iCs/>
          <w:lang w:val="es-PE"/>
        </w:rPr>
      </w:pPr>
      <w:r w:rsidRPr="00124BAF">
        <w:rPr>
          <w:i/>
          <w:iCs/>
          <w:lang w:val="es-PE"/>
        </w:rPr>
        <w:t> Para tener derecho a la continuidad de cobertura de preexistencias a consecuencia del cambio de centro laboral, el periodo entre la fecha de cese del último vínculo laboral y el de inicio del vínculo laboral actual, no podrá exceder de los plazos máximos establecidos por el artículo 37 del Decreto Supremo 009-97-SA y sus modificatorias referentes al total de periodo de latencia</w:t>
      </w:r>
      <w:r w:rsidRPr="00124BAF">
        <w:rPr>
          <w:lang w:val="es-PE"/>
        </w:rPr>
        <w:t xml:space="preserve"> (periodo de latencia que se establece a razón de dos meses de latencia por cada cinco meses de aportación hasta un máximo de doce meses)</w:t>
      </w:r>
      <w:r w:rsidRPr="00124BAF">
        <w:rPr>
          <w:i/>
          <w:iCs/>
          <w:lang w:val="es-PE"/>
        </w:rPr>
        <w:t>.</w:t>
      </w:r>
    </w:p>
    <w:p w:rsidRPr="00124BAF" w:rsidR="00124BAF" w:rsidP="00124BAF" w:rsidRDefault="00124BAF" w14:paraId="49A8CBDF" w14:textId="77777777">
      <w:pPr>
        <w:tabs>
          <w:tab w:val="left" w:pos="2160"/>
        </w:tabs>
        <w:ind w:left="1440"/>
        <w:jc w:val="both"/>
        <w:rPr>
          <w:i/>
          <w:iCs/>
          <w:lang w:val="es-PE"/>
        </w:rPr>
      </w:pPr>
      <w:r w:rsidRPr="00124BAF">
        <w:rPr>
          <w:i/>
          <w:iCs/>
          <w:lang w:val="es-PE"/>
        </w:rPr>
        <w:t>En caso el trabajador no tenga derecho de latencia, por motivo de no alcanzar los meses de aporte mínimo requeridos, el periodo entre la fecha de cese del último vínculo laboral y el de inicio del vínculo laboral actual no podrá exceder de los dos (02) meses.</w:t>
      </w:r>
    </w:p>
    <w:p w:rsidRPr="00124BAF" w:rsidR="00124BAF" w:rsidP="00124BAF" w:rsidRDefault="00124BAF" w14:paraId="6BA21276" w14:textId="77777777">
      <w:pPr>
        <w:tabs>
          <w:tab w:val="left" w:pos="2160"/>
        </w:tabs>
        <w:ind w:left="570"/>
        <w:jc w:val="both"/>
        <w:rPr>
          <w:lang w:val="es-PE"/>
        </w:rPr>
      </w:pPr>
    </w:p>
    <w:p w:rsidRPr="00124BAF" w:rsidR="00124BAF" w:rsidP="00124BAF" w:rsidRDefault="00124BAF" w14:paraId="43AB1AA6" w14:textId="3A315E8E">
      <w:pPr>
        <w:tabs>
          <w:tab w:val="left" w:pos="2160"/>
        </w:tabs>
        <w:ind w:left="570"/>
        <w:jc w:val="both"/>
        <w:rPr>
          <w:lang w:val="es-PE"/>
        </w:rPr>
      </w:pPr>
      <w:r w:rsidRPr="27DD8E64" w:rsidR="00124BAF">
        <w:rPr>
          <w:lang w:val="es-PE"/>
        </w:rPr>
        <w:t xml:space="preserve">En este caso, la aseguradora se refiere a esta norma para sostener que la continuidad por preexistencias resulta extemporánea porque no se dio dentro de un plazo de 60 días (conforme al correo electrónico de </w:t>
      </w:r>
      <w:r w:rsidRPr="27DD8E64" w:rsidR="2285A8CF">
        <w:rPr>
          <w:lang w:val="es-PE"/>
        </w:rPr>
        <w:t>...............</w:t>
      </w:r>
      <w:r w:rsidRPr="27DD8E64" w:rsidR="00124BAF">
        <w:rPr>
          <w:lang w:val="es-PE"/>
        </w:rPr>
        <w:t xml:space="preserve"> que</w:t>
      </w:r>
      <w:r w:rsidRPr="27DD8E64" w:rsidR="00124BAF">
        <w:rPr>
          <w:lang w:val="es-PE"/>
        </w:rPr>
        <w:t xml:space="preserve"> </w:t>
      </w:r>
      <w:r w:rsidRPr="27DD8E64" w:rsidR="00124BAF">
        <w:rPr>
          <w:lang w:val="es-PE"/>
        </w:rPr>
        <w:t>el reclamante adjunt</w:t>
      </w:r>
      <w:r w:rsidRPr="27DD8E64" w:rsidR="00124BAF">
        <w:rPr>
          <w:lang w:val="es-PE"/>
        </w:rPr>
        <w:t>a</w:t>
      </w:r>
      <w:r w:rsidRPr="27DD8E64" w:rsidR="00124BAF">
        <w:rPr>
          <w:lang w:val="es-PE"/>
        </w:rPr>
        <w:t xml:space="preserve"> a su reclamo).  Sin embargo, dicha norma tampoco resulta aplicable al caso que nos ocupa, pues no estamos ante una migración de un plan de EPS a otro por cambio de empleador o de EPS, situación distinta a la que ocurre en este caso. </w:t>
      </w:r>
    </w:p>
    <w:p w:rsidRPr="00124BAF" w:rsidR="00124BAF" w:rsidP="00124BAF" w:rsidRDefault="00124BAF" w14:paraId="162A2DCC" w14:textId="77777777">
      <w:pPr>
        <w:tabs>
          <w:tab w:val="left" w:pos="2160"/>
        </w:tabs>
        <w:ind w:left="570"/>
        <w:jc w:val="both"/>
        <w:rPr>
          <w:lang w:val="es-PE"/>
        </w:rPr>
      </w:pPr>
    </w:p>
    <w:p w:rsidRPr="00124BAF" w:rsidR="00124BAF" w:rsidP="00124BAF" w:rsidRDefault="00124BAF" w14:paraId="6B2B9644" w14:textId="77777777">
      <w:pPr>
        <w:tabs>
          <w:tab w:val="left" w:pos="2160"/>
        </w:tabs>
        <w:jc w:val="both"/>
        <w:rPr>
          <w:lang w:val="es-PE"/>
        </w:rPr>
      </w:pPr>
    </w:p>
    <w:p w:rsidRPr="00124BAF" w:rsidR="00124BAF" w:rsidP="00124BAF" w:rsidRDefault="00124BAF" w14:paraId="0230A086" w14:textId="77777777">
      <w:pPr>
        <w:pStyle w:val="Prrafodelista"/>
        <w:numPr>
          <w:ilvl w:val="0"/>
          <w:numId w:val="13"/>
        </w:numPr>
        <w:tabs>
          <w:tab w:val="left" w:pos="2160"/>
        </w:tabs>
        <w:jc w:val="both"/>
        <w:rPr>
          <w:b/>
          <w:bCs/>
          <w:i/>
          <w:iCs/>
          <w:lang w:val="es-PE"/>
        </w:rPr>
      </w:pPr>
      <w:r w:rsidRPr="00124BAF">
        <w:rPr>
          <w:b/>
          <w:bCs/>
          <w:i/>
          <w:iCs/>
          <w:lang w:val="es-PE"/>
        </w:rPr>
        <w:t>Preexistencias bajo la ley del Contrato de Seguros:</w:t>
      </w:r>
    </w:p>
    <w:p w:rsidRPr="00124BAF" w:rsidR="00124BAF" w:rsidP="00124BAF" w:rsidRDefault="00124BAF" w14:paraId="1E8AE4DC" w14:textId="77777777">
      <w:pPr>
        <w:tabs>
          <w:tab w:val="left" w:pos="2160"/>
        </w:tabs>
        <w:ind w:left="570"/>
        <w:jc w:val="both"/>
        <w:rPr>
          <w:lang w:val="es-PE"/>
        </w:rPr>
      </w:pPr>
      <w:r w:rsidRPr="00124BAF">
        <w:rPr>
          <w:lang w:val="es-PE"/>
        </w:rPr>
        <w:t>Por su parte, la ley 29946, Ley del Contrato de Seguro, establece lo siguiente sobre las preexistencias.</w:t>
      </w:r>
    </w:p>
    <w:p w:rsidRPr="00124BAF" w:rsidR="00124BAF" w:rsidP="00124BAF" w:rsidRDefault="00124BAF" w14:paraId="517A9DE5" w14:textId="77777777">
      <w:pPr>
        <w:tabs>
          <w:tab w:val="left" w:pos="2160"/>
        </w:tabs>
        <w:jc w:val="both"/>
        <w:rPr>
          <w:lang w:val="es-PE"/>
        </w:rPr>
      </w:pPr>
    </w:p>
    <w:p w:rsidRPr="00124BAF" w:rsidR="00124BAF" w:rsidP="00124BAF" w:rsidRDefault="00124BAF" w14:paraId="68084017" w14:textId="77777777">
      <w:pPr>
        <w:tabs>
          <w:tab w:val="left" w:pos="2160"/>
        </w:tabs>
        <w:ind w:left="1440"/>
        <w:jc w:val="both"/>
        <w:rPr>
          <w:i/>
          <w:iCs/>
          <w:lang w:val="es-PE"/>
        </w:rPr>
      </w:pPr>
      <w:r w:rsidRPr="00124BAF">
        <w:rPr>
          <w:i/>
          <w:iCs/>
          <w:lang w:val="es-PE"/>
        </w:rPr>
        <w:t>“Artículo 118. Preexistencias</w:t>
      </w:r>
    </w:p>
    <w:p w:rsidRPr="00124BAF" w:rsidR="00124BAF" w:rsidP="00124BAF" w:rsidRDefault="00124BAF" w14:paraId="1F8FB3C2" w14:textId="77777777">
      <w:pPr>
        <w:tabs>
          <w:tab w:val="left" w:pos="2160"/>
        </w:tabs>
        <w:ind w:left="1440"/>
        <w:jc w:val="both"/>
        <w:rPr>
          <w:i/>
          <w:iCs/>
          <w:lang w:val="es-PE"/>
        </w:rPr>
      </w:pPr>
      <w:r w:rsidRPr="00124BAF">
        <w:rPr>
          <w:i/>
          <w:iCs/>
          <w:lang w:val="es-PE"/>
        </w:rPr>
        <w:t>Las enfermedades preexistentes están cubiertas dentro del sistema de seguros y de EPS, como mínimo, hasta los límites del contrato original o anterior.</w:t>
      </w:r>
    </w:p>
    <w:p w:rsidRPr="00124BAF" w:rsidR="00124BAF" w:rsidP="00124BAF" w:rsidRDefault="00124BAF" w14:paraId="66EFE78D" w14:textId="77777777">
      <w:pPr>
        <w:tabs>
          <w:tab w:val="left" w:pos="2160"/>
        </w:tabs>
        <w:ind w:left="1440"/>
        <w:jc w:val="both"/>
        <w:rPr>
          <w:i/>
          <w:iCs/>
          <w:lang w:val="es-PE"/>
        </w:rPr>
      </w:pPr>
      <w:r w:rsidRPr="00124BAF">
        <w:rPr>
          <w:i/>
          <w:iCs/>
          <w:lang w:val="es-PE"/>
        </w:rPr>
        <w:t>Se entiende por preexistencia, cualquier condición de alteración del estado de salud diagnosticada por un profesional médico colegiado, conocida por el titular o dependiente y no resuelta en el momento previo a la presentación de la declaración jurada de salud.”</w:t>
      </w:r>
    </w:p>
    <w:p w:rsidRPr="00124BAF" w:rsidR="00124BAF" w:rsidP="00124BAF" w:rsidRDefault="00124BAF" w14:paraId="1C92F067" w14:textId="77777777">
      <w:pPr>
        <w:tabs>
          <w:tab w:val="left" w:pos="2160"/>
        </w:tabs>
        <w:jc w:val="both"/>
      </w:pPr>
    </w:p>
    <w:p w:rsidRPr="00124BAF" w:rsidR="00124BAF" w:rsidP="00124BAF" w:rsidRDefault="00124BAF" w14:paraId="4C1D73A3" w14:textId="77777777">
      <w:pPr>
        <w:tabs>
          <w:tab w:val="left" w:pos="2160"/>
        </w:tabs>
        <w:ind w:left="570"/>
        <w:jc w:val="both"/>
        <w:rPr>
          <w:lang w:val="es-PE"/>
        </w:rPr>
      </w:pPr>
      <w:r w:rsidRPr="00124BAF">
        <w:rPr>
          <w:lang w:val="es-PE"/>
        </w:rPr>
        <w:t xml:space="preserve">Luego de la dación de esta ley y hasta antes de la aprobación de la Ley 30562 existía la discusión de si la ley del contrato de seguros regulaba solo las preexistencias dentro del sistema de seguros, o si también se refería a las preexistencias entre el sistema de salud y el sistema de seguros (denominado preexistencias cruzadas), situación que dejó de ser discutible luego de la aprobación de la Ley 30562. </w:t>
      </w:r>
    </w:p>
    <w:p w:rsidRPr="00124BAF" w:rsidR="00124BAF" w:rsidP="00124BAF" w:rsidRDefault="00124BAF" w14:paraId="20EA145A" w14:textId="77777777">
      <w:pPr>
        <w:tabs>
          <w:tab w:val="left" w:pos="2160"/>
        </w:tabs>
        <w:jc w:val="both"/>
        <w:rPr>
          <w:lang w:val="es-PE"/>
        </w:rPr>
      </w:pPr>
    </w:p>
    <w:p w:rsidRPr="00124BAF" w:rsidR="00124BAF" w:rsidP="00124BAF" w:rsidRDefault="00124BAF" w14:paraId="4F1B75E5" w14:textId="77777777">
      <w:pPr>
        <w:pStyle w:val="Prrafodelista"/>
        <w:numPr>
          <w:ilvl w:val="0"/>
          <w:numId w:val="13"/>
        </w:numPr>
        <w:tabs>
          <w:tab w:val="left" w:pos="2160"/>
        </w:tabs>
        <w:jc w:val="both"/>
        <w:rPr>
          <w:b/>
          <w:bCs/>
          <w:i/>
          <w:iCs/>
          <w:lang w:val="es-PE"/>
        </w:rPr>
      </w:pPr>
      <w:r w:rsidRPr="00124BAF">
        <w:rPr>
          <w:b/>
          <w:bCs/>
          <w:i/>
          <w:iCs/>
          <w:lang w:val="es-PE"/>
        </w:rPr>
        <w:t>Preexistencias cruzadas:</w:t>
      </w:r>
    </w:p>
    <w:p w:rsidRPr="00124BAF" w:rsidR="00124BAF" w:rsidP="00124BAF" w:rsidRDefault="00124BAF" w14:paraId="6B86AAAE" w14:textId="77777777">
      <w:pPr>
        <w:tabs>
          <w:tab w:val="left" w:pos="2160"/>
        </w:tabs>
        <w:ind w:left="570"/>
        <w:jc w:val="both"/>
      </w:pPr>
      <w:r w:rsidRPr="00124BAF">
        <w:rPr>
          <w:lang w:val="es-PE"/>
        </w:rPr>
        <w:t xml:space="preserve">La ley 30562 </w:t>
      </w:r>
      <w:r w:rsidRPr="00124BAF">
        <w:t>(Ley que precisa aspectos complementarios de la cobertura de preexistencias cruzadas establecida en el artículo 118 de la Ley 29946, Ley del Contrato de Seguro, publicada el 18 de mayo de 2017), regula y a su vez reconoce que el artículo 118 de la ley del contrato de seguros, no se refiere únicamente a la continuidad entre empresas de seguros, sino también a la continuidad cuando se da un cruce de sistemas (del sistema de salud al sistema de seguros y viceversa).</w:t>
      </w:r>
    </w:p>
    <w:p w:rsidRPr="00124BAF" w:rsidR="00124BAF" w:rsidP="00124BAF" w:rsidRDefault="00124BAF" w14:paraId="284EC2E8" w14:textId="77777777">
      <w:pPr>
        <w:tabs>
          <w:tab w:val="left" w:pos="2160"/>
        </w:tabs>
        <w:jc w:val="both"/>
      </w:pPr>
    </w:p>
    <w:p w:rsidRPr="00124BAF" w:rsidR="00124BAF" w:rsidP="00124BAF" w:rsidRDefault="00124BAF" w14:paraId="7098151F" w14:textId="77777777">
      <w:pPr>
        <w:tabs>
          <w:tab w:val="left" w:pos="2160"/>
        </w:tabs>
        <w:ind w:left="570"/>
        <w:jc w:val="both"/>
      </w:pPr>
      <w:r w:rsidRPr="00124BAF">
        <w:t>En sus descargos, la aseguradora únicamente se refirió a que no aplicaba la ley 28770 invocada por el reclamante, omitiendo pronunciarse sobre esta ley posterior que reconoce continuidad de cobertura por preexistencias cruzadas, dentro de los límites señalados en la ley del contrato de seguros.</w:t>
      </w:r>
    </w:p>
    <w:p w:rsidRPr="00124BAF" w:rsidR="00124BAF" w:rsidP="00124BAF" w:rsidRDefault="00124BAF" w14:paraId="156F341C" w14:textId="77777777">
      <w:pPr>
        <w:tabs>
          <w:tab w:val="left" w:pos="2160"/>
        </w:tabs>
        <w:jc w:val="both"/>
      </w:pPr>
    </w:p>
    <w:p w:rsidRPr="00124BAF" w:rsidR="00124BAF" w:rsidP="00124BAF" w:rsidRDefault="00124BAF" w14:paraId="662ED4BC" w14:textId="77777777">
      <w:pPr>
        <w:pStyle w:val="Prrafodelista"/>
        <w:numPr>
          <w:ilvl w:val="0"/>
          <w:numId w:val="13"/>
        </w:numPr>
        <w:tabs>
          <w:tab w:val="left" w:pos="2160"/>
        </w:tabs>
        <w:jc w:val="both"/>
        <w:rPr>
          <w:b/>
          <w:bCs/>
          <w:i/>
          <w:iCs/>
        </w:rPr>
      </w:pPr>
      <w:r w:rsidRPr="00124BAF">
        <w:rPr>
          <w:b/>
          <w:bCs/>
          <w:i/>
          <w:iCs/>
        </w:rPr>
        <w:t xml:space="preserve">Preexistencias entre </w:t>
      </w:r>
      <w:r w:rsidRPr="00124BAF">
        <w:rPr>
          <w:b/>
          <w:bCs/>
          <w:i/>
          <w:iCs/>
          <w:lang w:val="es-PE"/>
        </w:rPr>
        <w:t>planes</w:t>
      </w:r>
      <w:r w:rsidRPr="00124BAF">
        <w:rPr>
          <w:b/>
          <w:bCs/>
          <w:i/>
          <w:iCs/>
        </w:rPr>
        <w:t xml:space="preserve"> grupales de EPS y planes potestativos</w:t>
      </w:r>
    </w:p>
    <w:p w:rsidRPr="00124BAF" w:rsidR="00124BAF" w:rsidP="00124BAF" w:rsidRDefault="00124BAF" w14:paraId="2DA423D6" w14:textId="77777777">
      <w:pPr>
        <w:tabs>
          <w:tab w:val="left" w:pos="2160"/>
        </w:tabs>
        <w:ind w:left="570"/>
        <w:jc w:val="both"/>
      </w:pPr>
      <w:r w:rsidRPr="00124BAF">
        <w:t>La ley 30562, además reguló lo siguiente sobre los planes de EPS:</w:t>
      </w:r>
    </w:p>
    <w:p w:rsidRPr="00124BAF" w:rsidR="00124BAF" w:rsidP="00124BAF" w:rsidRDefault="00124BAF" w14:paraId="0CFFA608" w14:textId="77777777">
      <w:pPr>
        <w:tabs>
          <w:tab w:val="left" w:pos="2160"/>
        </w:tabs>
        <w:ind w:left="570"/>
        <w:jc w:val="both"/>
      </w:pPr>
    </w:p>
    <w:p w:rsidRPr="00124BAF" w:rsidR="00124BAF" w:rsidP="00124BAF" w:rsidRDefault="00124BAF" w14:paraId="469139DA" w14:textId="77777777">
      <w:pPr>
        <w:tabs>
          <w:tab w:val="left" w:pos="2160"/>
        </w:tabs>
        <w:ind w:left="1440"/>
        <w:jc w:val="both"/>
        <w:rPr>
          <w:i/>
          <w:iCs/>
          <w:lang w:val="es-PE"/>
        </w:rPr>
      </w:pPr>
      <w:r w:rsidRPr="00124BAF">
        <w:rPr>
          <w:i/>
          <w:iCs/>
          <w:lang w:val="es-PE"/>
        </w:rPr>
        <w:t>“Artículo 2. Planes potestativos</w:t>
      </w:r>
    </w:p>
    <w:p w:rsidRPr="00124BAF" w:rsidR="00124BAF" w:rsidP="00124BAF" w:rsidRDefault="00124BAF" w14:paraId="4C653BD5" w14:textId="77777777">
      <w:pPr>
        <w:tabs>
          <w:tab w:val="left" w:pos="2160"/>
        </w:tabs>
        <w:ind w:left="1440"/>
        <w:jc w:val="both"/>
        <w:rPr>
          <w:i/>
          <w:iCs/>
          <w:lang w:val="es-PE"/>
        </w:rPr>
      </w:pPr>
      <w:r w:rsidRPr="00124BAF">
        <w:rPr>
          <w:i/>
          <w:iCs/>
          <w:lang w:val="es-PE"/>
        </w:rPr>
        <w:t> Las EPS deben tener disponibles planes de salud potestativos, que son ofrecidos obligatoriamente por las EPS, que deben incluir como mínimo las mismas coberturas de los planes regulados ofrecidos por la EPS a la que pertenece el plan potestativo.</w:t>
      </w:r>
    </w:p>
    <w:p w:rsidRPr="00124BAF" w:rsidR="00124BAF" w:rsidP="00124BAF" w:rsidRDefault="00124BAF" w14:paraId="62B539D6" w14:textId="77777777">
      <w:pPr>
        <w:tabs>
          <w:tab w:val="left" w:pos="2160"/>
        </w:tabs>
        <w:ind w:left="1440"/>
        <w:jc w:val="both"/>
        <w:rPr>
          <w:i/>
          <w:iCs/>
          <w:lang w:val="es-PE"/>
        </w:rPr>
      </w:pPr>
      <w:r w:rsidRPr="00124BAF">
        <w:rPr>
          <w:i/>
          <w:iCs/>
          <w:lang w:val="es-PE"/>
        </w:rPr>
        <w:t xml:space="preserve">El plazo de migración del plan de EPS al plan de EPS potestativo es el establecido en la Ley 29344, Ley Marco de Aseguramiento Universal en Salud y el </w:t>
      </w:r>
      <w:hyperlink w:history="1" r:id="rId8">
        <w:r w:rsidRPr="00124BAF">
          <w:rPr>
            <w:rStyle w:val="Hipervnculo"/>
            <w:i/>
            <w:iCs/>
            <w:lang w:val="es-PE"/>
          </w:rPr>
          <w:t>artículo 100</w:t>
        </w:r>
      </w:hyperlink>
      <w:r w:rsidRPr="00124BAF">
        <w:rPr>
          <w:i/>
          <w:iCs/>
          <w:lang w:val="es-PE"/>
        </w:rPr>
        <w:t xml:space="preserve"> de su reglamento.</w:t>
      </w:r>
    </w:p>
    <w:p w:rsidRPr="00124BAF" w:rsidR="00124BAF" w:rsidP="00124BAF" w:rsidRDefault="00124BAF" w14:paraId="5D78B051" w14:textId="77777777">
      <w:pPr>
        <w:tabs>
          <w:tab w:val="left" w:pos="2160"/>
        </w:tabs>
        <w:ind w:left="1440"/>
        <w:jc w:val="both"/>
        <w:rPr>
          <w:i/>
          <w:iCs/>
          <w:lang w:val="es-PE"/>
        </w:rPr>
      </w:pPr>
      <w:r w:rsidRPr="00124BAF">
        <w:rPr>
          <w:i/>
          <w:iCs/>
          <w:lang w:val="es-PE"/>
        </w:rPr>
        <w:t xml:space="preserve">Las EPS, incluyendo sus planes potestativos, deben calcular su siniestralidad y los costos de todos sus planes de manera integral, de modo que todos sus afiliados paguen los mismos montos. Para ello, se entiende como una sola cartera la suma de los afiliados regulares y los afiliados potestativos.” </w:t>
      </w:r>
    </w:p>
    <w:p w:rsidRPr="00124BAF" w:rsidR="00124BAF" w:rsidP="00124BAF" w:rsidRDefault="00124BAF" w14:paraId="7A10EAA4" w14:textId="77777777">
      <w:pPr>
        <w:tabs>
          <w:tab w:val="left" w:pos="2160"/>
        </w:tabs>
        <w:ind w:left="1440"/>
        <w:jc w:val="both"/>
        <w:rPr>
          <w:i/>
          <w:iCs/>
          <w:lang w:val="es-PE"/>
        </w:rPr>
      </w:pPr>
    </w:p>
    <w:p w:rsidRPr="00124BAF" w:rsidR="00124BAF" w:rsidP="00124BAF" w:rsidRDefault="00124BAF" w14:paraId="76067FE6" w14:textId="77777777">
      <w:pPr>
        <w:tabs>
          <w:tab w:val="left" w:pos="2160"/>
        </w:tabs>
        <w:ind w:left="720"/>
        <w:jc w:val="both"/>
      </w:pPr>
      <w:r w:rsidRPr="00124BAF">
        <w:rPr>
          <w:lang w:val="es-PE"/>
        </w:rPr>
        <w:t xml:space="preserve">Dicho artículo 100 del Reglamento aprobado por D.S. 008-2010-SA se refiere a los planes complementarios de salud, y </w:t>
      </w:r>
      <w:r w:rsidRPr="00124BAF">
        <w:t xml:space="preserve">dispone que las preexistencias no serán motivo de exclusión en la medida que se cumplan ciertos parámetros, dentro de ellos, que el </w:t>
      </w:r>
      <w:r w:rsidRPr="00124BAF">
        <w:rPr>
          <w:lang w:val="es-PE"/>
        </w:rPr>
        <w:t xml:space="preserve">plazo de inscripción en el nuevo Plan de Salud </w:t>
      </w:r>
      <w:proofErr w:type="gramStart"/>
      <w:r w:rsidRPr="00124BAF">
        <w:rPr>
          <w:lang w:val="es-PE"/>
        </w:rPr>
        <w:t>Complementario,</w:t>
      </w:r>
      <w:proofErr w:type="gramEnd"/>
      <w:r w:rsidRPr="00124BAF">
        <w:rPr>
          <w:lang w:val="es-PE"/>
        </w:rPr>
        <w:t xml:space="preserve"> debe efectuarse dentro de los 60 días </w:t>
      </w:r>
      <w:r w:rsidRPr="00124BAF">
        <w:t>días de extinta la anterior relación contractual</w:t>
      </w:r>
    </w:p>
    <w:p w:rsidRPr="00124BAF" w:rsidR="00124BAF" w:rsidP="00124BAF" w:rsidRDefault="00124BAF" w14:paraId="7265912A" w14:textId="77777777">
      <w:pPr>
        <w:tabs>
          <w:tab w:val="left" w:pos="2160"/>
        </w:tabs>
        <w:ind w:left="1440"/>
        <w:jc w:val="both"/>
        <w:rPr>
          <w:lang w:val="es-PE"/>
        </w:rPr>
      </w:pPr>
    </w:p>
    <w:p w:rsidRPr="00124BAF" w:rsidR="00124BAF" w:rsidP="00124BAF" w:rsidRDefault="00124BAF" w14:paraId="3D7EE6C7" w14:textId="77777777">
      <w:pPr>
        <w:tabs>
          <w:tab w:val="left" w:pos="2160"/>
        </w:tabs>
        <w:ind w:left="567" w:hanging="567"/>
        <w:jc w:val="both"/>
        <w:rPr>
          <w:lang w:val="es-PE"/>
        </w:rPr>
      </w:pPr>
      <w:r w:rsidRPr="00124BAF">
        <w:rPr>
          <w:lang w:val="es-PE"/>
        </w:rPr>
        <w:t>6.5.</w:t>
      </w:r>
      <w:r w:rsidRPr="00124BAF">
        <w:rPr>
          <w:lang w:val="es-PE"/>
        </w:rPr>
        <w:tab/>
      </w:r>
      <w:r w:rsidRPr="00124BAF">
        <w:rPr>
          <w:lang w:val="es-PE"/>
        </w:rPr>
        <w:t xml:space="preserve">El reclamante tuvo por tanto la posibilidad de migrar del plan de EPS en el que se encontraba a un plan potestativo de EPS, dentro de un plazo de 60 días, conforme al artículo 2 de la Ley </w:t>
      </w:r>
      <w:r w:rsidRPr="00124BAF">
        <w:t>30562</w:t>
      </w:r>
      <w:r w:rsidRPr="00124BAF">
        <w:rPr>
          <w:lang w:val="es-PE"/>
        </w:rPr>
        <w:t xml:space="preserve">; o, acceder a un seguro de salud con una compañía de seguros. Para poder tener cobertura por preexistencias por continuidad, su incorporación al nuevo plan o seguro debió realizarse respetando dicha continuidad. </w:t>
      </w:r>
    </w:p>
    <w:p w:rsidRPr="00124BAF" w:rsidR="00124BAF" w:rsidP="00124BAF" w:rsidRDefault="00124BAF" w14:paraId="48683722" w14:textId="77777777">
      <w:pPr>
        <w:tabs>
          <w:tab w:val="left" w:pos="2160"/>
        </w:tabs>
        <w:jc w:val="both"/>
        <w:rPr>
          <w:lang w:val="es-PE"/>
        </w:rPr>
      </w:pPr>
    </w:p>
    <w:p w:rsidRPr="00124BAF" w:rsidR="00124BAF" w:rsidP="00124BAF" w:rsidRDefault="00124BAF" w14:paraId="61180132" w14:textId="77777777">
      <w:pPr>
        <w:tabs>
          <w:tab w:val="left" w:pos="2160"/>
        </w:tabs>
        <w:ind w:left="567" w:hanging="567"/>
        <w:jc w:val="both"/>
      </w:pPr>
      <w:r w:rsidRPr="00124BAF">
        <w:t xml:space="preserve">6.5. </w:t>
      </w:r>
      <w:r w:rsidRPr="00124BAF">
        <w:tab/>
      </w:r>
      <w:r w:rsidRPr="00124BAF">
        <w:t xml:space="preserve">Ahora bien, en el caso de la migración hacia una empresa de seguros, la ley 30562, no establece el plazo que debe aplicarse para que exista continuidad (a diferencia de la remisión que hace en el caso de la migración hacia un plan potestativo de EPS); sin embargo, sí existe un plazo establecido por la Ley 28770 cuando el traslado se da hacia una compañía de seguros, el cual es de 120 días. Como en el caso que nos ocupa el asegurado está </w:t>
      </w:r>
      <w:proofErr w:type="spellStart"/>
      <w:r w:rsidRPr="00124BAF">
        <w:t>migrando</w:t>
      </w:r>
      <w:proofErr w:type="spellEnd"/>
      <w:r w:rsidRPr="00124BAF">
        <w:t xml:space="preserve"> hacia el sistema de seguros, integrando las normas legales, el plazo de 120 días resulta aplicable en la medida que estamos ante una migración hacia una empresa de seguros.</w:t>
      </w:r>
    </w:p>
    <w:p w:rsidRPr="00124BAF" w:rsidR="00124BAF" w:rsidP="00124BAF" w:rsidRDefault="00124BAF" w14:paraId="70F2BFF1" w14:textId="77777777">
      <w:pPr>
        <w:tabs>
          <w:tab w:val="left" w:pos="2160"/>
        </w:tabs>
        <w:jc w:val="both"/>
      </w:pPr>
    </w:p>
    <w:p w:rsidRPr="00124BAF" w:rsidR="00124BAF" w:rsidP="00124BAF" w:rsidRDefault="00124BAF" w14:paraId="2BBA6628" w14:textId="2B395C9D">
      <w:pPr>
        <w:ind w:left="567"/>
        <w:jc w:val="both"/>
        <w:rPr>
          <w:lang w:val="es-PE"/>
        </w:rPr>
      </w:pPr>
      <w:r w:rsidRPr="27DD8E64" w:rsidR="00124BAF">
        <w:rPr>
          <w:rFonts w:eastAsia="Arial Unicode MS"/>
          <w:lang w:val="es-PE"/>
        </w:rPr>
        <w:t xml:space="preserve">Por lo tanto, considerando que el asegurado estuvo </w:t>
      </w:r>
      <w:r w:rsidRPr="27DD8E64" w:rsidR="00124BAF">
        <w:rPr>
          <w:lang w:val="es-PE"/>
        </w:rPr>
        <w:t xml:space="preserve">cubierto bajo un plan de salud de una EPS y la contratación posterior de un seguro de salud, se dio dentro de los 120 días siguientes al término de la vigencia del plan de salud anterior, existe continuidad de preexistencias; y en consecuencia, conforme a la Ley 29946  se debe otorgar cobertura a las mismas, hasta el límite del contrato anterior, es decir, hasta el límite establecido para dichas enfermedades o dolencias preexistencias, en el Plan de Salud de </w:t>
      </w:r>
      <w:r w:rsidRPr="27DD8E64" w:rsidR="1F454656">
        <w:rPr>
          <w:lang w:val="es-PE"/>
        </w:rPr>
        <w:t>.......................</w:t>
      </w:r>
    </w:p>
    <w:p w:rsidRPr="00124BAF" w:rsidR="00124BAF" w:rsidP="00124BAF" w:rsidRDefault="00124BAF" w14:paraId="28EDCBB3" w14:textId="77777777">
      <w:pPr>
        <w:jc w:val="both"/>
        <w:rPr>
          <w:lang w:val="es-PE"/>
        </w:rPr>
      </w:pPr>
    </w:p>
    <w:p w:rsidRPr="00124BAF" w:rsidR="00124BAF" w:rsidP="00124BAF" w:rsidRDefault="00124BAF" w14:paraId="45AC4A39" w14:textId="77777777">
      <w:pPr>
        <w:tabs>
          <w:tab w:val="left" w:pos="2160"/>
        </w:tabs>
        <w:jc w:val="both"/>
        <w:rPr>
          <w:lang w:val="es-PE"/>
        </w:rPr>
      </w:pPr>
      <w:r w:rsidRPr="00124BAF">
        <w:rPr>
          <w:lang w:val="es-PE"/>
        </w:rPr>
        <w:t xml:space="preserve">Atendiendo a lo expresado este Colegiado concluye su apreciación razonada al amparo de lo establecido en su Reglamento, encontrando amparo contractual a los fundamentos de la reclamación interpuesta; por lo que   </w:t>
      </w:r>
    </w:p>
    <w:p w:rsidRPr="00124BAF" w:rsidR="00124BAF" w:rsidP="00124BAF" w:rsidRDefault="00124BAF" w14:paraId="7DA84F62" w14:textId="77777777">
      <w:pPr>
        <w:tabs>
          <w:tab w:val="left" w:pos="2160"/>
        </w:tabs>
        <w:jc w:val="both"/>
        <w:rPr>
          <w:lang w:val="es-PE"/>
        </w:rPr>
      </w:pPr>
    </w:p>
    <w:p w:rsidRPr="00124BAF" w:rsidR="00124BAF" w:rsidP="00124BAF" w:rsidRDefault="00124BAF" w14:paraId="3CFA6B45" w14:textId="77777777">
      <w:pPr>
        <w:tabs>
          <w:tab w:val="left" w:pos="2386"/>
        </w:tabs>
        <w:jc w:val="both"/>
        <w:outlineLvl w:val="0"/>
        <w:rPr>
          <w:b/>
        </w:rPr>
      </w:pPr>
      <w:r w:rsidRPr="00124BAF">
        <w:rPr>
          <w:b/>
          <w:lang w:val="es-PE"/>
        </w:rPr>
        <w:t>Resuelve:</w:t>
      </w:r>
    </w:p>
    <w:p w:rsidRPr="00124BAF" w:rsidR="00124BAF" w:rsidP="00124BAF" w:rsidRDefault="00124BAF" w14:paraId="6DF21BE4" w14:textId="77777777">
      <w:pPr>
        <w:tabs>
          <w:tab w:val="left" w:pos="2386"/>
        </w:tabs>
        <w:jc w:val="both"/>
        <w:rPr>
          <w:lang w:val="es-PE"/>
        </w:rPr>
      </w:pPr>
    </w:p>
    <w:p w:rsidRPr="00124BAF" w:rsidR="00124BAF" w:rsidP="00124BAF" w:rsidRDefault="00124BAF" w14:paraId="7C24F442" w14:textId="31F89808">
      <w:pPr>
        <w:jc w:val="both"/>
        <w:rPr>
          <w:rFonts w:eastAsia="Arial Unicode MS"/>
          <w:lang w:val="es-PE"/>
        </w:rPr>
      </w:pPr>
      <w:r w:rsidRPr="27DD8E64" w:rsidR="00124BAF">
        <w:rPr>
          <w:rFonts w:eastAsia="Arial Unicode MS"/>
          <w:lang w:val="es-PE"/>
        </w:rPr>
        <w:t xml:space="preserve">Declarar </w:t>
      </w:r>
      <w:r w:rsidRPr="27DD8E64" w:rsidR="00124BAF">
        <w:rPr>
          <w:rFonts w:eastAsia="Arial Unicode MS"/>
          <w:b w:val="1"/>
          <w:bCs w:val="1"/>
          <w:lang w:val="es-PE"/>
        </w:rPr>
        <w:t xml:space="preserve">FUNDADA </w:t>
      </w:r>
      <w:r w:rsidRPr="27DD8E64" w:rsidR="00124BAF">
        <w:rPr>
          <w:rFonts w:eastAsia="Arial Unicode MS"/>
          <w:lang w:val="es-PE"/>
        </w:rPr>
        <w:t xml:space="preserve">la reclamación interpuesta por don </w:t>
      </w:r>
      <w:r w:rsidRPr="27DD8E64" w:rsidR="22B74A2C">
        <w:rPr>
          <w:rFonts w:eastAsia="Arial Unicode MS"/>
          <w:lang w:val="es-PE"/>
        </w:rPr>
        <w:t>........................................................</w:t>
      </w:r>
      <w:r w:rsidRPr="27DD8E64" w:rsidR="00124BAF">
        <w:rPr>
          <w:rFonts w:eastAsia="Arial Unicode MS"/>
          <w:lang w:val="es-PE"/>
        </w:rPr>
        <w:t xml:space="preserve">; y en consecuencia </w:t>
      </w:r>
      <w:r w:rsidRPr="27DD8E64" w:rsidR="4BBC8A35">
        <w:rPr>
          <w:rFonts w:eastAsia="Arial Unicode MS"/>
          <w:lang w:val="es-PE"/>
        </w:rPr>
        <w:t>.........................................</w:t>
      </w:r>
      <w:r w:rsidRPr="27DD8E64" w:rsidR="00124BAF">
        <w:rPr>
          <w:rFonts w:eastAsia="Arial Unicode MS"/>
          <w:lang w:val="es-PE"/>
        </w:rPr>
        <w:t xml:space="preserve"> debe otorgar cobertura a la enfermedad de rodilla del asegurado, hasta el límite de las coberturas establecidas en el plan de salud de </w:t>
      </w:r>
      <w:r w:rsidRPr="27DD8E64" w:rsidR="476E1510">
        <w:rPr>
          <w:rFonts w:eastAsia="Arial Unicode MS"/>
          <w:lang w:val="es-PE"/>
        </w:rPr>
        <w:t>........................</w:t>
      </w:r>
      <w:r w:rsidRPr="27DD8E64" w:rsidR="00124BAF">
        <w:rPr>
          <w:rFonts w:eastAsia="Arial Unicode MS"/>
          <w:lang w:val="es-PE"/>
        </w:rPr>
        <w:t>, conforme lo establece el artículo 118 de la Ley 29946 y Ley 30562.</w:t>
      </w:r>
    </w:p>
    <w:p w:rsidRPr="00124BAF" w:rsidR="005C48B0" w:rsidP="005C48B0" w:rsidRDefault="005C48B0" w14:paraId="60A95BF1" w14:textId="77777777">
      <w:pPr>
        <w:jc w:val="both"/>
      </w:pPr>
    </w:p>
    <w:p w:rsidRPr="00124BAF" w:rsidR="009630E4" w:rsidP="009630E4" w:rsidRDefault="009630E4" w14:paraId="2B3D86E7" w14:textId="77777777">
      <w:pPr>
        <w:tabs>
          <w:tab w:val="left" w:pos="0"/>
          <w:tab w:val="left" w:pos="1416"/>
          <w:tab w:val="left" w:pos="2977"/>
          <w:tab w:val="left" w:pos="4248"/>
          <w:tab w:val="left" w:pos="4956"/>
          <w:tab w:val="left" w:pos="5664"/>
          <w:tab w:val="left" w:pos="6372"/>
          <w:tab w:val="left" w:pos="7125"/>
        </w:tabs>
        <w:jc w:val="both"/>
        <w:rPr>
          <w:lang w:val="es-PE"/>
        </w:rPr>
      </w:pPr>
      <w:r w:rsidRPr="00124BAF">
        <w:rPr>
          <w:lang w:val="es-PE"/>
        </w:rPr>
        <w:t xml:space="preserve"> </w:t>
      </w:r>
    </w:p>
    <w:p w:rsidRPr="00124BAF" w:rsidR="001631D6" w:rsidP="00F202DC" w:rsidRDefault="00F15FBA" w14:paraId="48C7895B" w14:textId="3F193359">
      <w:pPr>
        <w:jc w:val="right"/>
        <w:outlineLvl w:val="0"/>
        <w:rPr>
          <w:lang w:val="es-PE"/>
        </w:rPr>
      </w:pPr>
      <w:r w:rsidRPr="00124BAF">
        <w:rPr>
          <w:lang w:val="es-PE"/>
        </w:rPr>
        <w:t xml:space="preserve">Lima, </w:t>
      </w:r>
      <w:r w:rsidRPr="00124BAF" w:rsidR="0096094A">
        <w:t>0</w:t>
      </w:r>
      <w:r w:rsidRPr="00124BAF" w:rsidR="006A754A">
        <w:t>6</w:t>
      </w:r>
      <w:r w:rsidRPr="00124BAF" w:rsidR="0098224D">
        <w:t xml:space="preserve"> </w:t>
      </w:r>
      <w:r w:rsidRPr="00124BAF">
        <w:rPr>
          <w:lang w:val="es-PE"/>
        </w:rPr>
        <w:t>de</w:t>
      </w:r>
      <w:r w:rsidRPr="00124BAF" w:rsidR="00E13D0F">
        <w:rPr>
          <w:lang w:val="es-PE"/>
        </w:rPr>
        <w:t xml:space="preserve"> </w:t>
      </w:r>
      <w:r w:rsidRPr="00124BAF" w:rsidR="0096094A">
        <w:rPr>
          <w:lang w:val="es-PE"/>
        </w:rPr>
        <w:t>mayo</w:t>
      </w:r>
      <w:r w:rsidRPr="00124BAF" w:rsidR="001631D6">
        <w:rPr>
          <w:lang w:val="es-PE"/>
        </w:rPr>
        <w:t xml:space="preserve"> </w:t>
      </w:r>
      <w:r w:rsidRPr="00124BAF">
        <w:rPr>
          <w:lang w:val="es-PE"/>
        </w:rPr>
        <w:t>de 20</w:t>
      </w:r>
      <w:r w:rsidRPr="00124BAF" w:rsidR="001631D6">
        <w:rPr>
          <w:lang w:val="es-PE"/>
        </w:rPr>
        <w:t>2</w:t>
      </w:r>
      <w:r w:rsidRPr="00124BAF" w:rsidR="00444D29">
        <w:rPr>
          <w:lang w:val="es-PE"/>
        </w:rPr>
        <w:t>2</w:t>
      </w:r>
    </w:p>
    <w:p w:rsidRPr="00124BAF" w:rsidR="00F202DC" w:rsidP="001631D6" w:rsidRDefault="00F202DC" w14:paraId="55EA6443" w14:textId="77777777">
      <w:pPr>
        <w:jc w:val="both"/>
      </w:pPr>
    </w:p>
    <w:p w:rsidRPr="00124BAF" w:rsidR="001631D6" w:rsidP="001631D6" w:rsidRDefault="001631D6" w14:paraId="54F717D9" w14:textId="77777777">
      <w:pPr>
        <w:jc w:val="both"/>
        <w:rPr>
          <w:b/>
          <w:bCs/>
          <w:i/>
          <w:iCs/>
          <w:lang w:val="es-ES_tradnl"/>
        </w:rPr>
      </w:pPr>
      <w:r w:rsidRPr="00124BAF">
        <w:rPr>
          <w:b/>
          <w:bCs/>
          <w:i/>
          <w:iCs/>
          <w:lang w:val="es-ES_tradnl"/>
        </w:rPr>
        <w:t>La Secretaría Técnica certifica que la presente resolución cuenta con el voto de los vocales cuyos nombres figuran en el presente documento.</w:t>
      </w:r>
    </w:p>
    <w:p w:rsidRPr="00124BAF" w:rsidR="001631D6" w:rsidP="001631D6" w:rsidRDefault="001631D6" w14:paraId="265ABE8B" w14:textId="77777777">
      <w:pPr>
        <w:jc w:val="both"/>
        <w:rPr>
          <w:b/>
          <w:bCs/>
          <w:i/>
          <w:iCs/>
          <w:lang w:val="es-ES_tradnl"/>
        </w:rPr>
      </w:pPr>
    </w:p>
    <w:p w:rsidRPr="00124BAF" w:rsidR="001631D6" w:rsidP="001631D6" w:rsidRDefault="001631D6" w14:paraId="024CA4C1" w14:textId="77777777">
      <w:pPr>
        <w:jc w:val="both"/>
        <w:rPr>
          <w:b/>
          <w:bCs/>
          <w:i/>
          <w:iCs/>
          <w:lang w:val="es-ES_tradnl"/>
        </w:rPr>
      </w:pPr>
    </w:p>
    <w:p w:rsidRPr="00124BAF" w:rsidR="003E6BA6" w:rsidP="003E6BA6" w:rsidRDefault="0096094A" w14:paraId="7E9839D4" w14:textId="0E0E06BB">
      <w:pPr>
        <w:spacing w:line="360" w:lineRule="auto"/>
        <w:jc w:val="center"/>
        <w:rPr>
          <w:b/>
          <w:bCs/>
        </w:rPr>
      </w:pPr>
      <w:r w:rsidRPr="00124BAF">
        <w:rPr>
          <w:b/>
          <w:bCs/>
        </w:rPr>
        <w:t xml:space="preserve">Marco Antonio Ortega Piana </w:t>
      </w:r>
      <w:r w:rsidRPr="00124BAF" w:rsidR="003E6BA6">
        <w:rPr>
          <w:b/>
          <w:bCs/>
        </w:rPr>
        <w:t xml:space="preserve">– </w:t>
      </w:r>
      <w:proofErr w:type="gramStart"/>
      <w:r w:rsidRPr="00124BAF" w:rsidR="003E6BA6">
        <w:rPr>
          <w:b/>
          <w:bCs/>
        </w:rPr>
        <w:t>Presidente</w:t>
      </w:r>
      <w:proofErr w:type="gramEnd"/>
    </w:p>
    <w:p w:rsidRPr="00124BAF" w:rsidR="0096094A" w:rsidP="0096094A" w:rsidRDefault="0096094A" w14:paraId="3458C0C0" w14:textId="6E7C8E64">
      <w:pPr>
        <w:spacing w:line="360" w:lineRule="auto"/>
        <w:jc w:val="center"/>
        <w:rPr>
          <w:b/>
          <w:bCs/>
        </w:rPr>
      </w:pPr>
      <w:r w:rsidRPr="00124BAF">
        <w:rPr>
          <w:b/>
          <w:bCs/>
        </w:rPr>
        <w:t>María Eugenia Valdez Fernández Baca– Vocal</w:t>
      </w:r>
    </w:p>
    <w:p w:rsidRPr="00124BAF" w:rsidR="001631D6" w:rsidP="001631D6" w:rsidRDefault="001631D6" w14:paraId="515933D0" w14:textId="575B7E12">
      <w:pPr>
        <w:spacing w:line="360" w:lineRule="auto"/>
        <w:jc w:val="center"/>
        <w:rPr>
          <w:b/>
          <w:bCs/>
        </w:rPr>
      </w:pPr>
      <w:r w:rsidRPr="00124BAF">
        <w:rPr>
          <w:b/>
          <w:bCs/>
        </w:rPr>
        <w:t xml:space="preserve">Rolando Eyzaguirre </w:t>
      </w:r>
      <w:proofErr w:type="spellStart"/>
      <w:r w:rsidRPr="00124BAF">
        <w:rPr>
          <w:b/>
          <w:bCs/>
        </w:rPr>
        <w:t>Maccan</w:t>
      </w:r>
      <w:proofErr w:type="spellEnd"/>
      <w:r w:rsidRPr="00124BAF">
        <w:rPr>
          <w:b/>
          <w:bCs/>
        </w:rPr>
        <w:t xml:space="preserve"> – </w:t>
      </w:r>
      <w:r w:rsidRPr="00124BAF" w:rsidR="003E6BA6">
        <w:rPr>
          <w:b/>
          <w:bCs/>
        </w:rPr>
        <w:t>Vocal</w:t>
      </w:r>
    </w:p>
    <w:p w:rsidRPr="00124BAF" w:rsidR="00517989" w:rsidP="00AB70B7" w:rsidRDefault="00AB70B7" w14:paraId="164CAA9F" w14:textId="01A81F40">
      <w:pPr>
        <w:spacing w:line="360" w:lineRule="auto"/>
        <w:jc w:val="center"/>
        <w:rPr>
          <w:b/>
          <w:bCs/>
        </w:rPr>
      </w:pPr>
      <w:r w:rsidRPr="00124BAF">
        <w:rPr>
          <w:b/>
          <w:bCs/>
        </w:rPr>
        <w:t>Gonzalo Abad del Busto - Vocal</w:t>
      </w:r>
    </w:p>
    <w:p w:rsidRPr="003E772B" w:rsidR="00865247" w:rsidRDefault="00865247" w14:paraId="0F6CCBAC" w14:textId="77777777"/>
    <w:sectPr w:rsidRPr="003E772B" w:rsidR="00865247"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B1E6F" w:rsidP="005F148C" w:rsidRDefault="00CB1E6F" w14:paraId="39EA575E" w14:textId="77777777">
      <w:r>
        <w:separator/>
      </w:r>
    </w:p>
  </w:endnote>
  <w:endnote w:type="continuationSeparator" w:id="0">
    <w:p w:rsidR="00CB1E6F" w:rsidP="005F148C" w:rsidRDefault="00CB1E6F" w14:paraId="55F7115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B1E6F" w:rsidP="005F148C" w:rsidRDefault="00CB1E6F" w14:paraId="3598D7EC" w14:textId="77777777">
      <w:r>
        <w:separator/>
      </w:r>
    </w:p>
  </w:footnote>
  <w:footnote w:type="continuationSeparator" w:id="0">
    <w:p w:rsidR="00CB1E6F" w:rsidP="005F148C" w:rsidRDefault="00CB1E6F" w14:paraId="7562078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7"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8"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0"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7"/>
  </w:num>
  <w:num w:numId="9" w16cid:durableId="18228498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1"/>
  </w:num>
  <w:num w:numId="11" w16cid:durableId="765226947">
    <w:abstractNumId w:val="4"/>
  </w:num>
  <w:num w:numId="12" w16cid:durableId="248201111">
    <w:abstractNumId w:val="12"/>
    <w:lvlOverride w:ilvl="0"/>
    <w:lvlOverride w:ilvl="1"/>
    <w:lvlOverride w:ilvl="2"/>
    <w:lvlOverride w:ilvl="3"/>
    <w:lvlOverride w:ilvl="4"/>
    <w:lvlOverride w:ilvl="5"/>
    <w:lvlOverride w:ilvl="6"/>
    <w:lvlOverride w:ilvl="7"/>
    <w:lvlOverride w:ilvl="8"/>
  </w:num>
  <w:num w:numId="13" w16cid:durableId="7744033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B23C9"/>
    <w:rsid w:val="000B4405"/>
    <w:rsid w:val="000D2700"/>
    <w:rsid w:val="000E1883"/>
    <w:rsid w:val="000E52A2"/>
    <w:rsid w:val="00103188"/>
    <w:rsid w:val="00106BB1"/>
    <w:rsid w:val="0010704B"/>
    <w:rsid w:val="00122734"/>
    <w:rsid w:val="00124BAF"/>
    <w:rsid w:val="00131D5A"/>
    <w:rsid w:val="00131E5A"/>
    <w:rsid w:val="00131FAD"/>
    <w:rsid w:val="00140C67"/>
    <w:rsid w:val="00145B5D"/>
    <w:rsid w:val="00150853"/>
    <w:rsid w:val="00154D3B"/>
    <w:rsid w:val="001631D6"/>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79AF"/>
    <w:rsid w:val="002E338A"/>
    <w:rsid w:val="002E35A4"/>
    <w:rsid w:val="002E35DA"/>
    <w:rsid w:val="002E708C"/>
    <w:rsid w:val="002F7E39"/>
    <w:rsid w:val="00302CD3"/>
    <w:rsid w:val="00316A1B"/>
    <w:rsid w:val="00323387"/>
    <w:rsid w:val="0032570B"/>
    <w:rsid w:val="00326F1E"/>
    <w:rsid w:val="0033155F"/>
    <w:rsid w:val="00332769"/>
    <w:rsid w:val="003600C6"/>
    <w:rsid w:val="00372156"/>
    <w:rsid w:val="00376F63"/>
    <w:rsid w:val="00390EFF"/>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480F"/>
    <w:rsid w:val="00417664"/>
    <w:rsid w:val="00417E23"/>
    <w:rsid w:val="0044190B"/>
    <w:rsid w:val="004419E4"/>
    <w:rsid w:val="004446E3"/>
    <w:rsid w:val="00444D29"/>
    <w:rsid w:val="004569EE"/>
    <w:rsid w:val="0045742B"/>
    <w:rsid w:val="00467825"/>
    <w:rsid w:val="00471E40"/>
    <w:rsid w:val="004732E6"/>
    <w:rsid w:val="00477D05"/>
    <w:rsid w:val="0048478B"/>
    <w:rsid w:val="004854D9"/>
    <w:rsid w:val="00491944"/>
    <w:rsid w:val="00492DB9"/>
    <w:rsid w:val="004974ED"/>
    <w:rsid w:val="004B6E20"/>
    <w:rsid w:val="004C64BF"/>
    <w:rsid w:val="004D3246"/>
    <w:rsid w:val="004E0934"/>
    <w:rsid w:val="004E50D6"/>
    <w:rsid w:val="004F2B90"/>
    <w:rsid w:val="00506323"/>
    <w:rsid w:val="00511CED"/>
    <w:rsid w:val="00516549"/>
    <w:rsid w:val="00520FDC"/>
    <w:rsid w:val="005276A6"/>
    <w:rsid w:val="00531FBE"/>
    <w:rsid w:val="0053358C"/>
    <w:rsid w:val="00534670"/>
    <w:rsid w:val="00567EEF"/>
    <w:rsid w:val="0058358B"/>
    <w:rsid w:val="005B54AF"/>
    <w:rsid w:val="005B7ECC"/>
    <w:rsid w:val="005C24D1"/>
    <w:rsid w:val="005C48B0"/>
    <w:rsid w:val="005C5922"/>
    <w:rsid w:val="005D0395"/>
    <w:rsid w:val="005D1456"/>
    <w:rsid w:val="005D1DDE"/>
    <w:rsid w:val="005D4638"/>
    <w:rsid w:val="005D7383"/>
    <w:rsid w:val="005F1349"/>
    <w:rsid w:val="005F148C"/>
    <w:rsid w:val="005F4751"/>
    <w:rsid w:val="0060033C"/>
    <w:rsid w:val="00644FAD"/>
    <w:rsid w:val="00647AEE"/>
    <w:rsid w:val="00651449"/>
    <w:rsid w:val="006629E7"/>
    <w:rsid w:val="00664636"/>
    <w:rsid w:val="00677A2F"/>
    <w:rsid w:val="00677FBF"/>
    <w:rsid w:val="006846C3"/>
    <w:rsid w:val="0069382D"/>
    <w:rsid w:val="006A1077"/>
    <w:rsid w:val="006A754A"/>
    <w:rsid w:val="006B65F2"/>
    <w:rsid w:val="006C5328"/>
    <w:rsid w:val="006D33B8"/>
    <w:rsid w:val="006E2F68"/>
    <w:rsid w:val="00716FB2"/>
    <w:rsid w:val="0072229D"/>
    <w:rsid w:val="007224F7"/>
    <w:rsid w:val="00734447"/>
    <w:rsid w:val="007408CA"/>
    <w:rsid w:val="00742D07"/>
    <w:rsid w:val="00743E3F"/>
    <w:rsid w:val="007474DB"/>
    <w:rsid w:val="0076125A"/>
    <w:rsid w:val="00776208"/>
    <w:rsid w:val="00782489"/>
    <w:rsid w:val="00784209"/>
    <w:rsid w:val="007855C9"/>
    <w:rsid w:val="00793F6A"/>
    <w:rsid w:val="0079416E"/>
    <w:rsid w:val="007A22CF"/>
    <w:rsid w:val="007B49ED"/>
    <w:rsid w:val="007C2FC5"/>
    <w:rsid w:val="007C3730"/>
    <w:rsid w:val="007C4BDB"/>
    <w:rsid w:val="007D196C"/>
    <w:rsid w:val="007D353F"/>
    <w:rsid w:val="007D77D3"/>
    <w:rsid w:val="007E430D"/>
    <w:rsid w:val="007E7D40"/>
    <w:rsid w:val="00804519"/>
    <w:rsid w:val="00812270"/>
    <w:rsid w:val="00832FA5"/>
    <w:rsid w:val="00834DFE"/>
    <w:rsid w:val="00835D6A"/>
    <w:rsid w:val="00840DD0"/>
    <w:rsid w:val="00841511"/>
    <w:rsid w:val="00856856"/>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F189D"/>
    <w:rsid w:val="008F3450"/>
    <w:rsid w:val="009029DF"/>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589C"/>
    <w:rsid w:val="009A7580"/>
    <w:rsid w:val="009B120B"/>
    <w:rsid w:val="009B3934"/>
    <w:rsid w:val="009B4252"/>
    <w:rsid w:val="009C28AE"/>
    <w:rsid w:val="009C4A1C"/>
    <w:rsid w:val="009D23DC"/>
    <w:rsid w:val="00A00B92"/>
    <w:rsid w:val="00A10200"/>
    <w:rsid w:val="00A14315"/>
    <w:rsid w:val="00A223FC"/>
    <w:rsid w:val="00A26BA7"/>
    <w:rsid w:val="00A433D8"/>
    <w:rsid w:val="00A5280B"/>
    <w:rsid w:val="00A52EA0"/>
    <w:rsid w:val="00A5329C"/>
    <w:rsid w:val="00A54A78"/>
    <w:rsid w:val="00A57082"/>
    <w:rsid w:val="00A653A1"/>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68FA"/>
    <w:rsid w:val="00AC7D5A"/>
    <w:rsid w:val="00AC7F7C"/>
    <w:rsid w:val="00AD7364"/>
    <w:rsid w:val="00AE33DC"/>
    <w:rsid w:val="00AE40BA"/>
    <w:rsid w:val="00AE6ED7"/>
    <w:rsid w:val="00AF3CE0"/>
    <w:rsid w:val="00AF7C8A"/>
    <w:rsid w:val="00B04114"/>
    <w:rsid w:val="00B44E44"/>
    <w:rsid w:val="00B51C10"/>
    <w:rsid w:val="00B52FDA"/>
    <w:rsid w:val="00B60E25"/>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1E6F"/>
    <w:rsid w:val="00CB451A"/>
    <w:rsid w:val="00CB7C37"/>
    <w:rsid w:val="00CC23ED"/>
    <w:rsid w:val="00CE002B"/>
    <w:rsid w:val="00CF3742"/>
    <w:rsid w:val="00D01DEB"/>
    <w:rsid w:val="00D10FB7"/>
    <w:rsid w:val="00D11974"/>
    <w:rsid w:val="00D128FF"/>
    <w:rsid w:val="00D15AF0"/>
    <w:rsid w:val="00D15C1E"/>
    <w:rsid w:val="00D25C4B"/>
    <w:rsid w:val="00D56839"/>
    <w:rsid w:val="00D62160"/>
    <w:rsid w:val="00D70082"/>
    <w:rsid w:val="00D86E87"/>
    <w:rsid w:val="00D9006E"/>
    <w:rsid w:val="00D942CE"/>
    <w:rsid w:val="00DB1A50"/>
    <w:rsid w:val="00DB43CB"/>
    <w:rsid w:val="00DC6A47"/>
    <w:rsid w:val="00DD1549"/>
    <w:rsid w:val="00DD7C71"/>
    <w:rsid w:val="00DE787F"/>
    <w:rsid w:val="00DF698C"/>
    <w:rsid w:val="00E0283B"/>
    <w:rsid w:val="00E13D0F"/>
    <w:rsid w:val="00E172DD"/>
    <w:rsid w:val="00E21C2A"/>
    <w:rsid w:val="00E42BD6"/>
    <w:rsid w:val="00E50B36"/>
    <w:rsid w:val="00E66B4A"/>
    <w:rsid w:val="00E908BC"/>
    <w:rsid w:val="00E958A9"/>
    <w:rsid w:val="00EA1DB3"/>
    <w:rsid w:val="00EA39EC"/>
    <w:rsid w:val="00EC2694"/>
    <w:rsid w:val="00ED26AB"/>
    <w:rsid w:val="00EE5E73"/>
    <w:rsid w:val="00EE720B"/>
    <w:rsid w:val="00EF4FF0"/>
    <w:rsid w:val="00F029DD"/>
    <w:rsid w:val="00F04E45"/>
    <w:rsid w:val="00F1075C"/>
    <w:rsid w:val="00F113A1"/>
    <w:rsid w:val="00F15FBA"/>
    <w:rsid w:val="00F202DC"/>
    <w:rsid w:val="00F3616C"/>
    <w:rsid w:val="00F42DC6"/>
    <w:rsid w:val="00F46085"/>
    <w:rsid w:val="00F465F7"/>
    <w:rsid w:val="00F46707"/>
    <w:rsid w:val="00F63579"/>
    <w:rsid w:val="00F6424C"/>
    <w:rsid w:val="00F71D17"/>
    <w:rsid w:val="00F96FDD"/>
    <w:rsid w:val="00F97A17"/>
    <w:rsid w:val="00FD73E0"/>
    <w:rsid w:val="00FE3F91"/>
    <w:rsid w:val="00FE77D7"/>
    <w:rsid w:val="00FF25AC"/>
    <w:rsid w:val="01EEE09B"/>
    <w:rsid w:val="04BA2ACA"/>
    <w:rsid w:val="0B7C3366"/>
    <w:rsid w:val="0C11B7D9"/>
    <w:rsid w:val="0DA9EA81"/>
    <w:rsid w:val="1CB2F31D"/>
    <w:rsid w:val="1D42C627"/>
    <w:rsid w:val="1F454656"/>
    <w:rsid w:val="2285A8CF"/>
    <w:rsid w:val="22B74A2C"/>
    <w:rsid w:val="27DD8E64"/>
    <w:rsid w:val="3D1DC3D0"/>
    <w:rsid w:val="3DF8A3DC"/>
    <w:rsid w:val="42DA02CE"/>
    <w:rsid w:val="4642C235"/>
    <w:rsid w:val="46FB05EE"/>
    <w:rsid w:val="476E1510"/>
    <w:rsid w:val="4BBC8A35"/>
    <w:rsid w:val="52905F00"/>
    <w:rsid w:val="53DDD3C9"/>
    <w:rsid w:val="5B2372AF"/>
    <w:rsid w:val="5B4F3468"/>
    <w:rsid w:val="5ED72EFA"/>
    <w:rsid w:val="6D54E1CA"/>
    <w:rsid w:val="7637BA79"/>
    <w:rsid w:val="798237CF"/>
    <w:rsid w:val="7F32B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ij.minjus.gob.pe/spij-ext-web/detallenorma/H1006222"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939DD1A-5355-4782-B891-E4404B9EEE3F}"/>
</file>

<file path=customXml/itemProps3.xml><?xml version="1.0" encoding="utf-8"?>
<ds:datastoreItem xmlns:ds="http://schemas.openxmlformats.org/officeDocument/2006/customXml" ds:itemID="{229D0167-7A43-4203-A1B3-251527D675E8}"/>
</file>

<file path=customXml/itemProps4.xml><?xml version="1.0" encoding="utf-8"?>
<ds:datastoreItem xmlns:ds="http://schemas.openxmlformats.org/officeDocument/2006/customXml" ds:itemID="{6E371EB6-A1BA-49A6-85D6-5B038251F51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242</cp:revision>
  <cp:lastPrinted>2022-05-09T14:25:00Z</cp:lastPrinted>
  <dcterms:created xsi:type="dcterms:W3CDTF">2020-12-18T20:09:00Z</dcterms:created>
  <dcterms:modified xsi:type="dcterms:W3CDTF">2025-04-03T17:28:21Z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