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06400" w:rsidR="00F15FBA" w:rsidP="00F15FBA" w:rsidRDefault="00F15FBA" w14:paraId="6BA6C8A5" w14:textId="188DC82C">
      <w:pPr>
        <w:pStyle w:val="Ttulo"/>
        <w:outlineLvl w:val="0"/>
        <w:rPr>
          <w:lang w:val="es-PE"/>
        </w:rPr>
      </w:pPr>
      <w:r w:rsidRPr="00A06400">
        <w:rPr>
          <w:lang w:val="es-PE"/>
        </w:rPr>
        <w:t>RESOLUCIÓN N</w:t>
      </w:r>
      <w:r w:rsidRPr="00A06400" w:rsidR="001631D6">
        <w:rPr>
          <w:lang w:val="es-PE"/>
        </w:rPr>
        <w:t xml:space="preserve">° </w:t>
      </w:r>
      <w:r w:rsidRPr="00A06400" w:rsidR="00674D09">
        <w:rPr>
          <w:lang w:val="es-PE"/>
        </w:rPr>
        <w:t>10</w:t>
      </w:r>
      <w:r w:rsidRPr="00A06400" w:rsidR="00614D1F">
        <w:rPr>
          <w:lang w:val="es-PE"/>
        </w:rPr>
        <w:t>2</w:t>
      </w:r>
      <w:r w:rsidRPr="00A06400" w:rsidR="00F96FDD">
        <w:rPr>
          <w:lang w:val="es-PE"/>
        </w:rPr>
        <w:t>/</w:t>
      </w:r>
      <w:r w:rsidRPr="00A06400" w:rsidR="001631D6">
        <w:rPr>
          <w:lang w:val="es-PE"/>
        </w:rPr>
        <w:t>2</w:t>
      </w:r>
      <w:r w:rsidRPr="00A06400" w:rsidR="00444D29">
        <w:rPr>
          <w:lang w:val="es-PE"/>
        </w:rPr>
        <w:t>2</w:t>
      </w:r>
    </w:p>
    <w:p w:rsidRPr="00A06400" w:rsidR="00A06400" w:rsidP="00A06400" w:rsidRDefault="00A06400" w14:paraId="5A4B541E" w14:textId="77777777">
      <w:pPr>
        <w:jc w:val="both"/>
        <w:outlineLvl w:val="0"/>
        <w:rPr>
          <w:b/>
          <w:bCs/>
          <w:lang w:val="es-PE"/>
        </w:rPr>
      </w:pPr>
    </w:p>
    <w:p w:rsidRPr="00A06400" w:rsidR="00A06400" w:rsidP="00A06400" w:rsidRDefault="00A06400" w14:paraId="09D73E93" w14:textId="658FD781">
      <w:pPr>
        <w:jc w:val="both"/>
        <w:outlineLvl w:val="0"/>
        <w:rPr>
          <w:b/>
          <w:bCs/>
          <w:lang w:val="es-PE"/>
        </w:rPr>
      </w:pPr>
      <w:r w:rsidRPr="00A06400">
        <w:rPr>
          <w:b/>
          <w:bCs/>
          <w:lang w:val="es-PE"/>
        </w:rPr>
        <w:t>Vistos:</w:t>
      </w:r>
    </w:p>
    <w:p w:rsidRPr="00A06400" w:rsidR="00A06400" w:rsidP="00A06400" w:rsidRDefault="00A06400" w14:paraId="21885509" w14:textId="77777777">
      <w:pPr>
        <w:jc w:val="both"/>
        <w:rPr>
          <w:b/>
          <w:bCs/>
          <w:lang w:val="es-PE"/>
        </w:rPr>
      </w:pPr>
    </w:p>
    <w:p w:rsidRPr="00A06400" w:rsidR="00A06400" w:rsidP="63E097B5" w:rsidRDefault="00A06400" w14:paraId="063306A0" w14:textId="7F55C32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63E097B5" w:rsidR="543A3642">
        <w:rPr>
          <w:lang w:val="es-PE"/>
        </w:rPr>
        <w:t xml:space="preserve">Que, con fecha 10 de junio de 2021 y 26 de enero de 2022 don </w:t>
      </w:r>
      <w:r w:rsidRPr="63E097B5" w:rsidR="7CFE13AC">
        <w:rPr>
          <w:lang w:val="es-PE"/>
        </w:rPr>
        <w:t>.........................................................</w:t>
      </w:r>
      <w:r w:rsidRPr="63E097B5" w:rsidR="543A3642">
        <w:rPr>
          <w:lang w:val="es-PE"/>
        </w:rPr>
        <w:t xml:space="preserve"> interpone reclamación ante esta Defensoría del Asegurado (DEFASEG), solicitando que </w:t>
      </w:r>
      <w:r w:rsidRPr="63E097B5" w:rsidR="08BD6365">
        <w:rPr>
          <w:lang w:val="es-PE"/>
        </w:rPr>
        <w:t>.......................................</w:t>
      </w:r>
      <w:r w:rsidRPr="63E097B5" w:rsidR="543A3642">
        <w:rPr>
          <w:lang w:val="es-PE"/>
        </w:rPr>
        <w:t xml:space="preserve"> </w:t>
      </w:r>
      <w:r w:rsidRPr="63E097B5" w:rsidR="3747CC99">
        <w:rPr>
          <w:lang w:val="es-PE"/>
        </w:rPr>
        <w:t>...................................</w:t>
      </w:r>
      <w:r w:rsidRPr="63E097B5" w:rsidR="543A3642">
        <w:rPr>
          <w:lang w:val="es-PE"/>
        </w:rPr>
        <w:t xml:space="preserve"> (</w:t>
      </w:r>
      <w:r w:rsidRPr="63E097B5" w:rsidR="6B4E12C8">
        <w:rPr>
          <w:lang w:val="es-PE"/>
        </w:rPr>
        <w:t>...........................................</w:t>
      </w:r>
      <w:r w:rsidRPr="63E097B5" w:rsidR="543A3642">
        <w:rPr>
          <w:lang w:val="es-PE"/>
        </w:rPr>
        <w:t xml:space="preserve">) otorgue cobertura por robo total al vehículo de placa de rodaje D7I-148, conforme a la Póliza vehicular </w:t>
      </w:r>
      <w:r w:rsidRPr="63E097B5" w:rsidR="543B094D">
        <w:rPr>
          <w:lang w:val="es-PE"/>
        </w:rPr>
        <w:t>.................................</w:t>
      </w:r>
      <w:r w:rsidRPr="63E097B5" w:rsidR="543A3642">
        <w:rPr>
          <w:lang w:val="es-PE"/>
        </w:rPr>
        <w:t>;</w:t>
      </w:r>
      <w:bookmarkStart w:name="OLE_LINK2" w:id="0"/>
    </w:p>
    <w:bookmarkEnd w:id="0"/>
    <w:p w:rsidRPr="00A06400" w:rsidR="00A06400" w:rsidP="00A06400" w:rsidRDefault="00A06400" w14:paraId="6E91DF1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06400" w:rsidR="00A06400" w:rsidP="00A06400" w:rsidRDefault="00A06400" w14:paraId="6D298E89" w14:textId="77777777">
      <w:pPr>
        <w:jc w:val="both"/>
        <w:rPr>
          <w:rFonts w:eastAsia="Arial Unicode MS"/>
          <w:lang w:val="es-PE"/>
        </w:rPr>
      </w:pPr>
      <w:r w:rsidRPr="00A06400">
        <w:rPr>
          <w:rFonts w:eastAsia="Arial Unicode MS"/>
          <w:lang w:val="es-PE"/>
        </w:rPr>
        <w:t>Que, la señalada reclamación cumple con los requisitos de materia, y cuantía establecidos en el reglamento de la DEFASEG (</w:t>
      </w:r>
      <w:hyperlink w:history="1" r:id="rId8">
        <w:r w:rsidRPr="00A06400">
          <w:rPr>
            <w:rStyle w:val="Hipervnculo"/>
            <w:rFonts w:eastAsia="Arial Unicode MS"/>
            <w:lang w:val="es-PE"/>
          </w:rPr>
          <w:t>http://www.defaseg.com.pe/reglamento-de-defaseg/</w:t>
        </w:r>
      </w:hyperlink>
      <w:r w:rsidRPr="00A06400">
        <w:rPr>
          <w:rFonts w:eastAsia="Arial Unicode MS"/>
          <w:lang w:val="es-PE"/>
        </w:rPr>
        <w:t>); estando pendiente analizar si se cumple el requisito de oportunidad cuyo incumplimiento ha sido invocado por la aseguradora;</w:t>
      </w:r>
    </w:p>
    <w:p w:rsidRPr="00A06400" w:rsidR="00A06400" w:rsidP="00A06400" w:rsidRDefault="00A06400" w14:paraId="6E4E1BB9" w14:textId="77777777">
      <w:pPr>
        <w:tabs>
          <w:tab w:val="left" w:pos="2160"/>
        </w:tabs>
        <w:jc w:val="both"/>
        <w:rPr>
          <w:lang w:val="es-PE"/>
        </w:rPr>
      </w:pPr>
    </w:p>
    <w:p w:rsidRPr="00A06400" w:rsidR="00A06400" w:rsidP="00A06400" w:rsidRDefault="00A06400" w14:paraId="458A6F15" w14:textId="77777777">
      <w:pPr>
        <w:tabs>
          <w:tab w:val="num" w:pos="720"/>
        </w:tabs>
        <w:jc w:val="both"/>
        <w:rPr>
          <w:lang w:val="es-PE"/>
        </w:rPr>
      </w:pPr>
      <w:r w:rsidRPr="00A06400">
        <w:rPr>
          <w:lang w:val="es-PE"/>
        </w:rPr>
        <w:t xml:space="preserve">Que, habiéndosele corrido traslado de la señalada reclamación, la aseguradora presentó sus descargos adjuntando la póliza correspondiente. </w:t>
      </w:r>
    </w:p>
    <w:p w:rsidRPr="00A06400" w:rsidR="00A06400" w:rsidP="00A06400" w:rsidRDefault="00A06400" w14:paraId="6AD4619A" w14:textId="77777777">
      <w:pPr>
        <w:tabs>
          <w:tab w:val="num" w:pos="720"/>
        </w:tabs>
        <w:jc w:val="both"/>
      </w:pPr>
    </w:p>
    <w:p w:rsidRPr="00A06400" w:rsidR="00A06400" w:rsidP="00A06400" w:rsidRDefault="00A06400" w14:paraId="70B13D24" w14:textId="37D7D04B">
      <w:pPr>
        <w:tabs>
          <w:tab w:val="num" w:pos="720"/>
        </w:tabs>
        <w:jc w:val="both"/>
        <w:rPr>
          <w:lang w:val="es-PE"/>
        </w:rPr>
      </w:pPr>
      <w:r w:rsidRPr="00A06400">
        <w:rPr>
          <w:lang w:val="es-PE"/>
        </w:rPr>
        <w:t xml:space="preserve">Que, el 09 de mayo de 2022 se realizó la audiencia virtual de vista con la participación de ambas partes a través de </w:t>
      </w:r>
      <w:r w:rsidRPr="00A06400">
        <w:rPr>
          <w:lang w:val="es-PE"/>
        </w:rPr>
        <w:t>videoconferencia,</w:t>
      </w:r>
      <w:r w:rsidRPr="00A06400">
        <w:rPr>
          <w:lang w:val="es-PE"/>
        </w:rPr>
        <w:t xml:space="preserve"> las que sustentaron sus respectivas posiciones absolviendo las preguntas formuladas por el colegiado; </w:t>
      </w:r>
    </w:p>
    <w:p w:rsidRPr="00A06400" w:rsidR="00A06400" w:rsidP="00A06400" w:rsidRDefault="00A06400" w14:paraId="5A837301" w14:textId="16B12E6F">
      <w:pPr>
        <w:pStyle w:val="paragraph"/>
        <w:jc w:val="both"/>
        <w:textAlignment w:val="baseline"/>
        <w:rPr>
          <w:lang w:val="es-ES"/>
        </w:rPr>
      </w:pPr>
      <w:r w:rsidRPr="63E097B5" w:rsidR="543A3642">
        <w:rPr>
          <w:lang w:val="es-PE"/>
        </w:rPr>
        <w:t xml:space="preserve">Que, la reclamación se sustenta resumidamente en los hechos y fundamentos siguientes: </w:t>
      </w:r>
      <w:r w:rsidRPr="63E097B5" w:rsidR="543A3642">
        <w:rPr>
          <w:rStyle w:val="normaltextrun"/>
          <w:lang w:val="es-PE"/>
        </w:rPr>
        <w:t>a) </w:t>
      </w:r>
      <w:r w:rsidRPr="63E097B5" w:rsidR="543A3642">
        <w:rPr>
          <w:lang w:val="es-ES"/>
        </w:rPr>
        <w:t xml:space="preserve">La aseguradora ha rechazado la cobertura de seguro debido a que tomaron conocimiento que el vehículo fue transferido a </w:t>
      </w:r>
      <w:r w:rsidRPr="63E097B5" w:rsidR="78DCD19B">
        <w:rPr>
          <w:lang w:val="es-ES"/>
        </w:rPr>
        <w:t>............................</w:t>
      </w:r>
      <w:r w:rsidRPr="63E097B5" w:rsidR="543A3642">
        <w:rPr>
          <w:lang w:val="es-ES"/>
        </w:rPr>
        <w:t xml:space="preserve">, lo que evidencia que existió una transferencia que no habría sido declarada a su compañía que consideran libera a la aseguradora de toda responsabilidad; de lo cual </w:t>
      </w:r>
      <w:r w:rsidRPr="63E097B5" w:rsidR="543A3642">
        <w:rPr>
          <w:lang w:val="es-ES"/>
        </w:rPr>
        <w:t>discrepa  b</w:t>
      </w:r>
      <w:r w:rsidRPr="63E097B5" w:rsidR="543A3642">
        <w:rPr>
          <w:lang w:val="es-ES"/>
        </w:rPr>
        <w:t xml:space="preserve">) </w:t>
      </w:r>
      <w:r w:rsidRPr="63E097B5" w:rsidR="543A3642">
        <w:rPr>
          <w:lang w:val="es-ES"/>
        </w:rPr>
        <w:t>que</w:t>
      </w:r>
      <w:r w:rsidRPr="63E097B5" w:rsidR="543A3642">
        <w:rPr>
          <w:lang w:val="es-ES"/>
        </w:rPr>
        <w:t xml:space="preserve"> al respecto, la señorita </w:t>
      </w:r>
      <w:r w:rsidRPr="63E097B5" w:rsidR="6089EC8D">
        <w:rPr>
          <w:lang w:val="es-ES"/>
        </w:rPr>
        <w:t>...............................</w:t>
      </w:r>
      <w:r w:rsidRPr="63E097B5" w:rsidR="543A3642">
        <w:rPr>
          <w:lang w:val="es-ES"/>
        </w:rPr>
        <w:t xml:space="preserve"> adquirió el vehículo el 06 de octubre de 2018, antes que se contratara la póliza de seguro, lo que se corrobora del acta notarial, aun cuando el acta fuera inscrita en Registros Públicos recién el 25/03/2019; que en consecuencia la razón de rechazo sería equivocada pues no se dio una transferencia luego de contratar la póliza; c) que el vehículo era de su uso personal gracias a que la señorita </w:t>
      </w:r>
      <w:r w:rsidRPr="63E097B5" w:rsidR="444BFC18">
        <w:rPr>
          <w:lang w:val="es-ES"/>
        </w:rPr>
        <w:t>...............</w:t>
      </w:r>
      <w:r w:rsidRPr="63E097B5" w:rsidR="543A3642">
        <w:rPr>
          <w:lang w:val="es-ES"/>
        </w:rPr>
        <w:t xml:space="preserve"> le prestó el vehículo y él actuando diligentemente contrató el seguro para salvaguardar el bien ante cualquier evento que pudiera ocurrir; por lo que el interés asegurable no se ha perdido; añade que no se está solicitando que un tercero se beneficie de la póliza, se está exigiendo que el propietario en Registros Públicos sea el beneficiario del seguro por ser quien tiene el interés asegurable.</w:t>
      </w:r>
      <w:r w:rsidRPr="63E097B5" w:rsidR="543A3642">
        <w:rPr>
          <w:lang w:val="es-ES"/>
        </w:rPr>
        <w:t xml:space="preserve"> Adicionalmente, ante los descargos de </w:t>
      </w:r>
      <w:r w:rsidRPr="63E097B5" w:rsidR="5E959915">
        <w:rPr>
          <w:lang w:val="es-ES"/>
        </w:rPr>
        <w:t>................</w:t>
      </w:r>
      <w:r w:rsidRPr="63E097B5" w:rsidR="543A3642">
        <w:rPr>
          <w:lang w:val="es-ES"/>
        </w:rPr>
        <w:t xml:space="preserve"> donde invoca que el reclamo habría excedido el plazo establecido por la DEFASEG en tanto la carta de rechazo se entregó el 5/6/2019 y el reclamo fue presentado el 26/01/2022; señala que no recibió el rechazo por correo electrónico en dicha fecha, sino notarialmente la cual fue diligenciada el 12/06/2019 y que el reclamo ante la DEFASEG lo presentó el 10/06/2021, siendo que el 26/01/2022 amplió los argumentos como le fue requerido; por lo que estaría dentro del plazo reglamentario; que lo busca la aseguradora es que su reclamo se declare inadmisible para que no se resuelva el fondo del asunto. Añade que en febrero de 2019 tuvo un robo parcial, y en dicha oportunidad si le cubrieron sin cuestionar que no era el propietario.</w:t>
      </w:r>
    </w:p>
    <w:p w:rsidRPr="00A06400" w:rsidR="00A06400" w:rsidP="00A06400" w:rsidRDefault="00A06400" w14:paraId="7FDFE0F9" w14:textId="3362BB6F">
      <w:pPr>
        <w:jc w:val="both"/>
        <w:rPr>
          <w:lang w:val="es-PE"/>
        </w:rPr>
      </w:pPr>
      <w:r w:rsidRPr="63E097B5" w:rsidR="543A3642">
        <w:rPr>
          <w:lang w:val="es-PE"/>
        </w:rPr>
        <w:t>Que, por su parte, la aseguradora solicita que la reclamación sea desestimada, atendiendo resumidamente a lo siguiente:</w:t>
      </w:r>
      <w:r w:rsidRPr="63E097B5" w:rsidR="543A3642">
        <w:rPr>
          <w:b w:val="1"/>
          <w:bCs w:val="1"/>
        </w:rPr>
        <w:t xml:space="preserve"> </w:t>
      </w:r>
      <w:r w:rsidRPr="63E097B5" w:rsidR="543A3642">
        <w:rPr>
          <w:lang w:val="es-PE"/>
        </w:rPr>
        <w:t xml:space="preserve">a) el reclamante contrató un seguro vehicular con vigencia </w:t>
      </w:r>
      <w:r w:rsidRPr="63E097B5" w:rsidR="543A3642">
        <w:rPr>
          <w:lang w:val="es-PE"/>
        </w:rPr>
        <w:t xml:space="preserve">desde el 26 de octubre de 2018 hasta el 26 de octubre del 2019; b) con fecha 23/05/2019 dejó estacionado el vehículo a las 11:30am aproximadamente en el frontis del Hospital Sergio Bernales, siendo que al retornar a las 12:30pm aproximadamente se percató que había sido robado; c) el 05/06/2019 rechazaron el siniestro por correo electrónico debido a que estaban ante un caso de transferencia de interés asegurable que no fue informado oportunamente; d) el reclamante solicitó una reconsideración de la posición de rechazo la cual fue desestimada y ante ello presentó el reclamo ante la DEFASEG; e) que el Reglamento de la DEFASEG señala que los reclamos deben ser interpuestos dentro de un plazo perentorio de dos años contados partir del día siguiente de recibida la primera notificación de rechazo; que en este caso ello ocurrió el 05 de junio de 2019 mediante correo electrónico; que el reclamo fue presentado el 26 de enero de 2022 y en consecuencia venció el plazo para que la Defensoría del Asegurado se pronuncie sobre el mismo; f) sin perjuicio de ello, presentan sus argumentos de rechazo: (i) existió una transferencia de interés asegurable que no fue informada, el reclamante contrató el seguro a través de su corredor Roca Fuerte Corredores de Seguros SACA el 26 de octubre de 2018; durante la vigencia del seguro, el 25 de marzo de 2019 se inscribió en SUNARP la transferencia vehicular del bien asegurado, que dicha transferencia no fue comunicada a </w:t>
      </w:r>
      <w:r w:rsidRPr="63E097B5" w:rsidR="2D114038">
        <w:rPr>
          <w:lang w:val="es-PE"/>
        </w:rPr>
        <w:t>....................</w:t>
      </w:r>
      <w:r w:rsidRPr="63E097B5" w:rsidR="543A3642">
        <w:rPr>
          <w:lang w:val="es-PE"/>
        </w:rPr>
        <w:t xml:space="preserve"> en momento  alguno; (</w:t>
      </w:r>
      <w:r w:rsidRPr="63E097B5" w:rsidR="543A3642">
        <w:rPr>
          <w:lang w:val="es-PE"/>
        </w:rPr>
        <w:t>ii</w:t>
      </w:r>
      <w:r w:rsidRPr="63E097B5" w:rsidR="543A3642">
        <w:rPr>
          <w:lang w:val="es-PE"/>
        </w:rPr>
        <w:t>) que el artículo 103 de la Ley del Contrato de Seguro establece que si el bien o el interés es transferido a un tercero termina el contrato de seguro, al décimo día siguiente a la transferencia; (</w:t>
      </w:r>
      <w:r w:rsidRPr="63E097B5" w:rsidR="543A3642">
        <w:rPr>
          <w:lang w:val="es-PE"/>
        </w:rPr>
        <w:t>iii</w:t>
      </w:r>
      <w:r w:rsidRPr="63E097B5" w:rsidR="543A3642">
        <w:rPr>
          <w:lang w:val="es-PE"/>
        </w:rPr>
        <w:t xml:space="preserve">) que la transferencia vehicular se inscribió en Sunarp el 25 de marzo de 2019 y en consecuencia a los 10 días siguientes, esto es el 04 de abril de 2019 culminó la vigencia del seguro, motivo por el cual al 23 de mayo de 2019, fecha del siniestro, ya no se contaba con cobertura de seguro. </w:t>
      </w:r>
    </w:p>
    <w:p w:rsidR="00AC5E53" w:rsidP="00A06400" w:rsidRDefault="00AC5E53" w14:paraId="4634E6CB" w14:textId="77777777">
      <w:pPr>
        <w:jc w:val="both"/>
        <w:outlineLvl w:val="0"/>
        <w:rPr>
          <w:lang w:val="es-PE"/>
        </w:rPr>
      </w:pPr>
    </w:p>
    <w:p w:rsidRPr="00A06400" w:rsidR="00A06400" w:rsidP="00A06400" w:rsidRDefault="00A06400" w14:paraId="379A451C" w14:textId="63080857">
      <w:pPr>
        <w:jc w:val="both"/>
        <w:outlineLvl w:val="0"/>
        <w:rPr>
          <w:lang w:val="es-PE"/>
        </w:rPr>
      </w:pPr>
      <w:r w:rsidRPr="00A06400">
        <w:rPr>
          <w:rStyle w:val="Textoennegrita"/>
          <w:lang w:val="es-PE"/>
        </w:rPr>
        <w:t>Considerando:</w:t>
      </w:r>
    </w:p>
    <w:p w:rsidR="00AC5E53" w:rsidP="00A06400" w:rsidRDefault="00AC5E53" w14:paraId="3F58B068" w14:textId="77777777">
      <w:pPr>
        <w:jc w:val="both"/>
        <w:rPr>
          <w:lang w:val="es-PE"/>
        </w:rPr>
      </w:pPr>
    </w:p>
    <w:p w:rsidRPr="00A06400" w:rsidR="00A06400" w:rsidP="00A06400" w:rsidRDefault="00A06400" w14:paraId="7F2C185D" w14:textId="6BFC0BAC">
      <w:pPr>
        <w:jc w:val="both"/>
        <w:rPr>
          <w:lang w:val="es-PE"/>
        </w:rPr>
      </w:pPr>
      <w:r w:rsidRPr="00A06400">
        <w:rPr>
          <w:b/>
          <w:u w:val="single"/>
          <w:lang w:val="es-PE"/>
        </w:rPr>
        <w:t>Primero</w:t>
      </w:r>
      <w:r w:rsidRPr="00A06400">
        <w:rPr>
          <w:b/>
          <w:lang w:val="es-PE"/>
        </w:rPr>
        <w:t xml:space="preserve">: </w:t>
      </w:r>
      <w:r w:rsidRPr="00A06400">
        <w:rPr>
          <w:lang w:val="es-PE"/>
        </w:rPr>
        <w:t>Conforme a su reglamento, la</w:t>
      </w:r>
      <w:r w:rsidRPr="00A06400">
        <w:rPr>
          <w:b/>
          <w:bCs/>
          <w:lang w:val="es-PE"/>
        </w:rPr>
        <w:t xml:space="preserve"> </w:t>
      </w:r>
      <w:r w:rsidRPr="00A06400">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A06400" w:rsidR="00A06400" w:rsidP="00A06400" w:rsidRDefault="00A06400" w14:paraId="59AFA032" w14:textId="77777777">
      <w:pPr>
        <w:jc w:val="both"/>
        <w:rPr>
          <w:rStyle w:val="Textoennegrita"/>
          <w:b w:val="0"/>
        </w:rPr>
      </w:pPr>
    </w:p>
    <w:p w:rsidRPr="00A06400" w:rsidR="00A06400" w:rsidP="00A06400" w:rsidRDefault="00A06400" w14:paraId="41A1741B" w14:textId="77777777">
      <w:pPr>
        <w:jc w:val="both"/>
      </w:pPr>
      <w:r w:rsidRPr="00A06400">
        <w:rPr>
          <w:rStyle w:val="Textoennegrita"/>
          <w:u w:val="single"/>
          <w:lang w:val="es-PE"/>
        </w:rPr>
        <w:t>Segundo</w:t>
      </w:r>
      <w:r w:rsidRPr="00A06400">
        <w:rPr>
          <w:rStyle w:val="Textoennegrita"/>
          <w:lang w:val="es-PE"/>
        </w:rPr>
        <w:t xml:space="preserve">: </w:t>
      </w:r>
      <w:r w:rsidRPr="00A06400">
        <w:rPr>
          <w:lang w:val="es-PE"/>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A06400" w:rsidR="00A06400" w:rsidP="00A06400" w:rsidRDefault="00A06400" w14:paraId="69F016C2" w14:textId="77777777">
      <w:pPr>
        <w:jc w:val="both"/>
        <w:rPr>
          <w:bCs/>
        </w:rPr>
      </w:pPr>
    </w:p>
    <w:p w:rsidRPr="00A06400" w:rsidR="00A06400" w:rsidP="00A06400" w:rsidRDefault="00A06400" w14:paraId="3AA60058" w14:textId="77777777">
      <w:pPr>
        <w:jc w:val="both"/>
        <w:rPr>
          <w:lang w:val="es-PE"/>
        </w:rPr>
      </w:pPr>
      <w:r w:rsidRPr="00A06400">
        <w:rPr>
          <w:rStyle w:val="Textoennegrita"/>
          <w:u w:val="single"/>
          <w:lang w:val="es-PE"/>
        </w:rPr>
        <w:t>Tercero</w:t>
      </w:r>
      <w:r w:rsidRPr="00A06400">
        <w:rPr>
          <w:rStyle w:val="Textoennegrita"/>
          <w:lang w:val="es-PE"/>
        </w:rPr>
        <w:t>:</w:t>
      </w:r>
      <w:r w:rsidRPr="00A06400">
        <w:rPr>
          <w:lang w:val="es-PE"/>
        </w:rPr>
        <w:t xml:space="preserve"> Que, de acuerdo a la Ley Nro. </w:t>
      </w:r>
      <w:r w:rsidRPr="00A06400">
        <w:t xml:space="preserve">29946 – Ley del Contrato de Seguro, norma legal vigente con ocasión de la celebración del contrato al cual se contrae el presente caso, </w:t>
      </w:r>
      <w:r w:rsidRPr="00A0640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06400" w:rsidR="00A06400" w:rsidP="00A06400" w:rsidRDefault="00A06400" w14:paraId="0D681114" w14:textId="77777777">
      <w:pPr>
        <w:jc w:val="both"/>
        <w:rPr>
          <w:b/>
          <w:u w:val="single"/>
          <w:lang w:val="es-PE"/>
        </w:rPr>
      </w:pPr>
    </w:p>
    <w:p w:rsidRPr="00A06400" w:rsidR="00A06400" w:rsidP="00A06400" w:rsidRDefault="00A06400" w14:paraId="6C63EF53" w14:textId="77777777">
      <w:pPr>
        <w:jc w:val="both"/>
        <w:rPr>
          <w:lang w:val="es-PE"/>
        </w:rPr>
      </w:pPr>
      <w:r w:rsidRPr="00A06400">
        <w:rPr>
          <w:b/>
          <w:u w:val="single"/>
          <w:lang w:val="es-PE"/>
        </w:rPr>
        <w:t>Cuarto</w:t>
      </w:r>
      <w:r w:rsidRPr="00A06400">
        <w:rPr>
          <w:b/>
          <w:lang w:val="es-PE"/>
        </w:rPr>
        <w:t>:</w:t>
      </w:r>
      <w:r w:rsidRPr="00A0640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A06400" w:rsidR="00A06400" w:rsidP="00A06400" w:rsidRDefault="00A06400" w14:paraId="50E132CB" w14:textId="77777777">
      <w:pPr>
        <w:jc w:val="both"/>
        <w:rPr>
          <w:rStyle w:val="Textoennegrita"/>
          <w:b w:val="0"/>
        </w:rPr>
      </w:pPr>
    </w:p>
    <w:p w:rsidRPr="00A06400" w:rsidR="00A06400" w:rsidP="00A06400" w:rsidRDefault="00A06400" w14:paraId="6A668876" w14:textId="77777777">
      <w:pPr>
        <w:jc w:val="both"/>
      </w:pPr>
      <w:r w:rsidRPr="00A06400">
        <w:rPr>
          <w:rStyle w:val="Textoennegrita"/>
          <w:u w:val="single"/>
          <w:lang w:val="es-PE"/>
        </w:rPr>
        <w:t>Quinto</w:t>
      </w:r>
      <w:r w:rsidRPr="00A06400">
        <w:rPr>
          <w:rStyle w:val="Textoennegrita"/>
          <w:lang w:val="es-PE"/>
        </w:rPr>
        <w:t xml:space="preserve">: </w:t>
      </w:r>
      <w:r w:rsidRPr="00A06400">
        <w:rPr>
          <w:lang w:val="es-PE"/>
        </w:rPr>
        <w:t>Que, conforme a un elemental criterio jurídico, recogido en el artículo 196 del Código Procesal Civil, corresponde a quien invoca hechos, así como a quien los contradice invocando nuevos hechos, probar su existencia, salvo que aquél que esté sujeto a dicha carga procesal se acoja a alguna presunción legal.</w:t>
      </w:r>
    </w:p>
    <w:p w:rsidRPr="00A06400" w:rsidR="00A06400" w:rsidP="00A06400" w:rsidRDefault="00A06400" w14:paraId="7A8DF439" w14:textId="77777777">
      <w:pPr>
        <w:tabs>
          <w:tab w:val="left" w:pos="2160"/>
        </w:tabs>
        <w:jc w:val="both"/>
      </w:pPr>
    </w:p>
    <w:p w:rsidRPr="00A06400" w:rsidR="00A06400" w:rsidP="00A06400" w:rsidRDefault="00A06400" w14:paraId="32DF3B59" w14:textId="77777777">
      <w:pPr>
        <w:tabs>
          <w:tab w:val="left" w:pos="2160"/>
        </w:tabs>
        <w:jc w:val="both"/>
        <w:rPr>
          <w:lang w:val="es-PE"/>
        </w:rPr>
      </w:pPr>
      <w:r w:rsidRPr="00A06400">
        <w:rPr>
          <w:b/>
          <w:u w:val="single"/>
          <w:lang w:val="es-PE"/>
        </w:rPr>
        <w:t>Sexto</w:t>
      </w:r>
      <w:r w:rsidRPr="00A06400">
        <w:rPr>
          <w:b/>
          <w:lang w:val="es-PE"/>
        </w:rPr>
        <w:t>:</w:t>
      </w:r>
      <w:r w:rsidRPr="00A06400">
        <w:rPr>
          <w:lang w:val="es-PE"/>
        </w:rPr>
        <w:t xml:space="preserve"> Que, sobre la base de los términos contenidos en la reclamación y en la absolución de la misma, la materia controvertida radica en determinar si el rechazo de cobertura informado por la aseguradora resulta o no legítimo.</w:t>
      </w:r>
    </w:p>
    <w:p w:rsidRPr="00A06400" w:rsidR="00A06400" w:rsidP="00A06400" w:rsidRDefault="00A06400" w14:paraId="38F49CED" w14:textId="77777777">
      <w:pPr>
        <w:tabs>
          <w:tab w:val="left" w:pos="2160"/>
        </w:tabs>
        <w:jc w:val="both"/>
        <w:rPr>
          <w:lang w:val="es-PE"/>
        </w:rPr>
      </w:pPr>
    </w:p>
    <w:p w:rsidRPr="00A06400" w:rsidR="00A06400" w:rsidP="00A06400" w:rsidRDefault="00A06400" w14:paraId="1B34F08A" w14:textId="77777777">
      <w:pPr>
        <w:tabs>
          <w:tab w:val="left" w:pos="2160"/>
        </w:tabs>
        <w:jc w:val="both"/>
        <w:rPr>
          <w:lang w:val="es-PE"/>
        </w:rPr>
      </w:pPr>
      <w:r w:rsidRPr="00A06400">
        <w:rPr>
          <w:lang w:val="es-PE"/>
        </w:rPr>
        <w:t>Sin embargo, de manera previa debe analizarse si el reclamo cumple con el requisito de oportunidad, a fin de determinar si esta Defensoría resulta competente para conocer y resolver la presente controversia.</w:t>
      </w:r>
    </w:p>
    <w:p w:rsidRPr="00A06400" w:rsidR="00A06400" w:rsidP="00A06400" w:rsidRDefault="00A06400" w14:paraId="58FC99B3" w14:textId="77777777">
      <w:pPr>
        <w:tabs>
          <w:tab w:val="left" w:pos="2160"/>
        </w:tabs>
        <w:jc w:val="both"/>
        <w:rPr>
          <w:lang w:val="es-PE"/>
        </w:rPr>
      </w:pPr>
    </w:p>
    <w:p w:rsidRPr="00A06400" w:rsidR="00A06400" w:rsidP="00A06400" w:rsidRDefault="00A06400" w14:paraId="6DA15160" w14:textId="77777777">
      <w:pPr>
        <w:tabs>
          <w:tab w:val="left" w:pos="2160"/>
        </w:tabs>
        <w:jc w:val="both"/>
        <w:rPr>
          <w:lang w:val="es-PE"/>
        </w:rPr>
      </w:pPr>
      <w:r w:rsidRPr="00A06400">
        <w:rPr>
          <w:lang w:val="es-PE"/>
        </w:rPr>
        <w:t xml:space="preserve">Al respecto, se deja constancia que la Defensoría del Asegurado es una entidad privada y por ende no constituye una instancia administrativa regida por la ley del procedimiento administrativo general. La Defensoría se rige por su propio reglamento </w:t>
      </w:r>
      <w:r w:rsidRPr="00A06400">
        <w:rPr>
          <w:rFonts w:eastAsia="Arial Unicode MS"/>
          <w:lang w:val="es-PE"/>
        </w:rPr>
        <w:t>(</w:t>
      </w:r>
      <w:hyperlink w:history="1" r:id="rId9">
        <w:r w:rsidRPr="00A06400">
          <w:rPr>
            <w:rStyle w:val="Hipervnculo"/>
            <w:rFonts w:eastAsia="Arial Unicode MS"/>
            <w:lang w:val="es-PE"/>
          </w:rPr>
          <w:t>http://www.defaseg.com.pe/reglamento-de-defaseg/</w:t>
        </w:r>
      </w:hyperlink>
      <w:r w:rsidRPr="00A06400">
        <w:rPr>
          <w:rFonts w:eastAsia="Arial Unicode MS"/>
          <w:lang w:val="es-PE"/>
        </w:rPr>
        <w:t xml:space="preserve">), </w:t>
      </w:r>
      <w:r w:rsidRPr="00A06400">
        <w:rPr>
          <w:lang w:val="es-PE"/>
        </w:rPr>
        <w:t>de acuerdo al cual 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este, ya que son únicamente vinculantes para las aseguradoras cuando el fallo es favorable para el asegurado.</w:t>
      </w:r>
    </w:p>
    <w:p w:rsidRPr="00A06400" w:rsidR="00A06400" w:rsidP="00A06400" w:rsidRDefault="00A06400" w14:paraId="60BBB88C" w14:textId="77777777">
      <w:pPr>
        <w:tabs>
          <w:tab w:val="left" w:pos="2160"/>
        </w:tabs>
        <w:jc w:val="both"/>
        <w:rPr>
          <w:lang w:val="es-PE"/>
        </w:rPr>
      </w:pPr>
    </w:p>
    <w:p w:rsidRPr="00A06400" w:rsidR="00A06400" w:rsidP="00A06400" w:rsidRDefault="00A06400" w14:paraId="1CA3C9A0" w14:textId="77777777">
      <w:pPr>
        <w:tabs>
          <w:tab w:val="left" w:pos="2160"/>
        </w:tabs>
        <w:jc w:val="both"/>
        <w:rPr>
          <w:lang w:val="es-PE"/>
        </w:rPr>
      </w:pPr>
      <w:r w:rsidRPr="00A06400">
        <w:rPr>
          <w:b/>
          <w:bCs/>
          <w:u w:val="single"/>
          <w:lang w:val="es-PE"/>
        </w:rPr>
        <w:t>Sétimo:</w:t>
      </w:r>
      <w:r w:rsidRPr="00A06400">
        <w:rPr>
          <w:lang w:val="es-PE"/>
        </w:rPr>
        <w:t xml:space="preserve"> El reglamento de la DEFASEG, al cual se ha sometido el reclamante al interponer su reclamo ante esta instancia, expresamente establece lo siguiente:</w:t>
      </w:r>
    </w:p>
    <w:p w:rsidRPr="00A06400" w:rsidR="00A06400" w:rsidP="00A06400" w:rsidRDefault="00A06400" w14:paraId="527AAEC7" w14:textId="77777777">
      <w:pPr>
        <w:tabs>
          <w:tab w:val="left" w:pos="2160"/>
        </w:tabs>
        <w:jc w:val="both"/>
        <w:rPr>
          <w:lang w:val="es-PE"/>
        </w:rPr>
      </w:pPr>
    </w:p>
    <w:p w:rsidRPr="00A06400" w:rsidR="00A06400" w:rsidP="00A06400" w:rsidRDefault="00A06400" w14:paraId="478FF636" w14:textId="77777777">
      <w:pPr>
        <w:pStyle w:val="NormalWeb"/>
        <w:shd w:val="clear" w:color="auto" w:fill="FFFFFF"/>
        <w:spacing w:before="0" w:beforeAutospacing="0" w:after="0" w:afterAutospacing="0"/>
        <w:ind w:left="709"/>
        <w:textAlignment w:val="baseline"/>
        <w:rPr>
          <w:i/>
          <w:iCs/>
          <w:lang w:val="es-PE"/>
        </w:rPr>
      </w:pPr>
      <w:r w:rsidRPr="00A06400">
        <w:rPr>
          <w:i/>
          <w:iCs/>
        </w:rPr>
        <w:t>“Competencia</w:t>
      </w:r>
    </w:p>
    <w:p w:rsidRPr="00A06400" w:rsidR="00A06400" w:rsidP="00A06400" w:rsidRDefault="00A06400" w14:paraId="78E5615C" w14:textId="77777777">
      <w:pPr>
        <w:pStyle w:val="NormalWeb"/>
        <w:shd w:val="clear" w:color="auto" w:fill="FFFFFF"/>
        <w:spacing w:before="0" w:beforeAutospacing="0" w:after="0" w:afterAutospacing="0"/>
        <w:ind w:left="709"/>
        <w:textAlignment w:val="baseline"/>
        <w:rPr>
          <w:i/>
          <w:iCs/>
        </w:rPr>
      </w:pPr>
      <w:r w:rsidRPr="00A06400">
        <w:rPr>
          <w:i/>
          <w:iCs/>
        </w:rPr>
        <w:t>La Defensoría conoce los reclamos que plantean los usuarios de seguros, ello siempre y cuando cumplan con los siguientes requisitos de admisibilidad de manera concurrente:</w:t>
      </w:r>
    </w:p>
    <w:p w:rsidRPr="00A06400" w:rsidR="00A06400" w:rsidP="00A06400" w:rsidRDefault="00A06400" w14:paraId="12D50E45" w14:textId="77777777">
      <w:pPr>
        <w:numPr>
          <w:ilvl w:val="0"/>
          <w:numId w:val="15"/>
        </w:numPr>
        <w:shd w:val="clear" w:color="auto" w:fill="FFFFFF"/>
        <w:tabs>
          <w:tab w:val="num" w:pos="349"/>
        </w:tabs>
        <w:ind w:left="1069"/>
        <w:textAlignment w:val="baseline"/>
        <w:rPr>
          <w:i/>
          <w:iCs/>
        </w:rPr>
      </w:pPr>
      <w:r w:rsidRPr="00A06400">
        <w:rPr>
          <w:i/>
          <w:iCs/>
        </w:rPr>
        <w:t>El reclamo debe estar referido a un rechazo o liquidación de siniestro por parte de una empresa de seguros, excepto (…)</w:t>
      </w:r>
    </w:p>
    <w:p w:rsidRPr="00A06400" w:rsidR="00A06400" w:rsidP="00A06400" w:rsidRDefault="00A06400" w14:paraId="12912CAF" w14:textId="77777777">
      <w:pPr>
        <w:numPr>
          <w:ilvl w:val="0"/>
          <w:numId w:val="15"/>
        </w:numPr>
        <w:shd w:val="clear" w:color="auto" w:fill="FFFFFF"/>
        <w:tabs>
          <w:tab w:val="num" w:pos="349"/>
        </w:tabs>
        <w:ind w:left="1069"/>
        <w:textAlignment w:val="baseline"/>
        <w:rPr>
          <w:b/>
          <w:bCs/>
          <w:i/>
          <w:iCs/>
          <w:u w:val="single"/>
        </w:rPr>
      </w:pPr>
      <w:r w:rsidRPr="00A06400">
        <w:rPr>
          <w:b/>
          <w:bCs/>
          <w:i/>
          <w:iCs/>
          <w:u w:val="single"/>
        </w:rPr>
        <w:t>El reclamo debe ser interpuesto dentro del plazo perentorio de dos (2) años, computados a partir del día siguiente de recibida la primera notificación en que es denegada o rechazada la pretensión por la empresa de seguros.</w:t>
      </w:r>
    </w:p>
    <w:p w:rsidRPr="00A06400" w:rsidR="00A06400" w:rsidP="00A06400" w:rsidRDefault="00A06400" w14:paraId="666BF137" w14:textId="77777777">
      <w:pPr>
        <w:numPr>
          <w:ilvl w:val="0"/>
          <w:numId w:val="15"/>
        </w:numPr>
        <w:shd w:val="clear" w:color="auto" w:fill="FFFFFF"/>
        <w:tabs>
          <w:tab w:val="num" w:pos="349"/>
        </w:tabs>
        <w:ind w:left="1069"/>
        <w:textAlignment w:val="baseline"/>
        <w:rPr>
          <w:color w:val="727272"/>
        </w:rPr>
      </w:pPr>
      <w:r w:rsidRPr="00A06400">
        <w:rPr>
          <w:i/>
          <w:iCs/>
        </w:rPr>
        <w:t>El total de la indemnización solicitada a la empresa de seguros no debe exceder los US$ 50,000.</w:t>
      </w:r>
    </w:p>
    <w:p w:rsidRPr="00A06400" w:rsidR="00A06400" w:rsidP="00A06400" w:rsidRDefault="00A06400" w14:paraId="5611BB4C" w14:textId="77777777">
      <w:pPr>
        <w:shd w:val="clear" w:color="auto" w:fill="FFFFFF"/>
        <w:ind w:left="1069"/>
        <w:textAlignment w:val="baseline"/>
        <w:rPr>
          <w:i/>
          <w:iCs/>
        </w:rPr>
      </w:pPr>
      <w:r w:rsidRPr="00A06400">
        <w:rPr>
          <w:i/>
          <w:iCs/>
        </w:rPr>
        <w:t>(…)”.</w:t>
      </w:r>
    </w:p>
    <w:p w:rsidRPr="00A06400" w:rsidR="00A06400" w:rsidP="00A06400" w:rsidRDefault="00A06400" w14:paraId="014B372B" w14:textId="77777777">
      <w:pPr>
        <w:shd w:val="clear" w:color="auto" w:fill="FFFFFF"/>
        <w:ind w:left="708"/>
        <w:textAlignment w:val="baseline"/>
        <w:rPr>
          <w:lang w:val="es-PE"/>
        </w:rPr>
      </w:pPr>
      <w:r w:rsidRPr="00A06400">
        <w:t>El resaltado y subrayado es nuestro.</w:t>
      </w:r>
      <w:r w:rsidRPr="00A06400">
        <w:rPr>
          <w:i/>
          <w:iCs/>
        </w:rPr>
        <w:br/>
      </w:r>
    </w:p>
    <w:p w:rsidRPr="00A06400" w:rsidR="00A06400" w:rsidP="00A06400" w:rsidRDefault="00A06400" w14:paraId="3D9016F5" w14:textId="77777777">
      <w:pPr>
        <w:tabs>
          <w:tab w:val="left" w:pos="2160"/>
        </w:tabs>
        <w:jc w:val="both"/>
        <w:rPr>
          <w:lang w:val="es-PE"/>
        </w:rPr>
      </w:pPr>
      <w:r w:rsidRPr="00A06400">
        <w:rPr>
          <w:lang w:val="es-PE"/>
        </w:rPr>
        <w:lastRenderedPageBreak/>
        <w:t>Es claro entonces que para que esta Defensoría sea competente, los reclamos deben presentarse dentro de un plazo de dos años contado desde que es recibida la primera comunicación de rechazo.</w:t>
      </w:r>
    </w:p>
    <w:p w:rsidRPr="00A06400" w:rsidR="00A06400" w:rsidP="00A06400" w:rsidRDefault="00A06400" w14:paraId="5BCD8088" w14:textId="77777777">
      <w:pPr>
        <w:tabs>
          <w:tab w:val="left" w:pos="2160"/>
        </w:tabs>
        <w:jc w:val="both"/>
        <w:rPr>
          <w:lang w:val="es-PE"/>
        </w:rPr>
      </w:pPr>
    </w:p>
    <w:p w:rsidRPr="00A06400" w:rsidR="00A06400" w:rsidP="00A06400" w:rsidRDefault="00A06400" w14:paraId="75C8CA4E" w14:textId="77777777">
      <w:pPr>
        <w:tabs>
          <w:tab w:val="left" w:pos="2160"/>
        </w:tabs>
        <w:jc w:val="both"/>
        <w:rPr>
          <w:lang w:val="es-PE"/>
        </w:rPr>
      </w:pPr>
      <w:r w:rsidRPr="00A06400">
        <w:rPr>
          <w:lang w:val="es-PE"/>
        </w:rPr>
        <w:t xml:space="preserve">El reclamante sostiene que en este caso sí se ha cumplido dicho plazo porque él recibió el rechazo por conducto notarial el 12 de junio de 2019 y el reclamo ante la DEFASEG fue presentado el 10 de junio de 2021. </w:t>
      </w:r>
    </w:p>
    <w:p w:rsidRPr="00A06400" w:rsidR="00A06400" w:rsidP="00A06400" w:rsidRDefault="00A06400" w14:paraId="3305F791" w14:textId="77777777">
      <w:pPr>
        <w:tabs>
          <w:tab w:val="left" w:pos="2160"/>
        </w:tabs>
        <w:jc w:val="both"/>
        <w:rPr>
          <w:lang w:val="es-PE"/>
        </w:rPr>
      </w:pPr>
    </w:p>
    <w:p w:rsidRPr="00A06400" w:rsidR="00A06400" w:rsidP="00A06400" w:rsidRDefault="00A06400" w14:paraId="06F73871" w14:textId="77777777">
      <w:pPr>
        <w:tabs>
          <w:tab w:val="left" w:pos="2160"/>
        </w:tabs>
        <w:jc w:val="both"/>
        <w:rPr>
          <w:lang w:val="es-PE"/>
        </w:rPr>
      </w:pPr>
      <w:r w:rsidRPr="00A06400">
        <w:rPr>
          <w:lang w:val="es-PE"/>
        </w:rPr>
        <w:t>La aseguradora por su parte considera que el reclamo fue presentado el 26 de enero de 2022 y el rechazo fue notificado el 5 de junio de 2019.</w:t>
      </w:r>
    </w:p>
    <w:p w:rsidRPr="00A06400" w:rsidR="00A06400" w:rsidP="00A06400" w:rsidRDefault="00A06400" w14:paraId="553CF475" w14:textId="77777777">
      <w:pPr>
        <w:tabs>
          <w:tab w:val="left" w:pos="2160"/>
        </w:tabs>
        <w:jc w:val="both"/>
        <w:rPr>
          <w:lang w:val="es-PE"/>
        </w:rPr>
      </w:pPr>
    </w:p>
    <w:p w:rsidRPr="00A06400" w:rsidR="00A06400" w:rsidP="00A06400" w:rsidRDefault="00A06400" w14:paraId="1E7B0931" w14:textId="77777777">
      <w:pPr>
        <w:tabs>
          <w:tab w:val="left" w:pos="2160"/>
        </w:tabs>
        <w:jc w:val="both"/>
        <w:rPr>
          <w:lang w:val="es-PE"/>
        </w:rPr>
      </w:pPr>
      <w:r w:rsidRPr="00A06400">
        <w:rPr>
          <w:lang w:val="es-PE"/>
        </w:rPr>
        <w:t>Respecto a la fecha en la cual se presentó el reclamo ante esta DEFASEG, ella fue -como menciona el reclamante- el 10 de junio de 2019. La demora en correr traslado del reclamo a la aseguradora se debió a que la DEFASEG solicitó al reclamante presentar un resumen con el detalle de la controversia; y lo cual motivó que el reclamante ampliara el detalle de su reclamo en fecha posterior. No obstante, ello no modifica el plazo inicial del reclamo, el cual fue realizado el 10 de junio de 2019.</w:t>
      </w:r>
    </w:p>
    <w:p w:rsidRPr="00A06400" w:rsidR="00A06400" w:rsidP="00A06400" w:rsidRDefault="00A06400" w14:paraId="711C6AB9" w14:textId="77777777">
      <w:pPr>
        <w:tabs>
          <w:tab w:val="left" w:pos="2160"/>
        </w:tabs>
        <w:jc w:val="both"/>
        <w:rPr>
          <w:lang w:val="es-PE"/>
        </w:rPr>
      </w:pPr>
    </w:p>
    <w:p w:rsidRPr="00A06400" w:rsidR="00A06400" w:rsidP="00A06400" w:rsidRDefault="00A06400" w14:paraId="6A3737CF" w14:textId="77777777">
      <w:pPr>
        <w:tabs>
          <w:tab w:val="left" w:pos="2160"/>
        </w:tabs>
        <w:jc w:val="both"/>
        <w:rPr>
          <w:lang w:val="es-PE"/>
        </w:rPr>
      </w:pPr>
      <w:r w:rsidRPr="00A06400">
        <w:rPr>
          <w:lang w:val="es-PE"/>
        </w:rPr>
        <w:t>Luego de analizar los argumentos, documentos y pruebas presentadas por ambas partes, esta DEFASEG ha concluido lo siguiente.</w:t>
      </w:r>
    </w:p>
    <w:p w:rsidRPr="00A06400" w:rsidR="00A06400" w:rsidP="00A06400" w:rsidRDefault="00A06400" w14:paraId="63650319" w14:textId="77777777">
      <w:pPr>
        <w:tabs>
          <w:tab w:val="left" w:pos="2160"/>
        </w:tabs>
        <w:jc w:val="both"/>
        <w:rPr>
          <w:lang w:val="es-PE"/>
        </w:rPr>
      </w:pPr>
    </w:p>
    <w:p w:rsidRPr="00A06400" w:rsidR="00A06400" w:rsidP="00A06400" w:rsidRDefault="00A06400" w14:paraId="3534BC6F" w14:textId="44CF455A">
      <w:pPr>
        <w:pStyle w:val="Prrafodelista"/>
        <w:numPr>
          <w:ilvl w:val="0"/>
          <w:numId w:val="16"/>
        </w:numPr>
        <w:tabs>
          <w:tab w:val="left" w:pos="2160"/>
        </w:tabs>
        <w:jc w:val="both"/>
        <w:rPr>
          <w:lang w:val="es-PE"/>
        </w:rPr>
      </w:pPr>
      <w:r w:rsidRPr="63E097B5" w:rsidR="543A3642">
        <w:rPr>
          <w:lang w:val="es-PE"/>
        </w:rPr>
        <w:t xml:space="preserve">Se ha excedido el plazo reglamentario de 2 años en tanto el reclamo fue presentado el 10 de junio de 2021 y el rechazo fue entregado el 5 de junio de 2019. Al respecto, </w:t>
      </w:r>
      <w:r w:rsidRPr="63E097B5" w:rsidR="19D62C30">
        <w:rPr>
          <w:lang w:val="es-PE"/>
        </w:rPr>
        <w:t>........................</w:t>
      </w:r>
      <w:r w:rsidRPr="63E097B5" w:rsidR="543A3642">
        <w:rPr>
          <w:lang w:val="es-PE"/>
        </w:rPr>
        <w:t xml:space="preserve"> ha adjuntado el correo electrónico a través del cual notifica el rechazo, donde se evidencia que este fue enviado el 05 de junio de 2019:</w:t>
      </w:r>
    </w:p>
    <w:p w:rsidRPr="00A06400" w:rsidR="00A06400" w:rsidP="00A06400" w:rsidRDefault="00A06400" w14:paraId="432DCCCF" w14:textId="77777777">
      <w:pPr>
        <w:tabs>
          <w:tab w:val="left" w:pos="2160"/>
        </w:tabs>
        <w:jc w:val="both"/>
        <w:rPr>
          <w:lang w:val="es-PE"/>
        </w:rPr>
      </w:pPr>
    </w:p>
    <w:p w:rsidRPr="00A06400" w:rsidR="00A06400" w:rsidP="00A06400" w:rsidRDefault="00A06400" w14:paraId="4F16FCE9" w14:textId="1AC85943">
      <w:pPr>
        <w:ind w:left="720"/>
        <w:jc w:val="both"/>
      </w:pPr>
      <w:r w:rsidR="1206B2A7">
        <w:rPr/>
        <w:t>.................................................................................................................</w:t>
      </w:r>
    </w:p>
    <w:p w:rsidR="63E097B5" w:rsidP="63E097B5" w:rsidRDefault="63E097B5" w14:paraId="51ED7C1D" w14:textId="4ACB3770">
      <w:pPr>
        <w:ind w:left="720"/>
        <w:jc w:val="both"/>
      </w:pPr>
    </w:p>
    <w:p w:rsidRPr="00A06400" w:rsidR="00A06400" w:rsidP="00A06400" w:rsidRDefault="00A06400" w14:paraId="3FF15D12" w14:textId="77777777">
      <w:pPr>
        <w:jc w:val="both"/>
        <w:rPr>
          <w:i/>
          <w:iCs/>
        </w:rPr>
      </w:pPr>
    </w:p>
    <w:p w:rsidRPr="00A06400" w:rsidR="00A06400" w:rsidP="00A06400" w:rsidRDefault="00A06400" w14:paraId="298C60FE" w14:textId="24C187AE">
      <w:pPr>
        <w:pStyle w:val="Prrafodelista"/>
        <w:numPr>
          <w:ilvl w:val="0"/>
          <w:numId w:val="16"/>
        </w:numPr>
        <w:tabs>
          <w:tab w:val="left" w:pos="2160"/>
        </w:tabs>
        <w:jc w:val="both"/>
        <w:rPr>
          <w:lang w:val="es-PE"/>
        </w:rPr>
      </w:pPr>
      <w:r w:rsidRPr="63E097B5" w:rsidR="543A3642">
        <w:rPr>
          <w:lang w:val="es-PE"/>
        </w:rPr>
        <w:t xml:space="preserve">En efecto, en su reclamo inicial y en el reclamo presentado ante la aseguradora, el reclamante reconoce haber recibido dicho correo del señor </w:t>
      </w:r>
      <w:r w:rsidRPr="63E097B5" w:rsidR="146DED88">
        <w:rPr>
          <w:lang w:val="es-PE"/>
        </w:rPr>
        <w:t>............................</w:t>
      </w:r>
      <w:r w:rsidRPr="63E097B5" w:rsidR="543A3642">
        <w:rPr>
          <w:lang w:val="es-PE"/>
        </w:rPr>
        <w:t>. Adicionalmente, dicha dirección de correo electrónico es la consignada en la póliza de seguros que obra en el expediente. A continuación se transcribe parte pertinente del reclamo donde se reconoce haber recibido el correo electrónico:</w:t>
      </w:r>
    </w:p>
    <w:p w:rsidRPr="00A06400" w:rsidR="00A06400" w:rsidP="00A06400" w:rsidRDefault="00A06400" w14:paraId="0971C7DE" w14:textId="77777777">
      <w:pPr>
        <w:pStyle w:val="Prrafodelista"/>
        <w:tabs>
          <w:tab w:val="left" w:pos="2160"/>
        </w:tabs>
        <w:jc w:val="both"/>
        <w:rPr>
          <w:lang w:val="es-PE"/>
        </w:rPr>
      </w:pPr>
    </w:p>
    <w:p w:rsidRPr="00A06400" w:rsidR="00A06400" w:rsidP="00A06400" w:rsidRDefault="00A06400" w14:paraId="6D0D5016" w14:textId="6A658E8C">
      <w:pPr>
        <w:ind w:left="1416"/>
        <w:jc w:val="both"/>
      </w:pPr>
      <w:r w:rsidR="225FABAF">
        <w:rPr/>
        <w:t>.........................................................................................................</w:t>
      </w:r>
    </w:p>
    <w:p w:rsidR="63E097B5" w:rsidP="63E097B5" w:rsidRDefault="63E097B5" w14:paraId="127AB7CE" w14:textId="3D6A152E">
      <w:pPr>
        <w:ind w:left="1416"/>
        <w:jc w:val="both"/>
      </w:pPr>
    </w:p>
    <w:p w:rsidRPr="00A06400" w:rsidR="00A06400" w:rsidP="00A06400" w:rsidRDefault="00A06400" w14:paraId="32C63DED" w14:textId="77777777">
      <w:pPr>
        <w:ind w:left="720"/>
        <w:jc w:val="both"/>
        <w:rPr>
          <w:lang w:val="es-PE"/>
        </w:rPr>
      </w:pPr>
    </w:p>
    <w:p w:rsidRPr="00A06400" w:rsidR="00A06400" w:rsidP="00A06400" w:rsidRDefault="00A06400" w14:paraId="7A427028" w14:textId="0F6AEB34">
      <w:pPr>
        <w:pStyle w:val="Prrafodelista"/>
        <w:numPr>
          <w:ilvl w:val="0"/>
          <w:numId w:val="16"/>
        </w:numPr>
        <w:tabs>
          <w:tab w:val="left" w:pos="2160"/>
        </w:tabs>
        <w:jc w:val="both"/>
        <w:rPr>
          <w:lang w:val="es-PE"/>
        </w:rPr>
      </w:pPr>
      <w:r w:rsidRPr="63E097B5" w:rsidR="543A3642">
        <w:rPr>
          <w:lang w:val="es-PE"/>
        </w:rPr>
        <w:t xml:space="preserve">Por el contrario, la carta notarial que el reclamante también recibe y adjunta (y tiene el mismo tenor de la que recibe por correo electrónico), no estuvo suscrita por el señor </w:t>
      </w:r>
      <w:r w:rsidRPr="63E097B5" w:rsidR="693858E2">
        <w:rPr>
          <w:lang w:val="es-PE"/>
        </w:rPr>
        <w:t>.......................</w:t>
      </w:r>
      <w:r w:rsidRPr="63E097B5" w:rsidR="543A3642">
        <w:rPr>
          <w:lang w:val="es-PE"/>
        </w:rPr>
        <w:t xml:space="preserve">, sino por dos funcionarios distintos del </w:t>
      </w:r>
      <w:r w:rsidRPr="63E097B5" w:rsidR="543A3642">
        <w:rPr>
          <w:lang w:val="es-PE"/>
        </w:rPr>
        <w:t>Area</w:t>
      </w:r>
      <w:r w:rsidRPr="63E097B5" w:rsidR="543A3642">
        <w:rPr>
          <w:lang w:val="es-PE"/>
        </w:rPr>
        <w:t xml:space="preserve"> de Siniestros Vehiculares. </w:t>
      </w:r>
      <w:r w:rsidRPr="63E097B5" w:rsidR="543A3642">
        <w:rPr>
          <w:lang w:val="es-PE"/>
        </w:rPr>
        <w:t>Todo lo cual evidencia que el correo sí fue recibido.</w:t>
      </w:r>
      <w:r w:rsidRPr="63E097B5" w:rsidR="543A3642">
        <w:rPr>
          <w:lang w:val="es-PE"/>
        </w:rPr>
        <w:t xml:space="preserve"> Hecho que además ha quedado corroborado por la declaración del propio reclamante, formulada en la audiencia de vista, oportunidad en la que reconoció haber recibido el correo, </w:t>
      </w:r>
      <w:r w:rsidRPr="63E097B5" w:rsidR="543A3642">
        <w:rPr>
          <w:lang w:val="es-PE"/>
        </w:rPr>
        <w:t>añadiendo</w:t>
      </w:r>
      <w:r w:rsidRPr="63E097B5" w:rsidR="543A3642">
        <w:rPr>
          <w:lang w:val="es-PE"/>
        </w:rPr>
        <w:t xml:space="preserve"> sin embargo, que el mismo no pudo visualizarlo ni leerlo el mismo 5 de junio, sino en fecha posterior. </w:t>
      </w:r>
    </w:p>
    <w:p w:rsidRPr="00A06400" w:rsidR="00A06400" w:rsidP="00A06400" w:rsidRDefault="00A06400" w14:paraId="61D59E2C" w14:textId="77777777">
      <w:pPr>
        <w:autoSpaceDE w:val="0"/>
        <w:autoSpaceDN w:val="0"/>
        <w:adjustRightInd w:val="0"/>
        <w:jc w:val="both"/>
        <w:rPr>
          <w:lang w:val="es-PE"/>
        </w:rPr>
      </w:pPr>
    </w:p>
    <w:p w:rsidRPr="00A06400" w:rsidR="00A06400" w:rsidP="00A06400" w:rsidRDefault="00A06400" w14:paraId="5B21F0B3" w14:textId="77777777">
      <w:pPr>
        <w:autoSpaceDE w:val="0"/>
        <w:autoSpaceDN w:val="0"/>
        <w:adjustRightInd w:val="0"/>
        <w:ind w:left="708"/>
        <w:jc w:val="both"/>
        <w:rPr>
          <w:lang w:val="es-PE"/>
        </w:rPr>
      </w:pPr>
      <w:r w:rsidRPr="00A06400">
        <w:rPr>
          <w:lang w:val="es-PE"/>
        </w:rPr>
        <w:t xml:space="preserve">En aplicación del artículo 44 de la Ley Nro. 29946, y de las propias reglas del derecho común, todas las comunicaciones contractuales son recepticias, esto es, deben estar dirigidas a persona determinada y surten efecto legal desde el momento en que son notificadas </w:t>
      </w:r>
      <w:r w:rsidRPr="00A06400">
        <w:rPr>
          <w:u w:val="single"/>
          <w:lang w:val="es-PE"/>
        </w:rPr>
        <w:t>en el domicilio señalado en el contrato</w:t>
      </w:r>
      <w:r w:rsidRPr="00A06400">
        <w:rPr>
          <w:lang w:val="es-PE"/>
        </w:rPr>
        <w:t>. En este caso se pactó expresamente como uno de los mecanismos directos de comunicación al correo electrónico; y por lo tanto la fecha que debe considerarse no es aquella en la que el reclamante leyó el correo electrónico, sino la fecha en la que el mensaje llegó a su correo electrónico, en este caso, el 5 de junio de 2019.</w:t>
      </w:r>
    </w:p>
    <w:p w:rsidRPr="00A06400" w:rsidR="00A06400" w:rsidP="00A06400" w:rsidRDefault="00A06400" w14:paraId="401BE063" w14:textId="77777777">
      <w:pPr>
        <w:autoSpaceDE w:val="0"/>
        <w:autoSpaceDN w:val="0"/>
        <w:adjustRightInd w:val="0"/>
        <w:jc w:val="both"/>
        <w:rPr>
          <w:lang w:val="es-PE"/>
        </w:rPr>
      </w:pPr>
    </w:p>
    <w:p w:rsidRPr="00A06400" w:rsidR="00A06400" w:rsidP="00A06400" w:rsidRDefault="00A06400" w14:paraId="087C1C3F" w14:textId="77777777">
      <w:pPr>
        <w:tabs>
          <w:tab w:val="left" w:pos="2160"/>
        </w:tabs>
        <w:jc w:val="both"/>
        <w:rPr>
          <w:lang w:val="es-PE"/>
        </w:rPr>
      </w:pPr>
      <w:r w:rsidRPr="00A06400">
        <w:rPr>
          <w:lang w:val="es-PE"/>
        </w:rPr>
        <w:t>Siendo que esta Defensoría carece de competencia para conocer el presente reclamo, al haberse excedido el plazo reglamentario para interponer un reclamo ante esta instancia, no corresponde que la DEFASEG se pronuncie sobre el tema de fondo.</w:t>
      </w:r>
    </w:p>
    <w:p w:rsidRPr="00A06400" w:rsidR="00A06400" w:rsidP="00A06400" w:rsidRDefault="00A06400" w14:paraId="1C544E0B" w14:textId="77777777">
      <w:pPr>
        <w:tabs>
          <w:tab w:val="left" w:pos="2160"/>
        </w:tabs>
        <w:jc w:val="both"/>
        <w:rPr>
          <w:lang w:val="es-PE"/>
        </w:rPr>
      </w:pPr>
    </w:p>
    <w:p w:rsidRPr="00A06400" w:rsidR="00A06400" w:rsidP="00A06400" w:rsidRDefault="00A06400" w14:paraId="6942B577" w14:textId="77777777">
      <w:pPr>
        <w:tabs>
          <w:tab w:val="left" w:pos="2160"/>
        </w:tabs>
        <w:jc w:val="both"/>
        <w:rPr>
          <w:lang w:val="es-PE"/>
        </w:rPr>
      </w:pPr>
      <w:r w:rsidRPr="00A06400">
        <w:rPr>
          <w:lang w:val="es-PE"/>
        </w:rPr>
        <w:t>Atendiendo a lo expresado, este colegiado concluye su apreciación razonada y conjunta al amparo de lo establecido en su Reglamento, por lo que resuelve:</w:t>
      </w:r>
    </w:p>
    <w:p w:rsidRPr="00A06400" w:rsidR="00A06400" w:rsidP="00A06400" w:rsidRDefault="00A06400" w14:paraId="3F387C48" w14:textId="77777777">
      <w:pPr>
        <w:tabs>
          <w:tab w:val="left" w:pos="2160"/>
        </w:tabs>
        <w:jc w:val="both"/>
        <w:rPr>
          <w:lang w:val="es-PE"/>
        </w:rPr>
      </w:pPr>
    </w:p>
    <w:p w:rsidRPr="00A06400" w:rsidR="00A06400" w:rsidP="00A06400" w:rsidRDefault="00A06400" w14:paraId="7504BF21" w14:textId="77777777">
      <w:pPr>
        <w:tabs>
          <w:tab w:val="left" w:pos="2386"/>
        </w:tabs>
        <w:jc w:val="both"/>
        <w:outlineLvl w:val="0"/>
        <w:rPr>
          <w:b/>
        </w:rPr>
      </w:pPr>
      <w:r w:rsidRPr="00A06400">
        <w:rPr>
          <w:b/>
          <w:lang w:val="es-PE"/>
        </w:rPr>
        <w:t>Resuelve:</w:t>
      </w:r>
    </w:p>
    <w:p w:rsidRPr="00A06400" w:rsidR="00A06400" w:rsidP="00A06400" w:rsidRDefault="00A06400" w14:paraId="5225412F" w14:textId="77777777">
      <w:pPr>
        <w:tabs>
          <w:tab w:val="left" w:pos="2386"/>
        </w:tabs>
        <w:jc w:val="both"/>
        <w:rPr>
          <w:lang w:val="es-PE"/>
        </w:rPr>
      </w:pPr>
    </w:p>
    <w:p w:rsidRPr="00A06400" w:rsidR="00A06400" w:rsidP="00A06400" w:rsidRDefault="00A06400" w14:paraId="7A428D00" w14:textId="2A835B25">
      <w:pPr>
        <w:jc w:val="both"/>
        <w:rPr>
          <w:rFonts w:eastAsia="Arial Unicode MS"/>
          <w:lang w:val="es-MX"/>
        </w:rPr>
      </w:pPr>
      <w:r w:rsidRPr="63E097B5" w:rsidR="543A3642">
        <w:rPr>
          <w:rFonts w:eastAsia="Arial Unicode MS"/>
          <w:lang w:val="es-PE"/>
        </w:rPr>
        <w:t>Declarar</w:t>
      </w:r>
      <w:r w:rsidRPr="63E097B5" w:rsidR="543A3642">
        <w:rPr>
          <w:rFonts w:eastAsia="Arial Unicode MS"/>
          <w:b w:val="1"/>
          <w:bCs w:val="1"/>
          <w:lang w:val="es-PE"/>
        </w:rPr>
        <w:t xml:space="preserve"> </w:t>
      </w:r>
      <w:r w:rsidRPr="63E097B5" w:rsidR="543A3642">
        <w:rPr>
          <w:rFonts w:eastAsia="Arial Unicode MS"/>
          <w:b w:val="1"/>
          <w:bCs w:val="1"/>
          <w:lang w:val="es-MX"/>
        </w:rPr>
        <w:t xml:space="preserve">IMPROCEDENTE </w:t>
      </w:r>
      <w:r w:rsidRPr="63E097B5" w:rsidR="543A3642">
        <w:rPr>
          <w:rFonts w:eastAsia="Arial Unicode MS"/>
          <w:lang w:val="es-MX"/>
        </w:rPr>
        <w:t xml:space="preserve">el reclamo presentado por el señor </w:t>
      </w:r>
      <w:r w:rsidRPr="63E097B5" w:rsidR="4AE2AA69">
        <w:rPr>
          <w:rFonts w:eastAsia="Arial Unicode MS"/>
          <w:lang w:val="es-MX"/>
        </w:rPr>
        <w:t>.........................................................</w:t>
      </w:r>
      <w:r w:rsidRPr="63E097B5" w:rsidR="543A3642">
        <w:rPr>
          <w:rFonts w:eastAsia="Arial Unicode MS"/>
          <w:lang w:val="es-MX"/>
        </w:rPr>
        <w:t xml:space="preserve"> contra </w:t>
      </w:r>
      <w:r w:rsidRPr="63E097B5" w:rsidR="77ED9CD1">
        <w:rPr>
          <w:rFonts w:eastAsia="Arial Unicode MS"/>
          <w:lang w:val="es-MX"/>
        </w:rPr>
        <w:t>.....................................................</w:t>
      </w:r>
      <w:r w:rsidRPr="63E097B5" w:rsidR="543A3642">
        <w:rPr>
          <w:rFonts w:eastAsia="Arial Unicode MS"/>
          <w:lang w:val="es-MX"/>
        </w:rPr>
        <w:t>, por haberse excedido el plazo reglamentario establecido en el Reglamento de la DEFASEG</w:t>
      </w:r>
      <w:r w:rsidRPr="63E097B5" w:rsidR="543A3642">
        <w:rPr>
          <w:rFonts w:eastAsia="Arial Unicode MS"/>
          <w:lang w:val="es-MX"/>
        </w:rPr>
        <w:t xml:space="preserve">, </w:t>
      </w:r>
      <w:r w:rsidRPr="63E097B5" w:rsidR="543A3642">
        <w:rPr>
          <w:rFonts w:eastAsia="Arial Unicode MS"/>
          <w:lang w:val="es-PE"/>
        </w:rPr>
        <w:t>quedando a salvo el derecho del reclamante de</w:t>
      </w:r>
      <w:r w:rsidRPr="63E097B5" w:rsidR="543A3642">
        <w:rPr>
          <w:rFonts w:eastAsia="Arial Unicode MS"/>
          <w:lang w:val="es-PE"/>
        </w:rPr>
        <w:t xml:space="preserve"> recurrir ante las instancias que considere pertinentes</w:t>
      </w:r>
      <w:r w:rsidRPr="63E097B5" w:rsidR="543A3642">
        <w:rPr>
          <w:rFonts w:eastAsia="Arial Unicode MS"/>
          <w:lang w:val="es-MX"/>
        </w:rPr>
        <w:t>.</w:t>
      </w:r>
    </w:p>
    <w:p w:rsidRPr="00A06400" w:rsidR="009630E4" w:rsidP="009630E4" w:rsidRDefault="009630E4" w14:paraId="2B3D86E7" w14:textId="6F56710E">
      <w:pPr>
        <w:tabs>
          <w:tab w:val="left" w:pos="0"/>
          <w:tab w:val="left" w:pos="1416"/>
          <w:tab w:val="left" w:pos="2977"/>
          <w:tab w:val="left" w:pos="4248"/>
          <w:tab w:val="left" w:pos="4956"/>
          <w:tab w:val="left" w:pos="5664"/>
          <w:tab w:val="left" w:pos="6372"/>
          <w:tab w:val="left" w:pos="7125"/>
        </w:tabs>
        <w:jc w:val="both"/>
        <w:rPr>
          <w:lang w:val="es-MX"/>
        </w:rPr>
      </w:pPr>
    </w:p>
    <w:p w:rsidRPr="00A06400" w:rsidR="001631D6" w:rsidP="00F202DC" w:rsidRDefault="00F15FBA" w14:paraId="48C7895B" w14:textId="182877C6">
      <w:pPr>
        <w:jc w:val="right"/>
        <w:outlineLvl w:val="0"/>
        <w:rPr>
          <w:lang w:val="es-PE"/>
        </w:rPr>
      </w:pPr>
      <w:r w:rsidRPr="00A06400">
        <w:rPr>
          <w:lang w:val="es-PE"/>
        </w:rPr>
        <w:t xml:space="preserve">Lima, </w:t>
      </w:r>
      <w:r w:rsidR="00A06400">
        <w:t>10</w:t>
      </w:r>
      <w:r w:rsidRPr="00A06400" w:rsidR="0098224D">
        <w:t xml:space="preserve"> </w:t>
      </w:r>
      <w:r w:rsidRPr="00A06400">
        <w:rPr>
          <w:lang w:val="es-PE"/>
        </w:rPr>
        <w:t>de</w:t>
      </w:r>
      <w:r w:rsidRPr="00A06400" w:rsidR="00E13D0F">
        <w:rPr>
          <w:lang w:val="es-PE"/>
        </w:rPr>
        <w:t xml:space="preserve"> </w:t>
      </w:r>
      <w:r w:rsidRPr="00A06400" w:rsidR="0096094A">
        <w:rPr>
          <w:lang w:val="es-PE"/>
        </w:rPr>
        <w:t>mayo</w:t>
      </w:r>
      <w:r w:rsidRPr="00A06400" w:rsidR="001631D6">
        <w:rPr>
          <w:lang w:val="es-PE"/>
        </w:rPr>
        <w:t xml:space="preserve"> </w:t>
      </w:r>
      <w:r w:rsidRPr="00A06400">
        <w:rPr>
          <w:lang w:val="es-PE"/>
        </w:rPr>
        <w:t>de 20</w:t>
      </w:r>
      <w:r w:rsidRPr="00A06400" w:rsidR="001631D6">
        <w:rPr>
          <w:lang w:val="es-PE"/>
        </w:rPr>
        <w:t>2</w:t>
      </w:r>
      <w:r w:rsidRPr="00A06400" w:rsidR="00444D29">
        <w:rPr>
          <w:lang w:val="es-PE"/>
        </w:rPr>
        <w:t>2</w:t>
      </w:r>
    </w:p>
    <w:p w:rsidRPr="00A06400" w:rsidR="00F202DC" w:rsidP="001631D6" w:rsidRDefault="00F202DC" w14:paraId="55EA6443" w14:textId="77777777">
      <w:pPr>
        <w:jc w:val="both"/>
      </w:pPr>
    </w:p>
    <w:p w:rsidRPr="00A06400" w:rsidR="001631D6" w:rsidP="001631D6" w:rsidRDefault="001631D6" w14:paraId="54F717D9" w14:textId="77777777">
      <w:pPr>
        <w:jc w:val="both"/>
        <w:rPr>
          <w:b/>
          <w:bCs/>
          <w:i/>
          <w:iCs/>
          <w:lang w:val="es-ES_tradnl"/>
        </w:rPr>
      </w:pPr>
      <w:r w:rsidRPr="00A06400">
        <w:rPr>
          <w:b/>
          <w:bCs/>
          <w:i/>
          <w:iCs/>
          <w:lang w:val="es-ES_tradnl"/>
        </w:rPr>
        <w:t>La Secretaría Técnica certifica que la presente resolución cuenta con el voto de los vocales cuyos nombres figuran en el presente documento.</w:t>
      </w:r>
    </w:p>
    <w:p w:rsidRPr="00A06400" w:rsidR="001631D6" w:rsidP="001631D6" w:rsidRDefault="001631D6" w14:paraId="024CA4C1" w14:textId="77777777">
      <w:pPr>
        <w:jc w:val="both"/>
        <w:rPr>
          <w:b/>
          <w:bCs/>
          <w:i/>
          <w:iCs/>
          <w:lang w:val="es-ES_tradnl"/>
        </w:rPr>
      </w:pPr>
    </w:p>
    <w:p w:rsidRPr="00A06400" w:rsidR="003E6BA6" w:rsidP="003E6BA6" w:rsidRDefault="0096094A" w14:paraId="7E9839D4" w14:textId="0E0E06BB">
      <w:pPr>
        <w:spacing w:line="360" w:lineRule="auto"/>
        <w:jc w:val="center"/>
        <w:rPr>
          <w:b/>
          <w:bCs/>
        </w:rPr>
      </w:pPr>
      <w:r w:rsidRPr="00A06400">
        <w:rPr>
          <w:b/>
          <w:bCs/>
        </w:rPr>
        <w:t xml:space="preserve">Marco Antonio Ortega Piana </w:t>
      </w:r>
      <w:r w:rsidRPr="00A06400" w:rsidR="003E6BA6">
        <w:rPr>
          <w:b/>
          <w:bCs/>
        </w:rPr>
        <w:t>– Presidente</w:t>
      </w:r>
    </w:p>
    <w:p w:rsidRPr="00A06400" w:rsidR="0096094A" w:rsidP="0096094A" w:rsidRDefault="0096094A" w14:paraId="3458C0C0" w14:textId="6E7C8E64">
      <w:pPr>
        <w:spacing w:line="360" w:lineRule="auto"/>
        <w:jc w:val="center"/>
        <w:rPr>
          <w:b/>
          <w:bCs/>
        </w:rPr>
      </w:pPr>
      <w:r w:rsidRPr="00A06400">
        <w:rPr>
          <w:b/>
          <w:bCs/>
        </w:rPr>
        <w:lastRenderedPageBreak/>
        <w:t>María Eugenia Valdez Fernández Baca– Vocal</w:t>
      </w:r>
    </w:p>
    <w:p w:rsidRPr="00A06400" w:rsidR="001631D6" w:rsidP="001631D6" w:rsidRDefault="001631D6" w14:paraId="515933D0" w14:textId="575B7E12">
      <w:pPr>
        <w:spacing w:line="360" w:lineRule="auto"/>
        <w:jc w:val="center"/>
        <w:rPr>
          <w:b/>
          <w:bCs/>
        </w:rPr>
      </w:pPr>
      <w:r w:rsidRPr="00A06400">
        <w:rPr>
          <w:b/>
          <w:bCs/>
        </w:rPr>
        <w:t xml:space="preserve">Rolando Eyzaguirre Maccan – </w:t>
      </w:r>
      <w:r w:rsidRPr="00A06400" w:rsidR="003E6BA6">
        <w:rPr>
          <w:b/>
          <w:bCs/>
        </w:rPr>
        <w:t>Vocal</w:t>
      </w:r>
    </w:p>
    <w:p w:rsidRPr="00A06400" w:rsidR="00517989" w:rsidP="00AB70B7" w:rsidRDefault="00AB70B7" w14:paraId="164CAA9F" w14:textId="01A81F40">
      <w:pPr>
        <w:spacing w:line="360" w:lineRule="auto"/>
        <w:jc w:val="center"/>
        <w:rPr>
          <w:b/>
          <w:bCs/>
        </w:rPr>
      </w:pPr>
      <w:r w:rsidRPr="00A06400">
        <w:rPr>
          <w:b/>
          <w:bCs/>
        </w:rPr>
        <w:t>Gonzalo Abad del Busto - Vocal</w:t>
      </w:r>
    </w:p>
    <w:p w:rsidRPr="003E772B" w:rsidR="00865247" w:rsidRDefault="00865247" w14:paraId="0F6CCBAC" w14:textId="77777777"/>
    <w:sectPr w:rsidRPr="003E772B"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7E7E" w:rsidP="005F148C" w:rsidRDefault="00167E7E" w14:paraId="0C671EDB" w14:textId="77777777">
      <w:r>
        <w:separator/>
      </w:r>
    </w:p>
  </w:endnote>
  <w:endnote w:type="continuationSeparator" w:id="0">
    <w:p w:rsidR="00167E7E" w:rsidP="005F148C" w:rsidRDefault="00167E7E" w14:paraId="7C4F8B7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7E7E" w:rsidP="005F148C" w:rsidRDefault="00167E7E" w14:paraId="0DC2CD67" w14:textId="77777777">
      <w:r>
        <w:separator/>
      </w:r>
    </w:p>
  </w:footnote>
  <w:footnote w:type="continuationSeparator" w:id="0">
    <w:p w:rsidR="00167E7E" w:rsidP="005F148C" w:rsidRDefault="00167E7E" w14:paraId="32D97C3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7"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0"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1"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0"/>
  </w:num>
  <w:num w:numId="9" w16cid:durableId="182284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7"/>
  </w:num>
  <w:num w:numId="12" w16cid:durableId="248201111">
    <w:abstractNumId w:val="15"/>
  </w:num>
  <w:num w:numId="13" w16cid:durableId="7744033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6"/>
    <w:lvlOverride w:ilvl="0">
      <w:startOverride w:val="1"/>
    </w:lvlOverride>
    <w:lvlOverride w:ilvl="1"/>
    <w:lvlOverride w:ilvl="2"/>
    <w:lvlOverride w:ilvl="3"/>
    <w:lvlOverride w:ilvl="4"/>
    <w:lvlOverride w:ilvl="5"/>
    <w:lvlOverride w:ilvl="6"/>
    <w:lvlOverride w:ilvl="7"/>
    <w:lvlOverride w:ilvl="8"/>
  </w:num>
  <w:num w:numId="16" w16cid:durableId="58938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14D1F"/>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1E6F"/>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156C"/>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D7470"/>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8BD6365"/>
    <w:rsid w:val="1206B2A7"/>
    <w:rsid w:val="146DED88"/>
    <w:rsid w:val="19D62C30"/>
    <w:rsid w:val="225FABAF"/>
    <w:rsid w:val="261E7095"/>
    <w:rsid w:val="297AAAF3"/>
    <w:rsid w:val="2D114038"/>
    <w:rsid w:val="2D36735B"/>
    <w:rsid w:val="3747CC99"/>
    <w:rsid w:val="39629B9E"/>
    <w:rsid w:val="444BFC18"/>
    <w:rsid w:val="4AE2AA69"/>
    <w:rsid w:val="543A3642"/>
    <w:rsid w:val="543B094D"/>
    <w:rsid w:val="5D7CC0F7"/>
    <w:rsid w:val="5E959915"/>
    <w:rsid w:val="6089EC8D"/>
    <w:rsid w:val="63E097B5"/>
    <w:rsid w:val="66ADE8BD"/>
    <w:rsid w:val="693858E2"/>
    <w:rsid w:val="6B4E12C8"/>
    <w:rsid w:val="75D0D1B6"/>
    <w:rsid w:val="761CEB05"/>
    <w:rsid w:val="77ED9CD1"/>
    <w:rsid w:val="78DCD19B"/>
    <w:rsid w:val="7A151E8E"/>
    <w:rsid w:val="7BEC3AA5"/>
    <w:rsid w:val="7C308840"/>
    <w:rsid w:val="7CFE1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de-defaseg/"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defaseg.com.pe/reglamento-de-defase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7657132-1A90-4E08-81CE-1813622D9737}"/>
</file>

<file path=customXml/itemProps3.xml><?xml version="1.0" encoding="utf-8"?>
<ds:datastoreItem xmlns:ds="http://schemas.openxmlformats.org/officeDocument/2006/customXml" ds:itemID="{B3B68B30-5766-4019-B2BF-9221C3E2E3FE}"/>
</file>

<file path=customXml/itemProps4.xml><?xml version="1.0" encoding="utf-8"?>
<ds:datastoreItem xmlns:ds="http://schemas.openxmlformats.org/officeDocument/2006/customXml" ds:itemID="{F49B0636-6F6C-4E0C-B450-08335F9746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261</cp:revision>
  <cp:lastPrinted>2022-05-11T17:40:00Z</cp:lastPrinted>
  <dcterms:created xsi:type="dcterms:W3CDTF">2020-12-18T20:09:00Z</dcterms:created>
  <dcterms:modified xsi:type="dcterms:W3CDTF">2025-04-07T13:37:51Z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