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4C1AF5" w:rsidR="00F15FBA" w:rsidP="00F15FBA" w:rsidRDefault="00F15FBA" w14:paraId="6BA6C8A5" w14:textId="397D0402">
      <w:pPr>
        <w:pStyle w:val="Title"/>
        <w:outlineLvl w:val="0"/>
        <w:rPr>
          <w:lang w:val="es-PE"/>
        </w:rPr>
      </w:pPr>
      <w:r w:rsidRPr="004C1AF5">
        <w:rPr>
          <w:lang w:val="es-PE"/>
        </w:rPr>
        <w:t>RESOLUCIÓN N</w:t>
      </w:r>
      <w:r w:rsidRPr="004C1AF5" w:rsidR="001631D6">
        <w:rPr>
          <w:lang w:val="es-PE"/>
        </w:rPr>
        <w:t xml:space="preserve">° </w:t>
      </w:r>
      <w:r w:rsidRPr="004C1AF5" w:rsidR="00674D09">
        <w:rPr>
          <w:lang w:val="es-PE"/>
        </w:rPr>
        <w:t>1</w:t>
      </w:r>
      <w:r w:rsidRPr="004C1AF5" w:rsidR="006358AB">
        <w:rPr>
          <w:lang w:val="es-PE"/>
        </w:rPr>
        <w:t>1</w:t>
      </w:r>
      <w:r w:rsidRPr="004C1AF5" w:rsidR="00206922">
        <w:rPr>
          <w:lang w:val="es-PE"/>
        </w:rPr>
        <w:t>9</w:t>
      </w:r>
      <w:r w:rsidRPr="004C1AF5" w:rsidR="00F96FDD">
        <w:rPr>
          <w:lang w:val="es-PE"/>
        </w:rPr>
        <w:t>/</w:t>
      </w:r>
      <w:r w:rsidRPr="004C1AF5" w:rsidR="001631D6">
        <w:rPr>
          <w:lang w:val="es-PE"/>
        </w:rPr>
        <w:t>2</w:t>
      </w:r>
      <w:r w:rsidRPr="004C1AF5" w:rsidR="00444D29">
        <w:rPr>
          <w:lang w:val="es-PE"/>
        </w:rPr>
        <w:t>2</w:t>
      </w:r>
    </w:p>
    <w:p w:rsidRPr="004C1AF5" w:rsidR="00C609BC" w:rsidP="00CA5361" w:rsidRDefault="00C609BC" w14:paraId="4F6885AD" w14:textId="77777777">
      <w:pPr>
        <w:jc w:val="both"/>
        <w:outlineLvl w:val="0"/>
        <w:rPr>
          <w:b/>
          <w:bCs/>
          <w:lang w:val="es-PE"/>
        </w:rPr>
      </w:pPr>
    </w:p>
    <w:p w:rsidRPr="004C1AF5" w:rsidR="004C1AF5" w:rsidP="004C1AF5" w:rsidRDefault="004C1AF5" w14:paraId="56B2531F" w14:textId="77777777">
      <w:pPr>
        <w:jc w:val="both"/>
        <w:outlineLvl w:val="0"/>
        <w:rPr>
          <w:b/>
          <w:bCs/>
          <w:lang w:val="es-PE"/>
        </w:rPr>
      </w:pPr>
      <w:r w:rsidRPr="004C1AF5">
        <w:rPr>
          <w:b/>
          <w:bCs/>
          <w:lang w:val="es-PE"/>
        </w:rPr>
        <w:t>Vistos:</w:t>
      </w:r>
    </w:p>
    <w:p w:rsidRPr="004C1AF5" w:rsidR="004C1AF5" w:rsidP="004C1AF5" w:rsidRDefault="004C1AF5" w14:paraId="122BAC04" w14:textId="77777777">
      <w:pPr>
        <w:jc w:val="both"/>
        <w:rPr>
          <w:lang w:val="es-PE"/>
        </w:rPr>
      </w:pPr>
    </w:p>
    <w:p w:rsidRPr="004C1AF5" w:rsidR="004C1AF5" w:rsidP="004C1AF5" w:rsidRDefault="004C1AF5" w14:paraId="3072BEE4" w14:textId="36F14135">
      <w:pPr>
        <w:tabs>
          <w:tab w:val="left" w:pos="708"/>
          <w:tab w:val="left" w:pos="1416"/>
          <w:tab w:val="left" w:pos="2160"/>
          <w:tab w:val="left" w:pos="2977"/>
          <w:tab w:val="left" w:pos="4248"/>
          <w:tab w:val="left" w:pos="4956"/>
          <w:tab w:val="left" w:pos="5664"/>
          <w:tab w:val="left" w:pos="6372"/>
          <w:tab w:val="left" w:pos="7125"/>
        </w:tabs>
        <w:jc w:val="both"/>
        <w:rPr>
          <w:lang w:val="es-PE"/>
        </w:rPr>
      </w:pPr>
      <w:r w:rsidRPr="44DFF341" w:rsidR="004C1AF5">
        <w:rPr>
          <w:lang w:val="es-PE"/>
        </w:rPr>
        <w:t>Que, con fecha 11 de enero de 2022, doña</w:t>
      </w:r>
      <w:r w:rsidR="004C1AF5">
        <w:rPr/>
        <w:t xml:space="preserve"> </w:t>
      </w:r>
      <w:r w:rsidR="551DAC4E">
        <w:rPr/>
        <w:t>............................................................</w:t>
      </w:r>
      <w:r w:rsidR="004C1AF5">
        <w:rPr/>
        <w:t xml:space="preserve"> interpone</w:t>
      </w:r>
      <w:r w:rsidRPr="44DFF341" w:rsidR="004C1AF5">
        <w:rPr>
          <w:lang w:val="es-PE"/>
        </w:rPr>
        <w:t xml:space="preserve"> reclamación ante esta Defensoría del Asegurado (DEFASEG), solicitando que </w:t>
      </w:r>
      <w:bookmarkStart w:name="OLE_LINK2" w:id="0"/>
      <w:r w:rsidRPr="44DFF341" w:rsidR="3385B8F2">
        <w:rPr>
          <w:lang w:val="es-PE"/>
        </w:rPr>
        <w:t>.................................</w:t>
      </w:r>
      <w:r w:rsidRPr="44DFF341" w:rsidR="004C1AF5">
        <w:rPr>
          <w:lang w:val="es-PE"/>
        </w:rPr>
        <w:t xml:space="preserve"> cumpla con otorgar cobertura al siniestro ocurrido con fecha </w:t>
      </w:r>
      <w:bookmarkEnd w:id="0"/>
      <w:r w:rsidRPr="44DFF341" w:rsidR="004C1AF5">
        <w:rPr>
          <w:lang w:val="es-PE"/>
        </w:rPr>
        <w:t xml:space="preserve">20 de octubre de 2020, conforme a los términos y condiciones del Seguro Vehicular, póliza </w:t>
      </w:r>
      <w:r w:rsidRPr="44DFF341" w:rsidR="360FCA23">
        <w:rPr>
          <w:lang w:val="es-PE"/>
        </w:rPr>
        <w:t>........................</w:t>
      </w:r>
    </w:p>
    <w:p w:rsidRPr="004C1AF5" w:rsidR="004C1AF5" w:rsidP="004C1AF5" w:rsidRDefault="004C1AF5" w14:paraId="3D11F577" w14:textId="77777777">
      <w:pPr>
        <w:tabs>
          <w:tab w:val="left" w:pos="708"/>
          <w:tab w:val="left" w:pos="1416"/>
          <w:tab w:val="left" w:pos="2160"/>
          <w:tab w:val="left" w:pos="2977"/>
          <w:tab w:val="left" w:pos="4248"/>
          <w:tab w:val="left" w:pos="4956"/>
          <w:tab w:val="left" w:pos="5664"/>
          <w:tab w:val="left" w:pos="6372"/>
          <w:tab w:val="left" w:pos="7125"/>
        </w:tabs>
        <w:jc w:val="both"/>
        <w:rPr>
          <w:lang w:val="es-PE"/>
        </w:rPr>
      </w:pPr>
    </w:p>
    <w:p w:rsidRPr="004C1AF5" w:rsidR="004C1AF5" w:rsidP="004C1AF5" w:rsidRDefault="004C1AF5" w14:paraId="75029864" w14:textId="77777777">
      <w:pPr>
        <w:jc w:val="both"/>
        <w:rPr>
          <w:rFonts w:eastAsia="Arial Unicode MS"/>
          <w:lang w:val="es-PE"/>
        </w:rPr>
      </w:pPr>
      <w:r w:rsidRPr="004C1AF5">
        <w:rPr>
          <w:rFonts w:eastAsia="Arial Unicode MS"/>
          <w:lang w:val="es-PE"/>
        </w:rPr>
        <w:t>Que, la señalada reclamación cumple con los requisitos de materia, cuantía y oportunidad establecidos en el Reglamento de la DEFASEG (</w:t>
      </w:r>
      <w:hyperlink w:history="1" r:id="rId8">
        <w:r w:rsidRPr="004C1AF5">
          <w:rPr>
            <w:rStyle w:val="Hyperlink"/>
            <w:rFonts w:eastAsia="Arial Unicode MS"/>
            <w:lang w:val="es-PE"/>
          </w:rPr>
          <w:t>http://www.defaseg.com.pe/reglamento.html</w:t>
        </w:r>
      </w:hyperlink>
      <w:r w:rsidRPr="004C1AF5">
        <w:rPr>
          <w:rFonts w:eastAsia="Arial Unicode MS"/>
          <w:lang w:val="es-PE"/>
        </w:rPr>
        <w:t>);</w:t>
      </w:r>
    </w:p>
    <w:p w:rsidRPr="004C1AF5" w:rsidR="004C1AF5" w:rsidP="004C1AF5" w:rsidRDefault="004C1AF5" w14:paraId="7F9D1D13" w14:textId="77777777">
      <w:pPr>
        <w:tabs>
          <w:tab w:val="num" w:pos="720"/>
        </w:tabs>
        <w:jc w:val="both"/>
        <w:rPr>
          <w:lang w:val="es-PE"/>
        </w:rPr>
      </w:pPr>
    </w:p>
    <w:p w:rsidRPr="004C1AF5" w:rsidR="004C1AF5" w:rsidP="004C1AF5" w:rsidRDefault="004C1AF5" w14:paraId="49715FB5" w14:textId="287FD811">
      <w:pPr>
        <w:tabs>
          <w:tab w:val="num" w:pos="720"/>
        </w:tabs>
        <w:jc w:val="both"/>
        <w:rPr>
          <w:lang w:val="es-PE"/>
        </w:rPr>
      </w:pPr>
      <w:r w:rsidRPr="6F35BA7E">
        <w:rPr>
          <w:lang w:val="es-PE"/>
        </w:rPr>
        <w:t xml:space="preserve">Que, habiéndosele corrido con fecha 7 de febrero de 2022 traslado de la respectiva reclamación, </w:t>
      </w:r>
      <w:r w:rsidRPr="6F35BA7E" w:rsidR="3385B8F2">
        <w:rPr>
          <w:lang w:val="es-PE"/>
        </w:rPr>
        <w:t>.................................</w:t>
      </w:r>
      <w:r w:rsidRPr="6F35BA7E">
        <w:rPr>
          <w:lang w:val="es-PE"/>
        </w:rPr>
        <w:t xml:space="preserve"> presentó sus descargos y determinada documentación con fecha 11 de marzo de 2022;</w:t>
      </w:r>
    </w:p>
    <w:p w:rsidRPr="004C1AF5" w:rsidR="004C1AF5" w:rsidP="004C1AF5" w:rsidRDefault="004C1AF5" w14:paraId="1D717BB2" w14:textId="77777777">
      <w:pPr>
        <w:tabs>
          <w:tab w:val="num" w:pos="720"/>
        </w:tabs>
        <w:jc w:val="both"/>
        <w:rPr>
          <w:lang w:val="es-PE"/>
        </w:rPr>
      </w:pPr>
    </w:p>
    <w:p w:rsidRPr="004C1AF5" w:rsidR="004C1AF5" w:rsidP="004C1AF5" w:rsidRDefault="004C1AF5" w14:paraId="25A32672" w14:textId="77777777">
      <w:pPr>
        <w:tabs>
          <w:tab w:val="num" w:pos="720"/>
        </w:tabs>
        <w:jc w:val="both"/>
        <w:rPr>
          <w:rFonts w:eastAsiaTheme="minorHAnsi"/>
          <w:lang w:eastAsia="en-US"/>
        </w:rPr>
      </w:pPr>
      <w:r w:rsidRPr="004C1AF5">
        <w:rPr>
          <w:lang w:val="es-PE"/>
        </w:rPr>
        <w:t>Que, con fecha</w:t>
      </w:r>
      <w:r w:rsidRPr="004C1AF5">
        <w:rPr>
          <w:lang w:val="es-419"/>
        </w:rPr>
        <w:t xml:space="preserve"> 9 de mayo de 2022 </w:t>
      </w:r>
      <w:r w:rsidRPr="004C1AF5">
        <w:rPr>
          <w:lang w:val="es-PE"/>
        </w:rPr>
        <w:t>se realizó la audiencia de vista virtual en la plataforma electrónica habilitada por la secretaría técnica de la DEFASEG, con la participación de ambas partes, quienes absolvieron las preguntas formuladas por este colegiado, conforme consta de la correspondiente acta;</w:t>
      </w:r>
    </w:p>
    <w:p w:rsidRPr="004C1AF5" w:rsidR="004C1AF5" w:rsidP="004C1AF5" w:rsidRDefault="004C1AF5" w14:paraId="7F06A187" w14:textId="77777777">
      <w:pPr>
        <w:tabs>
          <w:tab w:val="num" w:pos="720"/>
        </w:tabs>
        <w:jc w:val="both"/>
      </w:pPr>
    </w:p>
    <w:p w:rsidRPr="004C1AF5" w:rsidR="004C1AF5" w:rsidP="6F35BA7E" w:rsidRDefault="004C1AF5" w14:paraId="3C6FA823" w14:textId="78D19281">
      <w:pPr>
        <w:jc w:val="both"/>
        <w:rPr>
          <w:rFonts w:eastAsiaTheme="minorEastAsia"/>
          <w:color w:val="000000"/>
          <w:lang w:val="es-PE" w:eastAsia="en-US"/>
        </w:rPr>
      </w:pPr>
      <w:r w:rsidRPr="6F35BA7E">
        <w:rPr>
          <w:lang w:val="es-PE"/>
        </w:rPr>
        <w:t xml:space="preserve">Que, la reclamación se sustenta resumidamente en lo siguiente: a) Con fecha 20 de octubre de 2020, mientras era conducido el vehículo asegurado, con placa de rodaje </w:t>
      </w:r>
      <w:r w:rsidRPr="6F35BA7E" w:rsidR="78A47C47">
        <w:rPr>
          <w:lang w:val="es-PE"/>
        </w:rPr>
        <w:t>............</w:t>
      </w:r>
      <w:r w:rsidRPr="6F35BA7E">
        <w:rPr>
          <w:lang w:val="es-PE"/>
        </w:rPr>
        <w:t xml:space="preserve">, en la carretera de penetración Chiclayo – Chota, zona agreste, altura del Km 55, caserío Algarrobos, por una mala maniobra del conductor se perdió el control y terminó despistándose y volcándose el señalado vehículo, en el cual era trasladada la reclamante, vehículo que estaba siendo conducido por el señor </w:t>
      </w:r>
      <w:r w:rsidRPr="0AD22C1A" w:rsidR="340ABD50">
        <w:rPr>
          <w:lang w:val="es-PE"/>
        </w:rPr>
        <w:t>............................</w:t>
      </w:r>
      <w:r w:rsidRPr="0AD22C1A">
        <w:rPr>
          <w:lang w:val="es-PE"/>
        </w:rPr>
        <w:t>,</w:t>
      </w:r>
      <w:r w:rsidRPr="6F35BA7E">
        <w:rPr>
          <w:lang w:val="es-PE"/>
        </w:rPr>
        <w:t xml:space="preserve"> a quien se contrató especialmente para dicho traslado por ser de la zona, b) Conmocionados por lo sucedido y no obstante el dolor y temor derivados del accidente, se pusieron en contacto telefónico con </w:t>
      </w:r>
      <w:r w:rsidRPr="6F35BA7E" w:rsidR="3385B8F2">
        <w:rPr>
          <w:lang w:val="es-PE"/>
        </w:rPr>
        <w:t>.................................</w:t>
      </w:r>
      <w:r w:rsidRPr="6F35BA7E">
        <w:rPr>
          <w:lang w:val="es-PE"/>
        </w:rPr>
        <w:t xml:space="preserve">, siendo que la telefonista indicó que, por la zona del accidente, no se brindaba grúa ni ambulancia, y que todo corría por cuenta del asegurado, siendo que luego </w:t>
      </w:r>
      <w:r w:rsidRPr="6F35BA7E" w:rsidR="3385B8F2">
        <w:rPr>
          <w:lang w:val="es-PE"/>
        </w:rPr>
        <w:t>.................................</w:t>
      </w:r>
      <w:r w:rsidRPr="6F35BA7E">
        <w:rPr>
          <w:lang w:val="es-PE"/>
        </w:rPr>
        <w:t xml:space="preserve"> evaluaría y reconocería los respectivos gastos, todo ello consta según diversas llamadas, dado que la línea se cortaba constantemente, c) Pasado el mediodía se presentó en el lugar del accidente una persona que afirmó ser </w:t>
      </w:r>
      <w:r w:rsidRPr="6F35BA7E">
        <w:rPr>
          <w:i/>
          <w:iCs/>
          <w:lang w:val="es-PE"/>
        </w:rPr>
        <w:t>broker</w:t>
      </w:r>
      <w:r w:rsidRPr="6F35BA7E">
        <w:rPr>
          <w:lang w:val="es-PE"/>
        </w:rPr>
        <w:t xml:space="preserve"> de </w:t>
      </w:r>
      <w:r w:rsidRPr="6F35BA7E" w:rsidR="3385B8F2">
        <w:rPr>
          <w:lang w:val="es-PE"/>
        </w:rPr>
        <w:t>.................................</w:t>
      </w:r>
      <w:r w:rsidRPr="6F35BA7E">
        <w:rPr>
          <w:lang w:val="es-PE"/>
        </w:rPr>
        <w:t xml:space="preserve">, quien tomó fotos y entrevistó tanto al conductor como a la reclamante, d) Desde entonces hubo todo una odisea para sacar al vehículo volcado, el traslado a la comisaría que estaba a más de 4 horas del lugar del suceso, siendo que los policías estaban en un desalojo, el dosaje etílico que se realizó en Chiclayo, que está a 6 horas de la comisaría de Chongoyape, a lo cual se sumaba la falta de dinero para asumir inmediatamente los señalados gastos, e) Mediante carta de fecha 25 de enero de 2022, </w:t>
      </w:r>
      <w:r w:rsidRPr="6F35BA7E" w:rsidR="3385B8F2">
        <w:rPr>
          <w:lang w:val="es-PE"/>
        </w:rPr>
        <w:t>.................................</w:t>
      </w:r>
      <w:r w:rsidRPr="6F35BA7E">
        <w:rPr>
          <w:lang w:val="es-PE"/>
        </w:rPr>
        <w:t xml:space="preserve"> rechazó dar cobertura al siniestro, afirmando que (i) al momento de su ocurrencia se estaba realizando transporte público, (ii) porque la denuncia policial y el dosaje etílico fueron extemporáneos al realizarse luego de 4 horas de producido el siniestro, (iii) porque no se presentó la documentación policial y del Ministerio Público que fue requerida, y (iv) porque existen contradicciones en las llamadas telefónicas realizadas, lo cual permite calificar como fraudulenta a la solicitud de cobertura, y e) Solicita finalmente que la DEFASEG examine la correspondiente documentación para fines que disponga el otorgamiento de cobertura;</w:t>
      </w:r>
    </w:p>
    <w:p w:rsidRPr="004C1AF5" w:rsidR="004C1AF5" w:rsidP="004C1AF5" w:rsidRDefault="004C1AF5" w14:paraId="2292165E" w14:textId="77777777">
      <w:pPr>
        <w:jc w:val="both"/>
        <w:rPr>
          <w:lang w:val="es-PE"/>
        </w:rPr>
      </w:pPr>
    </w:p>
    <w:p w:rsidRPr="004C1AF5" w:rsidR="004C1AF5" w:rsidP="004C1AF5" w:rsidRDefault="004C1AF5" w14:paraId="5970CAD8" w14:textId="1D6C66C9">
      <w:pPr>
        <w:pStyle w:val="Default"/>
        <w:jc w:val="both"/>
        <w:rPr>
          <w:rFonts w:ascii="Times New Roman" w:hAnsi="Times New Roman" w:cs="Times New Roman"/>
          <w:lang w:val="fr-FR" w:eastAsia="fr-FR"/>
        </w:rPr>
      </w:pPr>
      <w:r w:rsidRPr="6F35BA7E">
        <w:rPr>
          <w:rFonts w:ascii="Times New Roman" w:hAnsi="Times New Roman" w:cs="Times New Roman"/>
          <w:lang w:val="es-ES" w:eastAsia="es-ES"/>
        </w:rPr>
        <w:t xml:space="preserve">Que, por su parte, en su escrito de descargos, </w:t>
      </w:r>
      <w:r w:rsidRPr="6F35BA7E" w:rsidR="3385B8F2">
        <w:rPr>
          <w:rFonts w:ascii="Times New Roman" w:hAnsi="Times New Roman" w:cs="Times New Roman"/>
          <w:lang w:val="es-ES" w:eastAsia="es-ES"/>
        </w:rPr>
        <w:t>.................................</w:t>
      </w:r>
      <w:r w:rsidRPr="6F35BA7E">
        <w:rPr>
          <w:rFonts w:ascii="Times New Roman" w:hAnsi="Times New Roman" w:cs="Times New Roman"/>
          <w:lang w:val="es-ES" w:eastAsia="es-ES"/>
        </w:rPr>
        <w:t xml:space="preserve"> </w:t>
      </w:r>
      <w:r w:rsidRPr="6F35BA7E">
        <w:rPr>
          <w:rFonts w:ascii="Times New Roman" w:hAnsi="Times New Roman" w:cs="Times New Roman"/>
          <w:lang w:eastAsia="es-ES"/>
        </w:rPr>
        <w:t xml:space="preserve">reitera el rechazo de cobertura, destacando lo siguiente: a) Habiéndose recibido la solicitud de cobertura, la misma fue rechazada porque se incurrió en </w:t>
      </w:r>
      <w:r w:rsidRPr="6F35BA7E">
        <w:rPr>
          <w:rFonts w:ascii="Times New Roman" w:hAnsi="Times New Roman" w:cs="Times New Roman"/>
        </w:rPr>
        <w:t xml:space="preserve"> una exclusión estipulada en la póliza, habiéndose además incumplido cargas y obligaciones, y habiéndose generado una reclamación fraudulenta, b) En efecto, tratándose de la exclusión, la póliza aseguraba un vehículo de uso particular, habiéndose establecido como exclusión (artículo 3) que no se indemnizarán las pérdidas o daños causados, originados, agravados o que sean consecuencia de, o por, brindar servicio público, sea momentánea o permanentemente, o que el vehículo esté dado en alquiler; se destaca que al darse aviso de la ocurrencia del siniestro, el conductor declaró telefónicamente que el vehículo asegurado le había sido alquilado por la dueña, lo que evidencia -por propia declaración- que el siniestro corresponde a una exclusión, c) De otro lado, fueron inobservadas cargas y obligaciones especificamente establecidas en la póliza (artículos 4 y 5), conforme a las cuales el contratante/asegurado/conductor debía denunciar inmediatamente lo sucedido a la autoridad policial de la jurisdicción, solicitar la correspondiente constatación de daños y someterse a la prueba de alcoholemia dentro de las 4 horas del siniestro, así como presentar determinados documentos originales, o en copia notarial, siendo que la reclamante y el conductor no cumplieron con lo exigido; así, el dosaje etílico se practicó después de 10 horas de la ocurrencia del siniestro, siendo que tampoco se presentó el documento que contiene las conclusiones policiales y/o fiscales sobre el accidente de tránsito, incumplimientos todos ellos que afectan a </w:t>
      </w:r>
      <w:r w:rsidRPr="6F35BA7E" w:rsidR="3385B8F2">
        <w:rPr>
          <w:rFonts w:ascii="Times New Roman" w:hAnsi="Times New Roman" w:cs="Times New Roman"/>
        </w:rPr>
        <w:t>.................................</w:t>
      </w:r>
      <w:r w:rsidRPr="6F35BA7E">
        <w:rPr>
          <w:rFonts w:ascii="Times New Roman" w:hAnsi="Times New Roman" w:cs="Times New Roman"/>
        </w:rPr>
        <w:t>, al haber quedado imposibilitada de poder determinar las verdaderas circunstancias y causas del siniestro, careciéndose de certeza del estado en que se encontraba el conductor al momento de ocurrencia del siniestro, y d) Por último, en lo que concierne a la reclamación fraudulenta (artículo 26 de la póliza), se destaca las inconsistencias entre lo declarado ante la autoridad policial y lo expresado con ocasión del aviso de ocurrencia, siendo que en las declaraciones policiales se afirma que la reclamante estaba acompañando al conductor con ocasión del accidente, aunque en el aviso a la aseguradora, la  reclamante señala que concurrió al lugar de los hechos ante la ocurrencia del accidente, de manera que no se encontraba en el vehículo, siendo que esto último sería consistente con la circunstancia que el vehículo asegurado habia sido arrendado por la reclamante al conductor, ello sin perjuicio de las contradicciones entre conductor y reclamante sobre la hora del accidente, todo lo cual evidencia declaraciones falsas y engañosas, no teniéndose certeza sobre lo sucedido;</w:t>
      </w:r>
    </w:p>
    <w:p w:rsidRPr="004C1AF5" w:rsidR="004C1AF5" w:rsidP="004C1AF5" w:rsidRDefault="004C1AF5" w14:paraId="5722B13C" w14:textId="77777777">
      <w:pPr>
        <w:pStyle w:val="Default"/>
        <w:jc w:val="both"/>
        <w:rPr>
          <w:rFonts w:ascii="Times New Roman" w:hAnsi="Times New Roman" w:cs="Times New Roman" w:eastAsiaTheme="minorHAnsi"/>
          <w:lang w:val="es-ES" w:eastAsia="en-US"/>
        </w:rPr>
      </w:pPr>
    </w:p>
    <w:p w:rsidRPr="004C1AF5" w:rsidR="004C1AF5" w:rsidP="004C1AF5" w:rsidRDefault="004C1AF5" w14:paraId="68F632CC" w14:textId="44BDBF82">
      <w:pPr>
        <w:pStyle w:val="Default"/>
        <w:jc w:val="both"/>
        <w:rPr>
          <w:rFonts w:ascii="Times New Roman" w:hAnsi="Times New Roman" w:cs="Times New Roman"/>
          <w:lang w:val="fr-FR" w:eastAsia="fr-FR"/>
        </w:rPr>
      </w:pPr>
      <w:r w:rsidRPr="6F35BA7E">
        <w:rPr>
          <w:rFonts w:ascii="Times New Roman" w:hAnsi="Times New Roman" w:cs="Times New Roman" w:eastAsiaTheme="minorEastAsia"/>
          <w:lang w:val="es-ES" w:eastAsia="en-US"/>
        </w:rPr>
        <w:t xml:space="preserve">Que. sobre la base de lo tratado y requerido en la audiencia de vista, con fecha 11 de mayo de 2022, </w:t>
      </w:r>
      <w:r w:rsidRPr="6F35BA7E" w:rsidR="3385B8F2">
        <w:rPr>
          <w:rFonts w:ascii="Times New Roman" w:hAnsi="Times New Roman" w:cs="Times New Roman" w:eastAsiaTheme="minorEastAsia"/>
          <w:lang w:val="es-ES" w:eastAsia="en-US"/>
        </w:rPr>
        <w:t>.................................</w:t>
      </w:r>
      <w:r w:rsidRPr="6F35BA7E">
        <w:rPr>
          <w:rFonts w:ascii="Times New Roman" w:hAnsi="Times New Roman" w:cs="Times New Roman" w:eastAsiaTheme="minorEastAsia"/>
          <w:lang w:val="es-ES" w:eastAsia="en-US"/>
        </w:rPr>
        <w:t xml:space="preserve"> presentó información complementaria para mejor resolver, sobre la entrega a la reclamante de la póliza correspondiente;</w:t>
      </w:r>
    </w:p>
    <w:p w:rsidRPr="004C1AF5" w:rsidR="004C1AF5" w:rsidP="004C1AF5" w:rsidRDefault="004C1AF5" w14:paraId="48079A72" w14:textId="77777777">
      <w:pPr>
        <w:jc w:val="both"/>
        <w:rPr>
          <w:lang w:val="fr-FR"/>
        </w:rPr>
      </w:pPr>
    </w:p>
    <w:p w:rsidRPr="004C1AF5" w:rsidR="004C1AF5" w:rsidP="004C1AF5" w:rsidRDefault="004C1AF5" w14:paraId="66BCD530" w14:textId="77777777">
      <w:pPr>
        <w:jc w:val="both"/>
        <w:rPr>
          <w:lang w:val="es-PE"/>
        </w:rPr>
      </w:pPr>
      <w:r w:rsidRPr="004C1AF5">
        <w:rPr>
          <w:lang w:val="es-PE"/>
        </w:rPr>
        <w:t>Que, a la fecha</w:t>
      </w:r>
      <w:r w:rsidRPr="004C1AF5">
        <w:rPr>
          <w:bCs/>
          <w:lang w:val="es-PE"/>
        </w:rPr>
        <w:t>,</w:t>
      </w:r>
      <w:r w:rsidRPr="004C1AF5">
        <w:rPr>
          <w:lang w:val="es-PE"/>
        </w:rPr>
        <w:t xml:space="preserve"> el estado del proceso permite que este colegiado, competente para conocer sobre la reclamación, pueda expedir su resolución, sobre la base de la información y de los documentos que obran en el expediente;</w:t>
      </w:r>
    </w:p>
    <w:p w:rsidRPr="004C1AF5" w:rsidR="004C1AF5" w:rsidP="004C1AF5" w:rsidRDefault="004C1AF5" w14:paraId="754B811B" w14:textId="77777777">
      <w:pPr>
        <w:jc w:val="both"/>
        <w:rPr>
          <w:b/>
          <w:bCs/>
        </w:rPr>
      </w:pPr>
    </w:p>
    <w:p w:rsidRPr="004C1AF5" w:rsidR="004C1AF5" w:rsidP="004C1AF5" w:rsidRDefault="004C1AF5" w14:paraId="6CA4CD83" w14:textId="77777777">
      <w:pPr>
        <w:jc w:val="both"/>
        <w:rPr>
          <w:lang w:val="es-PE"/>
        </w:rPr>
      </w:pPr>
      <w:r w:rsidRPr="004C1AF5">
        <w:rPr>
          <w:b/>
          <w:bCs/>
          <w:lang w:val="es-PE"/>
        </w:rPr>
        <w:t>Considerando:</w:t>
      </w:r>
    </w:p>
    <w:p w:rsidRPr="004C1AF5" w:rsidR="004C1AF5" w:rsidP="004C1AF5" w:rsidRDefault="004C1AF5" w14:paraId="096CF93A" w14:textId="77777777">
      <w:pPr>
        <w:jc w:val="both"/>
        <w:rPr>
          <w:lang w:val="es-PE"/>
        </w:rPr>
      </w:pPr>
    </w:p>
    <w:p w:rsidRPr="004C1AF5" w:rsidR="004C1AF5" w:rsidP="004C1AF5" w:rsidRDefault="004C1AF5" w14:paraId="34A1E96F" w14:textId="77777777">
      <w:pPr>
        <w:jc w:val="both"/>
        <w:rPr>
          <w:lang w:val="es-PE"/>
        </w:rPr>
      </w:pPr>
      <w:r w:rsidRPr="004C1AF5">
        <w:rPr>
          <w:b/>
          <w:u w:val="single"/>
          <w:lang w:val="es-PE"/>
        </w:rPr>
        <w:t>Primero</w:t>
      </w:r>
      <w:r w:rsidRPr="004C1AF5">
        <w:rPr>
          <w:b/>
          <w:lang w:val="es-PE"/>
        </w:rPr>
        <w:t xml:space="preserve">: </w:t>
      </w:r>
      <w:r w:rsidRPr="004C1AF5">
        <w:rPr>
          <w:lang w:val="es-PE"/>
        </w:rPr>
        <w:t>Conforme a su Reglamento, la</w:t>
      </w:r>
      <w:r w:rsidRPr="004C1AF5">
        <w:rPr>
          <w:b/>
          <w:bCs/>
          <w:lang w:val="es-PE"/>
        </w:rPr>
        <w:t xml:space="preserve"> </w:t>
      </w:r>
      <w:r w:rsidRPr="004C1AF5">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C1AF5" w:rsidR="004C1AF5" w:rsidP="004C1AF5" w:rsidRDefault="004C1AF5" w14:paraId="4285061D" w14:textId="77777777">
      <w:pPr>
        <w:jc w:val="both"/>
        <w:rPr>
          <w:lang w:val="es-PE"/>
        </w:rPr>
      </w:pPr>
    </w:p>
    <w:p w:rsidRPr="004C1AF5" w:rsidR="004C1AF5" w:rsidP="004C1AF5" w:rsidRDefault="004C1AF5" w14:paraId="0448689F" w14:textId="77777777">
      <w:pPr>
        <w:jc w:val="both"/>
        <w:rPr>
          <w:bCs/>
          <w:lang w:val="es-PE"/>
        </w:rPr>
      </w:pPr>
      <w:r w:rsidRPr="004C1AF5">
        <w:rPr>
          <w:b/>
          <w:bCs/>
          <w:u w:val="single"/>
          <w:lang w:val="es-PE"/>
        </w:rPr>
        <w:t>Segundo</w:t>
      </w:r>
      <w:r w:rsidRPr="004C1AF5">
        <w:rPr>
          <w:b/>
          <w:bCs/>
          <w:lang w:val="es-PE"/>
        </w:rPr>
        <w:t>:</w:t>
      </w:r>
      <w:r w:rsidRPr="004C1AF5">
        <w:rPr>
          <w:bCs/>
          <w:lang w:val="es-PE"/>
        </w:rPr>
        <w:t xml:space="preserve"> </w:t>
      </w:r>
      <w:r w:rsidRPr="004C1AF5">
        <w:rPr>
          <w:lang w:val="es-PE"/>
        </w:rPr>
        <w:t xml:space="preserve">Asimismo, de acuerdo a </w:t>
      </w:r>
      <w:r w:rsidRPr="004C1AF5">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4C1AF5" w:rsidR="004C1AF5" w:rsidP="004C1AF5" w:rsidRDefault="004C1AF5" w14:paraId="68E24652" w14:textId="77777777">
      <w:pPr>
        <w:jc w:val="both"/>
        <w:rPr>
          <w:bCs/>
          <w:lang w:val="es-PE"/>
        </w:rPr>
      </w:pPr>
    </w:p>
    <w:p w:rsidRPr="004C1AF5" w:rsidR="004C1AF5" w:rsidP="004C1AF5" w:rsidRDefault="004C1AF5" w14:paraId="4BB09839" w14:textId="77777777">
      <w:pPr>
        <w:jc w:val="both"/>
        <w:rPr>
          <w:bCs/>
          <w:lang w:val="es-PE"/>
        </w:rPr>
      </w:pPr>
      <w:r w:rsidRPr="004C1AF5">
        <w:rPr>
          <w:bCs/>
          <w:lang w:val="es-PE"/>
        </w:rPr>
        <w:t>En consecuencia, todas aquellas reclamaciones por materias distintas al otorgamiento de cobertura y pago de indemnizaciones, como pueden las pretensiones reparatorias por daños y perjuicios, por reembolso de gastos, o relativas a idoneidad de servicios, son ajenas a la competencia funcional de esta Defensoría, correspondiendo que la respectiva pretensión se ejerza ante la instancia que corresponda.</w:t>
      </w:r>
    </w:p>
    <w:p w:rsidRPr="004C1AF5" w:rsidR="004C1AF5" w:rsidP="004C1AF5" w:rsidRDefault="004C1AF5" w14:paraId="50CC93C7" w14:textId="77777777">
      <w:pPr>
        <w:tabs>
          <w:tab w:val="left" w:pos="709"/>
          <w:tab w:val="left" w:pos="2160"/>
        </w:tabs>
        <w:jc w:val="both"/>
        <w:rPr>
          <w:lang w:val="es-PE"/>
        </w:rPr>
      </w:pPr>
    </w:p>
    <w:p w:rsidRPr="004C1AF5" w:rsidR="004C1AF5" w:rsidP="004C1AF5" w:rsidRDefault="004C1AF5" w14:paraId="534E27A9" w14:textId="77777777">
      <w:pPr>
        <w:jc w:val="both"/>
      </w:pPr>
      <w:r w:rsidRPr="004C1AF5">
        <w:rPr>
          <w:b/>
          <w:bCs/>
          <w:u w:val="single"/>
          <w:lang w:val="es-PE"/>
        </w:rPr>
        <w:t>Tercero</w:t>
      </w:r>
      <w:r w:rsidRPr="004C1AF5">
        <w:rPr>
          <w:b/>
          <w:bCs/>
          <w:lang w:val="es-PE"/>
        </w:rPr>
        <w:t>:</w:t>
      </w:r>
      <w:r w:rsidRPr="004C1AF5">
        <w:rPr>
          <w:lang w:val="es-PE"/>
        </w:rPr>
        <w:t xml:space="preserve"> Que, de acuerdo a la Ley Nro. </w:t>
      </w:r>
      <w:r w:rsidRPr="004C1AF5">
        <w:t xml:space="preserve">29946 – Ley del Contrato de Seguro, norma legal vigente con ocasión de la celebración del contrato al cual se contrae el presente caso, </w:t>
      </w:r>
      <w:r w:rsidRPr="004C1AF5">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C1AF5" w:rsidR="004C1AF5" w:rsidP="004C1AF5" w:rsidRDefault="004C1AF5" w14:paraId="78546D96" w14:textId="77777777">
      <w:pPr>
        <w:jc w:val="both"/>
        <w:rPr>
          <w:b/>
          <w:u w:val="single"/>
          <w:lang w:val="es-PE"/>
        </w:rPr>
      </w:pPr>
    </w:p>
    <w:p w:rsidRPr="004C1AF5" w:rsidR="004C1AF5" w:rsidP="004C1AF5" w:rsidRDefault="004C1AF5" w14:paraId="59FD029C" w14:textId="77777777">
      <w:pPr>
        <w:jc w:val="both"/>
        <w:rPr>
          <w:lang w:val="es-PE"/>
        </w:rPr>
      </w:pPr>
      <w:r w:rsidRPr="004C1AF5">
        <w:rPr>
          <w:b/>
          <w:u w:val="single"/>
          <w:lang w:val="es-PE"/>
        </w:rPr>
        <w:t>Cuarto</w:t>
      </w:r>
      <w:r w:rsidRPr="004C1AF5">
        <w:rPr>
          <w:b/>
          <w:lang w:val="es-PE"/>
        </w:rPr>
        <w:t>:</w:t>
      </w:r>
      <w:r w:rsidRPr="004C1AF5">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C1AF5" w:rsidR="004C1AF5" w:rsidP="004C1AF5" w:rsidRDefault="004C1AF5" w14:paraId="5A5A02E5" w14:textId="77777777">
      <w:pPr>
        <w:jc w:val="both"/>
        <w:rPr>
          <w:bCs/>
        </w:rPr>
      </w:pPr>
    </w:p>
    <w:p w:rsidRPr="004C1AF5" w:rsidR="004C1AF5" w:rsidP="004C1AF5" w:rsidRDefault="004C1AF5" w14:paraId="4A2DFE6E" w14:textId="77777777">
      <w:pPr>
        <w:jc w:val="both"/>
      </w:pPr>
      <w:r w:rsidRPr="004C1AF5">
        <w:rPr>
          <w:b/>
          <w:bCs/>
          <w:u w:val="single"/>
          <w:lang w:val="es-PE"/>
        </w:rPr>
        <w:t>Quinto</w:t>
      </w:r>
      <w:r w:rsidRPr="004C1AF5">
        <w:rPr>
          <w:b/>
          <w:bCs/>
          <w:lang w:val="es-PE"/>
        </w:rPr>
        <w:t xml:space="preserve">: </w:t>
      </w:r>
      <w:r w:rsidRPr="004C1AF5">
        <w:rPr>
          <w:bCs/>
          <w:lang w:val="es-PE"/>
        </w:rPr>
        <w:t>Que, conforme al</w:t>
      </w:r>
      <w:r w:rsidRPr="004C1AF5">
        <w:rPr>
          <w:b/>
          <w:bCs/>
          <w:lang w:val="es-PE"/>
        </w:rPr>
        <w:t xml:space="preserve"> </w:t>
      </w:r>
      <w:r w:rsidRPr="004C1AF5">
        <w:rPr>
          <w:lang w:val="es-PE"/>
        </w:rPr>
        <w:t>artículo 196 del Código Procesal Civil, la carga de la prueba corresponde a quien afirma hechos que configuran su pretensión, o a quien los contradice alegando nuevos hechos, salvo disposición legal diferente.</w:t>
      </w:r>
    </w:p>
    <w:p w:rsidRPr="004C1AF5" w:rsidR="004C1AF5" w:rsidP="004C1AF5" w:rsidRDefault="004C1AF5" w14:paraId="6186A9BC" w14:textId="77777777">
      <w:pPr>
        <w:tabs>
          <w:tab w:val="left" w:pos="2160"/>
        </w:tabs>
        <w:jc w:val="both"/>
        <w:rPr>
          <w:rFonts w:eastAsiaTheme="minorHAnsi"/>
          <w:lang w:val="es-PE"/>
        </w:rPr>
      </w:pPr>
    </w:p>
    <w:p w:rsidRPr="004C1AF5" w:rsidR="004C1AF5" w:rsidP="004C1AF5" w:rsidRDefault="004C1AF5" w14:paraId="062A8118" w14:textId="584D96A9">
      <w:pPr>
        <w:tabs>
          <w:tab w:val="left" w:pos="2160"/>
        </w:tabs>
        <w:jc w:val="both"/>
        <w:rPr>
          <w:lang w:val="es-PE"/>
        </w:rPr>
      </w:pPr>
      <w:r w:rsidRPr="44DFF341" w:rsidR="004C1AF5">
        <w:rPr>
          <w:b w:val="1"/>
          <w:bCs w:val="1"/>
          <w:u w:val="single"/>
          <w:lang w:val="es-PE"/>
        </w:rPr>
        <w:t>Sexto</w:t>
      </w:r>
      <w:r w:rsidRPr="44DFF341" w:rsidR="004C1AF5">
        <w:rPr>
          <w:b w:val="1"/>
          <w:bCs w:val="1"/>
          <w:lang w:val="es-PE"/>
        </w:rPr>
        <w:t xml:space="preserve">: </w:t>
      </w:r>
      <w:r w:rsidRPr="44DFF341" w:rsidR="004C1AF5">
        <w:rPr>
          <w:lang w:val="es-PE"/>
        </w:rPr>
        <w:t xml:space="preserve">Sobre la base de los términos contenidos en la reclamación, la cuestión controvertida radica en determinar si se encuentra justificado o no el rechazo de cobertura comunicado en su oportunidad por </w:t>
      </w:r>
      <w:r w:rsidRPr="44DFF341" w:rsidR="3385B8F2">
        <w:rPr>
          <w:lang w:val="es-PE"/>
        </w:rPr>
        <w:t>.................................</w:t>
      </w:r>
      <w:r w:rsidRPr="44DFF341" w:rsidR="004C1AF5">
        <w:rPr>
          <w:lang w:val="es-PE"/>
        </w:rPr>
        <w:t xml:space="preserve">, según lo expresado en la carta </w:t>
      </w:r>
      <w:r w:rsidRPr="44DFF341" w:rsidR="182E6392">
        <w:rPr>
          <w:lang w:val="es-PE"/>
        </w:rPr>
        <w:t>............................</w:t>
      </w:r>
      <w:r w:rsidRPr="44DFF341" w:rsidR="004C1AF5">
        <w:rPr>
          <w:lang w:val="es-PE"/>
        </w:rPr>
        <w:t>, de fecha 25 de enero de 2020:</w:t>
      </w:r>
    </w:p>
    <w:p w:rsidRPr="004C1AF5" w:rsidR="004C1AF5" w:rsidP="004C1AF5" w:rsidRDefault="004C1AF5" w14:paraId="27A7297F" w14:textId="22E0BF19">
      <w:pPr>
        <w:tabs>
          <w:tab w:val="left" w:pos="2160"/>
        </w:tabs>
        <w:jc w:val="both"/>
        <w:rPr>
          <w:lang w:val="es-PE"/>
        </w:rPr>
      </w:pPr>
      <w:r w:rsidRPr="004C1AF5">
        <w:rPr>
          <w:noProof/>
          <w:lang w:val="es-PE"/>
        </w:rPr>
        <w:drawing>
          <wp:inline distT="0" distB="0" distL="0" distR="0" wp14:anchorId="68258620" wp14:editId="18D79E4D">
            <wp:extent cx="5580380" cy="1134110"/>
            <wp:effectExtent l="0" t="0" r="1270" b="889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1134110"/>
                    </a:xfrm>
                    <a:prstGeom prst="rect">
                      <a:avLst/>
                    </a:prstGeom>
                    <a:noFill/>
                    <a:ln>
                      <a:noFill/>
                    </a:ln>
                  </pic:spPr>
                </pic:pic>
              </a:graphicData>
            </a:graphic>
          </wp:inline>
        </w:drawing>
      </w:r>
    </w:p>
    <w:p w:rsidRPr="004C1AF5" w:rsidR="004C1AF5" w:rsidP="004C1AF5" w:rsidRDefault="004C1AF5" w14:paraId="52EFB451" w14:textId="77777777">
      <w:pPr>
        <w:tabs>
          <w:tab w:val="left" w:pos="2160"/>
        </w:tabs>
        <w:jc w:val="both"/>
        <w:rPr>
          <w:lang w:val="es-PE"/>
        </w:rPr>
      </w:pPr>
      <w:r w:rsidRPr="004C1AF5">
        <w:rPr>
          <w:b/>
          <w:bCs/>
          <w:u w:val="single"/>
          <w:lang w:val="es-PE"/>
        </w:rPr>
        <w:t>Sétimo</w:t>
      </w:r>
      <w:r w:rsidRPr="004C1AF5">
        <w:rPr>
          <w:b/>
          <w:bCs/>
          <w:lang w:val="es-PE"/>
        </w:rPr>
        <w:t>:</w:t>
      </w:r>
      <w:r w:rsidRPr="004C1AF5">
        <w:rPr>
          <w:lang w:val="es-PE"/>
        </w:rPr>
        <w:t xml:space="preserve"> El primer fundamento del rechazo radica en que se incurrió en una exclusión de cobertura, en atención a que el vehículo asegurado, siendo uno de uso particular, era alquilado a tercera persona.  Con ocasión de la audiencia de vista, la asegurada ha negado dicho arrendamiento, sosteniendo que el vehículo era para su uso personal, aunque había encargado su conducción a tercera persona para dirigirse a determinado lugar para recoger determinados productos.</w:t>
      </w:r>
    </w:p>
    <w:p w:rsidRPr="004C1AF5" w:rsidR="004C1AF5" w:rsidP="004C1AF5" w:rsidRDefault="004C1AF5" w14:paraId="50E576B2" w14:textId="77777777">
      <w:pPr>
        <w:tabs>
          <w:tab w:val="left" w:pos="2160"/>
        </w:tabs>
        <w:jc w:val="both"/>
        <w:rPr>
          <w:lang w:val="es-PE"/>
        </w:rPr>
      </w:pPr>
    </w:p>
    <w:p w:rsidRPr="004C1AF5" w:rsidR="004C1AF5" w:rsidP="004C1AF5" w:rsidRDefault="004C1AF5" w14:paraId="0E075A64" w14:textId="77777777">
      <w:pPr>
        <w:tabs>
          <w:tab w:val="left" w:pos="709"/>
        </w:tabs>
        <w:ind w:left="705" w:hanging="705"/>
        <w:jc w:val="both"/>
        <w:rPr>
          <w:lang w:val="es-PE"/>
        </w:rPr>
      </w:pPr>
      <w:r w:rsidRPr="004C1AF5">
        <w:rPr>
          <w:lang w:val="es-PE"/>
        </w:rPr>
        <w:t>7.1.</w:t>
      </w:r>
      <w:r w:rsidRPr="004C1AF5">
        <w:rPr>
          <w:lang w:val="es-PE"/>
        </w:rPr>
        <w:tab/>
      </w:r>
      <w:r w:rsidRPr="004C1AF5">
        <w:rPr>
          <w:lang w:val="es-PE"/>
        </w:rPr>
        <w:t>En materia de seguros, bien es sabido que el riesgo se puede delimitar de dos maneras.  Una de ellas es la positiva, en función a los riesgos que han sido expresamente contratados, conforme a la póliza correspondiente.  En tal virtud, no es posible extender, otorgar, la cobertura a situaciones que no corresponden a tales riesgos.  Prima, en consecuencia, el principio de estricta identidad entre el riesgo identificado y el siniestro materializado.  Los eventos que no se identifiquen con lo pactado carecen de cobertura, están excluidos de ella.  La otra manera de delimitar el riesgo es la negativa, excluyendo determinados supuestos de hecho del riesgo aceptado o contratado.  Así, por ejemplo, si se contrata el riesgo por daño propio en el marco de una póliza vehicular, puede establecerse que queda excluido de cobertura el siniestro que se produzca cuando, al momento del accidente, el conductor del vehículo asegurado carezca de licencia de conducir válida y vigente, o cuando se encuentre en estado de ebriedad, para cuyo efecto se pacta cuándo se entiende producido esto último.</w:t>
      </w:r>
    </w:p>
    <w:p w:rsidRPr="004C1AF5" w:rsidR="004C1AF5" w:rsidP="004C1AF5" w:rsidRDefault="004C1AF5" w14:paraId="4B236BFE" w14:textId="77777777">
      <w:pPr>
        <w:tabs>
          <w:tab w:val="left" w:pos="709"/>
        </w:tabs>
        <w:ind w:left="705" w:hanging="705"/>
        <w:jc w:val="both"/>
        <w:rPr>
          <w:lang w:val="es-PE"/>
        </w:rPr>
      </w:pPr>
    </w:p>
    <w:p w:rsidRPr="004C1AF5" w:rsidR="004C1AF5" w:rsidP="004C1AF5" w:rsidRDefault="004C1AF5" w14:paraId="28F2DBEC" w14:textId="553F2A41">
      <w:pPr>
        <w:tabs>
          <w:tab w:val="left" w:pos="709"/>
        </w:tabs>
        <w:ind w:left="705" w:hanging="705"/>
        <w:jc w:val="both"/>
        <w:rPr>
          <w:lang w:val="es-PE"/>
        </w:rPr>
      </w:pPr>
      <w:r w:rsidRPr="7F3BCBBF" w:rsidR="004C1AF5">
        <w:rPr>
          <w:lang w:val="es-PE"/>
        </w:rPr>
        <w:t>7.2.</w:t>
      </w:r>
      <w:r>
        <w:tab/>
      </w:r>
      <w:r w:rsidRPr="7F3BCBBF" w:rsidR="3385B8F2">
        <w:rPr>
          <w:lang w:val="es-PE"/>
        </w:rPr>
        <w:t>.................................</w:t>
      </w:r>
      <w:r w:rsidRPr="7F3BCBBF" w:rsidR="004C1AF5">
        <w:rPr>
          <w:lang w:val="es-PE"/>
        </w:rPr>
        <w:t xml:space="preserve"> </w:t>
      </w:r>
      <w:r w:rsidRPr="7F3BCBBF" w:rsidR="004C1AF5">
        <w:rPr>
          <w:lang w:val="es-PE"/>
        </w:rPr>
        <w:t>sustenta la declaración en la propia declaración del conductor del vehículo asegurado, conforme a los audios que han sido presentados como medios probatorios.</w:t>
      </w:r>
      <w:r w:rsidRPr="7F3BCBBF" w:rsidR="004C1AF5">
        <w:rPr>
          <w:lang w:val="es-PE"/>
        </w:rPr>
        <w:t xml:space="preserve"> Este colegiado ha verificado que, efectivamente, en el registro de la llamada del 20 de octubre de 2020, el señor </w:t>
      </w:r>
      <w:r w:rsidRPr="7F3BCBBF" w:rsidR="5F0A4AFB">
        <w:rPr>
          <w:lang w:val="es-PE"/>
        </w:rPr>
        <w:t>..................</w:t>
      </w:r>
      <w:r w:rsidRPr="7F3BCBBF" w:rsidR="004C1AF5">
        <w:rPr>
          <w:lang w:val="es-PE"/>
        </w:rPr>
        <w:t xml:space="preserve"> </w:t>
      </w:r>
      <w:r w:rsidRPr="7F3BCBBF" w:rsidR="57C802B2">
        <w:rPr>
          <w:lang w:val="es-PE"/>
        </w:rPr>
        <w:t>............................</w:t>
      </w:r>
      <w:r w:rsidRPr="7F3BCBBF" w:rsidR="004C1AF5">
        <w:rPr>
          <w:lang w:val="es-PE"/>
        </w:rPr>
        <w:t xml:space="preserve"> expresa que la propietaria (la asegurada) le alquiló el vehículo.  Estándose al principio de </w:t>
      </w:r>
      <w:r w:rsidRPr="7F3BCBBF" w:rsidR="004C1AF5">
        <w:rPr>
          <w:i w:val="1"/>
          <w:iCs w:val="1"/>
          <w:lang w:val="es-PE"/>
        </w:rPr>
        <w:t>“A declaración de parte, relevo de prueba”</w:t>
      </w:r>
      <w:r w:rsidRPr="7F3BCBBF" w:rsidR="004C1AF5">
        <w:rPr>
          <w:lang w:val="es-PE"/>
        </w:rPr>
        <w:t>, en la correspondiente declaración que se entiende inmediata y espontánea, el conductor no indica que presta servicios para la asegurada, sino que ésta le alquila el vehículo, con lo cual ya no es uno de uso personal, sino uno que genera rentas.</w:t>
      </w:r>
    </w:p>
    <w:p w:rsidRPr="004C1AF5" w:rsidR="004C1AF5" w:rsidP="004C1AF5" w:rsidRDefault="004C1AF5" w14:paraId="07EBAEC0" w14:textId="77777777">
      <w:pPr>
        <w:tabs>
          <w:tab w:val="left" w:pos="709"/>
        </w:tabs>
        <w:ind w:left="705" w:hanging="705"/>
        <w:jc w:val="both"/>
        <w:rPr>
          <w:lang w:val="es-PE"/>
        </w:rPr>
      </w:pPr>
    </w:p>
    <w:p w:rsidRPr="004C1AF5" w:rsidR="004C1AF5" w:rsidP="004C1AF5" w:rsidRDefault="004C1AF5" w14:paraId="779BB032" w14:textId="627D8FA5">
      <w:pPr>
        <w:tabs>
          <w:tab w:val="left" w:pos="709"/>
        </w:tabs>
        <w:ind w:left="705" w:hanging="705"/>
        <w:jc w:val="both"/>
        <w:rPr>
          <w:lang w:val="es-PE"/>
        </w:rPr>
      </w:pPr>
      <w:r w:rsidRPr="004C1AF5" w:rsidR="004C1AF5">
        <w:rPr>
          <w:lang w:val="es-PE"/>
        </w:rPr>
        <w:t xml:space="preserve">La asegurada no ha aportado medio probatorio alguno que permita desautorizar lo expresado por el conductor, o que éste incurrió en una confusión, error o equivocación, siendo insuficiente que niegue lo declarado por el señalado conductor, dado que de alguna manera razonable debería demostrar que el señor </w:t>
      </w:r>
      <w:r w:rsidRPr="004C1AF5" w:rsidR="57C802B2">
        <w:rPr>
          <w:lang w:val="es-PE"/>
        </w:rPr>
        <w:t>............................</w:t>
      </w:r>
      <w:r w:rsidRPr="004C1AF5" w:rsidR="004C1AF5">
        <w:rPr>
          <w:lang w:val="es-PE"/>
        </w:rPr>
        <w:t xml:space="preserve"> le brinda servicios.</w:t>
      </w:r>
    </w:p>
    <w:p w:rsidRPr="004C1AF5" w:rsidR="004C1AF5" w:rsidP="004C1AF5" w:rsidRDefault="004C1AF5" w14:paraId="2AC37410" w14:textId="77777777">
      <w:pPr>
        <w:tabs>
          <w:tab w:val="left" w:pos="709"/>
        </w:tabs>
        <w:ind w:left="705" w:hanging="705"/>
        <w:jc w:val="both"/>
        <w:rPr>
          <w:lang w:val="es-PE"/>
        </w:rPr>
      </w:pPr>
    </w:p>
    <w:p w:rsidRPr="004C1AF5" w:rsidR="004C1AF5" w:rsidP="004C1AF5" w:rsidRDefault="004C1AF5" w14:paraId="27485411" w14:textId="77777777">
      <w:pPr>
        <w:tabs>
          <w:tab w:val="left" w:pos="709"/>
        </w:tabs>
        <w:ind w:left="705"/>
        <w:jc w:val="both"/>
        <w:rPr>
          <w:lang w:val="es-PE"/>
        </w:rPr>
      </w:pPr>
      <w:r w:rsidRPr="004C1AF5">
        <w:rPr>
          <w:lang w:val="es-PE"/>
        </w:rPr>
        <w:tab/>
      </w:r>
      <w:r w:rsidRPr="004C1AF5">
        <w:rPr>
          <w:lang w:val="es-PE"/>
        </w:rPr>
        <w:t>Tratándose de las exclusiones, más allá que la aseguradora tiene ciertamente la carga de probarlas conforme al artículo 77 de la Ley Nro. 29946 – Ley del Contrato de Seguro, esta Defensoría ha establecido que para su efectiva aplicación y admisión como justificante de un rechazo, debe verificarse (test de validación) tres aspectos muy puntuales: (i) que la exclusión haya sido efectivamente pactada en el contrato, (ii) que la exclusión haya sido informada de manera oportuna, suficiente y adecuada al asegurado, de ser el caso, y  (iii) que el asegurado haya incurrido efectivamente en el supuesto de exclusión invocado.  De no validarse lo anterior, todas y cada uno de tales exigencias, deberá concluirse que el rechazo por pretendida exclusión debe ser desestimado.</w:t>
      </w:r>
    </w:p>
    <w:p w:rsidRPr="004C1AF5" w:rsidR="004C1AF5" w:rsidP="004C1AF5" w:rsidRDefault="004C1AF5" w14:paraId="1CCDEA3E" w14:textId="77777777">
      <w:pPr>
        <w:tabs>
          <w:tab w:val="left" w:pos="709"/>
        </w:tabs>
        <w:ind w:left="705"/>
        <w:jc w:val="both"/>
        <w:rPr>
          <w:lang w:val="es-PE"/>
        </w:rPr>
      </w:pPr>
    </w:p>
    <w:p w:rsidRPr="004C1AF5" w:rsidR="004C1AF5" w:rsidP="004C1AF5" w:rsidRDefault="004C1AF5" w14:paraId="22A00CBD" w14:textId="64542EBA">
      <w:pPr>
        <w:tabs>
          <w:tab w:val="left" w:pos="709"/>
        </w:tabs>
        <w:ind w:left="705"/>
        <w:jc w:val="both"/>
        <w:rPr>
          <w:lang w:val="es-PE"/>
        </w:rPr>
      </w:pPr>
      <w:r w:rsidRPr="6F35BA7E">
        <w:rPr>
          <w:lang w:val="es-PE"/>
        </w:rPr>
        <w:t xml:space="preserve">En el caso concreto, conforme a los medios probatorios que obran en el expediente y que han sido aportados por la aseguradora, no es materia controvertida que la póliza contiene efectivamente la exclusión a la cual </w:t>
      </w:r>
      <w:r w:rsidRPr="6F35BA7E" w:rsidR="3385B8F2">
        <w:rPr>
          <w:lang w:val="es-PE"/>
        </w:rPr>
        <w:t>.................................</w:t>
      </w:r>
      <w:r w:rsidRPr="6F35BA7E">
        <w:rPr>
          <w:lang w:val="es-PE"/>
        </w:rPr>
        <w:t xml:space="preserve"> recurre para justificar su rechazo, y cuyo conocimiento no es negado por la asegurada, siendo que está probado que la póliza (incluido el régimen de exclusiones) le fue entregada.  Y en lo que se refiere a la materialización de la exclusión, el audio presentado es concluyente, no habiendo sido objetivamente desautorizado.</w:t>
      </w:r>
    </w:p>
    <w:p w:rsidRPr="004C1AF5" w:rsidR="004C1AF5" w:rsidP="004C1AF5" w:rsidRDefault="004C1AF5" w14:paraId="71157BAF" w14:textId="77777777">
      <w:pPr>
        <w:tabs>
          <w:tab w:val="left" w:pos="709"/>
        </w:tabs>
        <w:jc w:val="both"/>
        <w:rPr>
          <w:lang w:val="es-PE"/>
        </w:rPr>
      </w:pPr>
    </w:p>
    <w:p w:rsidRPr="004C1AF5" w:rsidR="004C1AF5" w:rsidP="004C1AF5" w:rsidRDefault="004C1AF5" w14:paraId="6036DE49" w14:textId="77777777">
      <w:pPr>
        <w:tabs>
          <w:tab w:val="left" w:pos="709"/>
        </w:tabs>
        <w:ind w:left="705"/>
        <w:jc w:val="both"/>
        <w:rPr>
          <w:lang w:val="es-PE"/>
        </w:rPr>
      </w:pPr>
      <w:r w:rsidRPr="004C1AF5">
        <w:rPr>
          <w:lang w:val="es-PE"/>
        </w:rPr>
        <w:tab/>
      </w:r>
      <w:r w:rsidRPr="004C1AF5">
        <w:rPr>
          <w:lang w:val="es-PE"/>
        </w:rPr>
        <w:t>Conforme a lo anterior, se concluye que este primer fundamento del rechazo está probado, siendo suficiente para legitimarlo, al sustentarse el mismo en varias causales concurrentes.</w:t>
      </w:r>
    </w:p>
    <w:p w:rsidRPr="004C1AF5" w:rsidR="004C1AF5" w:rsidP="004C1AF5" w:rsidRDefault="004C1AF5" w14:paraId="33FA7E25" w14:textId="77777777">
      <w:pPr>
        <w:tabs>
          <w:tab w:val="left" w:pos="709"/>
        </w:tabs>
        <w:ind w:left="705" w:hanging="705"/>
        <w:jc w:val="both"/>
        <w:rPr>
          <w:lang w:val="es-PE"/>
        </w:rPr>
      </w:pPr>
    </w:p>
    <w:p w:rsidRPr="004C1AF5" w:rsidR="004C1AF5" w:rsidP="004C1AF5" w:rsidRDefault="004C1AF5" w14:paraId="2BC6334D" w14:textId="77777777">
      <w:pPr>
        <w:tabs>
          <w:tab w:val="left" w:pos="709"/>
          <w:tab w:val="left" w:pos="2160"/>
        </w:tabs>
        <w:ind w:left="705" w:hanging="705"/>
        <w:jc w:val="both"/>
        <w:rPr>
          <w:lang w:val="es-PE"/>
        </w:rPr>
      </w:pPr>
      <w:r w:rsidRPr="004C1AF5">
        <w:rPr>
          <w:lang w:val="es-PE"/>
        </w:rPr>
        <w:t>7.3.</w:t>
      </w:r>
      <w:r w:rsidRPr="004C1AF5">
        <w:rPr>
          <w:lang w:val="es-PE"/>
        </w:rPr>
        <w:tab/>
      </w:r>
      <w:r w:rsidRPr="004C1AF5">
        <w:rPr>
          <w:lang w:val="es-PE"/>
        </w:rPr>
        <w:t>El segundo fundamento del rechazo radica en la inobservancia de las cargas contractuales relativas a la ocurrencia de un siniestro vehicular, de manera específica porque no se realizó la correspondiente denuncia ante la autoridad policial de la jurisdicción o lugar del accidente, ni el dosaje etílico, dentro de las 4 horas de ocurrido el siniestro (esto último se habría realizado extemporáneamente, lo que afecta el valor y utilidad de dicho examen).</w:t>
      </w:r>
    </w:p>
    <w:p w:rsidRPr="004C1AF5" w:rsidR="004C1AF5" w:rsidP="004C1AF5" w:rsidRDefault="004C1AF5" w14:paraId="6DAACCFD" w14:textId="77777777">
      <w:pPr>
        <w:tabs>
          <w:tab w:val="left" w:pos="709"/>
          <w:tab w:val="left" w:pos="2160"/>
        </w:tabs>
        <w:ind w:left="705" w:hanging="705"/>
        <w:jc w:val="both"/>
        <w:rPr>
          <w:lang w:val="es-PE"/>
        </w:rPr>
      </w:pPr>
    </w:p>
    <w:p w:rsidRPr="004C1AF5" w:rsidR="004C1AF5" w:rsidP="004C1AF5" w:rsidRDefault="004C1AF5" w14:paraId="4C86F2B5" w14:textId="77777777">
      <w:pPr>
        <w:tabs>
          <w:tab w:val="left" w:pos="709"/>
          <w:tab w:val="left" w:pos="2160"/>
        </w:tabs>
        <w:ind w:left="705" w:hanging="705"/>
        <w:jc w:val="both"/>
        <w:rPr>
          <w:lang w:val="es-PE"/>
        </w:rPr>
      </w:pPr>
      <w:r w:rsidRPr="004C1AF5">
        <w:rPr>
          <w:lang w:val="es-PE"/>
        </w:rPr>
        <w:tab/>
      </w:r>
      <w:r w:rsidRPr="004C1AF5">
        <w:rPr>
          <w:lang w:val="es-PE"/>
        </w:rPr>
        <w:t>El artículo 4 de la póliza instituye dichas cargas, y sanciona con pérdida del derecho indemnizatorio su inobservancia.  De acuerdo al artículo 59 de la Ley Nro. 29946 – Ley del Contrato de Seguro, puede convenirse la pérdida del derecho indemnizatorio en caso de inobservancia de las cargas posteriores al siniestro, en la medida que ello se explique por causa de dolo o culpa grave, si es que dicha inobservancia influyó en la extensión de la obligación asumida.  Conforme se aprecia, el pacto no sólo es consistente con la ley, sino que el inobservar las señaladas cargas (que además corresponden a cargas reguladas en el Reglamento Nacional de Tránsito, en caso de un accidente de tránsito) es atribuible a negligencia, porque lo mínimo que se espera de un asegurado es que cumpla con el procedimiento contractual para mantener su pretensión indemnizatoria.  En el presente caso, la asegurada no ha demostrado una causa ajena a su control que haya impedido al conductor acatar y observar oportunamente las cargas señaladas, menos una situación de ausencia de culpa, no advirtiéndose que luego del accidente el conductor haya sufrido daños que le hubiesen impedido realizar oportunamente la denuncia y someterse al dosaje etílico.</w:t>
      </w:r>
    </w:p>
    <w:p w:rsidRPr="004C1AF5" w:rsidR="004C1AF5" w:rsidP="004C1AF5" w:rsidRDefault="004C1AF5" w14:paraId="7019D9B3" w14:textId="77777777">
      <w:pPr>
        <w:tabs>
          <w:tab w:val="left" w:pos="709"/>
          <w:tab w:val="left" w:pos="2160"/>
        </w:tabs>
        <w:ind w:left="705" w:hanging="705"/>
        <w:jc w:val="both"/>
        <w:rPr>
          <w:lang w:val="es-PE"/>
        </w:rPr>
      </w:pPr>
    </w:p>
    <w:p w:rsidRPr="004C1AF5" w:rsidR="004C1AF5" w:rsidP="004C1AF5" w:rsidRDefault="004C1AF5" w14:paraId="2AC1A0F7" w14:textId="77777777">
      <w:pPr>
        <w:tabs>
          <w:tab w:val="left" w:pos="709"/>
        </w:tabs>
        <w:ind w:left="705"/>
        <w:jc w:val="both"/>
        <w:rPr>
          <w:lang w:val="es-PE"/>
        </w:rPr>
      </w:pPr>
      <w:r w:rsidRPr="004C1AF5">
        <w:rPr>
          <w:lang w:val="es-PE"/>
        </w:rPr>
        <w:tab/>
      </w:r>
      <w:r w:rsidRPr="004C1AF5">
        <w:rPr>
          <w:lang w:val="es-PE"/>
        </w:rPr>
        <w:t>Conforme a lo anterior, se concluye que este segundo fundamento del rechazo está probado, siendo suficiente para legitimarlo, al sustentarse el mismo en varias causales concurrentes.</w:t>
      </w:r>
    </w:p>
    <w:p w:rsidRPr="004C1AF5" w:rsidR="004C1AF5" w:rsidP="004C1AF5" w:rsidRDefault="004C1AF5" w14:paraId="6148DDCC" w14:textId="77777777">
      <w:pPr>
        <w:tabs>
          <w:tab w:val="left" w:pos="709"/>
          <w:tab w:val="left" w:pos="2160"/>
        </w:tabs>
        <w:ind w:left="705" w:hanging="705"/>
        <w:jc w:val="both"/>
        <w:rPr>
          <w:lang w:val="es-PE"/>
        </w:rPr>
      </w:pPr>
    </w:p>
    <w:p w:rsidRPr="004C1AF5" w:rsidR="004C1AF5" w:rsidP="004C1AF5" w:rsidRDefault="004C1AF5" w14:paraId="4371D28C" w14:textId="77777777">
      <w:pPr>
        <w:tabs>
          <w:tab w:val="left" w:pos="709"/>
          <w:tab w:val="left" w:pos="2160"/>
        </w:tabs>
        <w:ind w:left="705" w:hanging="705"/>
        <w:jc w:val="both"/>
        <w:rPr>
          <w:lang w:val="es-PE"/>
        </w:rPr>
      </w:pPr>
      <w:r w:rsidRPr="004C1AF5">
        <w:rPr>
          <w:lang w:val="es-PE"/>
        </w:rPr>
        <w:t>7.4.</w:t>
      </w:r>
      <w:r w:rsidRPr="004C1AF5">
        <w:rPr>
          <w:lang w:val="es-PE"/>
        </w:rPr>
        <w:tab/>
      </w:r>
      <w:r w:rsidRPr="004C1AF5">
        <w:rPr>
          <w:lang w:val="es-PE"/>
        </w:rPr>
        <w:t>El tercer fundamento del rechazo radica en el incumplimiento de determinada obligación contractual por parte de la asegurada, al no haber cumplido con presentar las conclusiones policiales y/o fiscales que le fueron solicitadas en su oportunidad.</w:t>
      </w:r>
    </w:p>
    <w:p w:rsidRPr="004C1AF5" w:rsidR="004C1AF5" w:rsidP="004C1AF5" w:rsidRDefault="004C1AF5" w14:paraId="00A70CDF" w14:textId="77777777">
      <w:pPr>
        <w:tabs>
          <w:tab w:val="left" w:pos="709"/>
          <w:tab w:val="left" w:pos="2160"/>
        </w:tabs>
        <w:ind w:left="705" w:hanging="705"/>
        <w:jc w:val="both"/>
        <w:rPr>
          <w:lang w:val="es-PE"/>
        </w:rPr>
      </w:pPr>
    </w:p>
    <w:p w:rsidRPr="004C1AF5" w:rsidR="004C1AF5" w:rsidP="004C1AF5" w:rsidRDefault="004C1AF5" w14:paraId="23A5697B" w14:textId="77777777">
      <w:pPr>
        <w:tabs>
          <w:tab w:val="left" w:pos="709"/>
          <w:tab w:val="left" w:pos="2160"/>
        </w:tabs>
        <w:ind w:left="705" w:hanging="705"/>
        <w:jc w:val="both"/>
        <w:rPr>
          <w:lang w:val="es-PE"/>
        </w:rPr>
      </w:pPr>
      <w:r w:rsidRPr="004C1AF5">
        <w:rPr>
          <w:lang w:val="es-PE"/>
        </w:rPr>
        <w:tab/>
      </w:r>
      <w:r w:rsidRPr="004C1AF5">
        <w:rPr>
          <w:lang w:val="es-PE"/>
        </w:rPr>
        <w:t>El artículo 5 de la póliza instituye dicha obligación, y sanciona con pérdida del derecho indemnizatorio su inobservancia.  De acuerdo al artículo 69 de la Ley Nro. 29946 – Ley del Contrato de Seguro, el contratante y/o asegurado y/o beneficiario debe proporcionar a la aseguradora, a su pedido, toda la información veraz, razonable y necesaria para verificar el siniestro o para estimar la extensión de la obligación indemnizatoria a su cargo, permitiendo las indagaciones necesarias; lo cual es consistente con la carga instituida en el artículo 77 de la señalada ley, conforme a lo cual corresponde al asegurado demostrar la ocurrencia del siniestro y la cuantía de la pérdida, de ser el caso.</w:t>
      </w:r>
    </w:p>
    <w:p w:rsidRPr="004C1AF5" w:rsidR="004C1AF5" w:rsidP="004C1AF5" w:rsidRDefault="004C1AF5" w14:paraId="1BCC5C71" w14:textId="77777777">
      <w:pPr>
        <w:tabs>
          <w:tab w:val="left" w:pos="709"/>
          <w:tab w:val="left" w:pos="2160"/>
        </w:tabs>
        <w:ind w:left="705" w:hanging="705"/>
        <w:jc w:val="both"/>
        <w:rPr>
          <w:lang w:val="es-PE"/>
        </w:rPr>
      </w:pPr>
    </w:p>
    <w:p w:rsidRPr="004C1AF5" w:rsidR="004C1AF5" w:rsidP="004C1AF5" w:rsidRDefault="004C1AF5" w14:paraId="0A032858" w14:textId="268559B4">
      <w:pPr>
        <w:tabs>
          <w:tab w:val="left" w:pos="709"/>
          <w:tab w:val="left" w:pos="2160"/>
        </w:tabs>
        <w:ind w:left="705" w:hanging="705"/>
        <w:jc w:val="both"/>
        <w:rPr>
          <w:lang w:val="es-PE"/>
        </w:rPr>
      </w:pPr>
      <w:r w:rsidRPr="004C1AF5">
        <w:rPr>
          <w:lang w:val="es-PE"/>
        </w:rPr>
        <w:tab/>
      </w:r>
      <w:r w:rsidRPr="004C1AF5">
        <w:rPr>
          <w:lang w:val="es-PE"/>
        </w:rPr>
        <w:t xml:space="preserve">El problema radica en que </w:t>
      </w:r>
      <w:r w:rsidRPr="004C1AF5" w:rsidR="3385B8F2">
        <w:rPr>
          <w:lang w:val="es-PE"/>
        </w:rPr>
        <w:t>.................................</w:t>
      </w:r>
      <w:r w:rsidRPr="004C1AF5">
        <w:rPr>
          <w:lang w:val="es-PE"/>
        </w:rPr>
        <w:t xml:space="preserve"> no ha demostrado que haya realizado el respectivo requerimiento de información, menos el plazo que habría podido otorgar para gestionar y presentar lo solicitado.</w:t>
      </w:r>
    </w:p>
    <w:p w:rsidRPr="004C1AF5" w:rsidR="004C1AF5" w:rsidP="004C1AF5" w:rsidRDefault="004C1AF5" w14:paraId="362F662A" w14:textId="77777777">
      <w:pPr>
        <w:tabs>
          <w:tab w:val="left" w:pos="709"/>
          <w:tab w:val="left" w:pos="2160"/>
        </w:tabs>
        <w:ind w:left="705" w:hanging="705"/>
        <w:jc w:val="both"/>
        <w:rPr>
          <w:lang w:val="es-PE"/>
        </w:rPr>
      </w:pPr>
    </w:p>
    <w:p w:rsidRPr="004C1AF5" w:rsidR="004C1AF5" w:rsidP="004C1AF5" w:rsidRDefault="004C1AF5" w14:paraId="536F1F34" w14:textId="77777777">
      <w:pPr>
        <w:tabs>
          <w:tab w:val="left" w:pos="709"/>
        </w:tabs>
        <w:ind w:left="705"/>
        <w:jc w:val="both"/>
        <w:rPr>
          <w:lang w:val="es-PE"/>
        </w:rPr>
      </w:pPr>
      <w:r w:rsidRPr="004C1AF5">
        <w:rPr>
          <w:lang w:val="es-PE"/>
        </w:rPr>
        <w:t>Conforme a lo anterior, se concluye que este tercer fundamento del rechazo no está probado, por lo que dicho rechazo carece de legitimidad en este extremo.</w:t>
      </w:r>
    </w:p>
    <w:p w:rsidRPr="004C1AF5" w:rsidR="004C1AF5" w:rsidP="004C1AF5" w:rsidRDefault="004C1AF5" w14:paraId="690CEA0D" w14:textId="77777777">
      <w:pPr>
        <w:tabs>
          <w:tab w:val="left" w:pos="709"/>
        </w:tabs>
        <w:ind w:left="705"/>
        <w:jc w:val="both"/>
        <w:rPr>
          <w:lang w:val="es-PE"/>
        </w:rPr>
      </w:pPr>
    </w:p>
    <w:p w:rsidRPr="004C1AF5" w:rsidR="004C1AF5" w:rsidP="004C1AF5" w:rsidRDefault="004C1AF5" w14:paraId="2F7BDE99" w14:textId="77777777">
      <w:pPr>
        <w:tabs>
          <w:tab w:val="left" w:pos="709"/>
          <w:tab w:val="left" w:pos="2160"/>
        </w:tabs>
        <w:ind w:left="705" w:hanging="705"/>
        <w:jc w:val="both"/>
        <w:rPr>
          <w:noProof/>
          <w:lang w:val="es-PE"/>
        </w:rPr>
      </w:pPr>
      <w:r w:rsidRPr="004C1AF5">
        <w:rPr>
          <w:lang w:val="es-PE"/>
        </w:rPr>
        <w:t>7.5.</w:t>
      </w:r>
      <w:r w:rsidRPr="004C1AF5">
        <w:rPr>
          <w:lang w:val="es-PE"/>
        </w:rPr>
        <w:tab/>
      </w:r>
      <w:r w:rsidRPr="004C1AF5">
        <w:rPr>
          <w:lang w:val="es-PE"/>
        </w:rPr>
        <w:t>Por último, el cuarto fundamento del rechazo radica en qu</w:t>
      </w:r>
      <w:r w:rsidRPr="004C1AF5">
        <w:rPr>
          <w:noProof/>
          <w:lang w:val="es-PE"/>
        </w:rPr>
        <w:t>e lareclamación es fraudulenta, atendiendo a la contradicciones e inconsistencias generadas en las diversas declaraciones relativas al siniestro.</w:t>
      </w:r>
    </w:p>
    <w:p w:rsidRPr="004C1AF5" w:rsidR="004C1AF5" w:rsidP="004C1AF5" w:rsidRDefault="004C1AF5" w14:paraId="3E17604F" w14:textId="77777777">
      <w:pPr>
        <w:tabs>
          <w:tab w:val="left" w:pos="709"/>
          <w:tab w:val="left" w:pos="2160"/>
        </w:tabs>
        <w:ind w:left="705" w:hanging="705"/>
        <w:jc w:val="both"/>
        <w:rPr>
          <w:noProof/>
          <w:lang w:val="es-PE"/>
        </w:rPr>
      </w:pPr>
    </w:p>
    <w:p w:rsidRPr="004C1AF5" w:rsidR="004C1AF5" w:rsidP="004C1AF5" w:rsidRDefault="004C1AF5" w14:paraId="21D6908A" w14:textId="3757697E">
      <w:pPr>
        <w:tabs>
          <w:tab w:val="left" w:pos="709"/>
          <w:tab w:val="left" w:pos="2160"/>
        </w:tabs>
        <w:ind w:left="705" w:hanging="705"/>
        <w:jc w:val="both"/>
        <w:rPr>
          <w:noProof/>
          <w:lang w:val="es-PE"/>
        </w:rPr>
      </w:pPr>
      <w:r w:rsidRPr="004C1AF5">
        <w:rPr>
          <w:noProof/>
          <w:lang w:val="es-PE"/>
        </w:rPr>
        <w:tab/>
      </w:r>
      <w:r w:rsidRPr="004C1AF5">
        <w:rPr>
          <w:noProof/>
          <w:lang w:val="es-PE"/>
        </w:rPr>
        <w:t xml:space="preserve">Para ello, </w:t>
      </w:r>
      <w:r w:rsidRPr="004C1AF5" w:rsidR="3385B8F2">
        <w:rPr>
          <w:noProof/>
          <w:lang w:val="es-PE"/>
        </w:rPr>
        <w:t>.................................</w:t>
      </w:r>
      <w:r w:rsidRPr="004C1AF5">
        <w:rPr>
          <w:noProof/>
          <w:lang w:val="es-PE"/>
        </w:rPr>
        <w:t xml:space="preserve"> destaca lo siguiente en la comunicación de rechazo de otorgamiento de cobertura:</w:t>
      </w:r>
    </w:p>
    <w:p w:rsidR="004C1AF5" w:rsidP="004C1AF5" w:rsidRDefault="004C1AF5" w14:paraId="3F73CFCE" w14:textId="77777777">
      <w:pPr>
        <w:tabs>
          <w:tab w:val="left" w:pos="709"/>
          <w:tab w:val="left" w:pos="2160"/>
        </w:tabs>
        <w:ind w:left="705" w:hanging="705"/>
        <w:jc w:val="both"/>
        <w:rPr>
          <w:noProof/>
          <w:lang w:val="es-PE"/>
        </w:rPr>
      </w:pPr>
    </w:p>
    <w:p w:rsidR="00AD2AC3" w:rsidP="00AD2AC3" w:rsidRDefault="00AD2AC3" w14:paraId="699E23B4" w14:textId="43634545">
      <w:pPr>
        <w:tabs>
          <w:tab w:val="left" w:pos="709"/>
          <w:tab w:val="left" w:pos="2160"/>
        </w:tabs>
        <w:ind w:left="705" w:hanging="705"/>
        <w:jc w:val="center"/>
        <w:rPr>
          <w:noProof/>
          <w:lang w:val="es-PE"/>
        </w:rPr>
      </w:pPr>
      <w:r w:rsidRPr="004C1AF5">
        <w:rPr>
          <w:noProof/>
          <w:lang w:val="es-PE"/>
        </w:rPr>
        <w:t>.................................</w:t>
      </w:r>
    </w:p>
    <w:p w:rsidR="00AD2AC3" w:rsidP="00AD2AC3" w:rsidRDefault="00AD2AC3" w14:paraId="11A6D291" w14:textId="77777777">
      <w:pPr>
        <w:tabs>
          <w:tab w:val="left" w:pos="709"/>
          <w:tab w:val="left" w:pos="2160"/>
        </w:tabs>
        <w:ind w:left="705" w:hanging="705"/>
        <w:jc w:val="center"/>
        <w:rPr>
          <w:noProof/>
          <w:lang w:val="es-PE"/>
        </w:rPr>
      </w:pPr>
    </w:p>
    <w:p w:rsidRPr="004C1AF5" w:rsidR="00AD2AC3" w:rsidP="00AD2AC3" w:rsidRDefault="00AD2AC3" w14:paraId="49C1B5BD" w14:textId="2765FB36">
      <w:pPr>
        <w:tabs>
          <w:tab w:val="left" w:pos="709"/>
          <w:tab w:val="left" w:pos="2160"/>
        </w:tabs>
        <w:ind w:left="705" w:hanging="705"/>
        <w:jc w:val="center"/>
        <w:rPr>
          <w:noProof/>
          <w:lang w:val="es-PE"/>
        </w:rPr>
      </w:pPr>
      <w:r w:rsidRPr="004C1AF5">
        <w:rPr>
          <w:noProof/>
          <w:lang w:val="es-PE"/>
        </w:rPr>
        <w:t>.................................</w:t>
      </w:r>
    </w:p>
    <w:p w:rsidRPr="004C1AF5" w:rsidR="004C1AF5" w:rsidP="004C1AF5" w:rsidRDefault="004C1AF5" w14:paraId="58F7EB39" w14:textId="0E632182">
      <w:pPr>
        <w:tabs>
          <w:tab w:val="left" w:pos="709"/>
          <w:tab w:val="left" w:pos="2160"/>
        </w:tabs>
        <w:ind w:left="705" w:firstLine="4"/>
        <w:jc w:val="both"/>
        <w:rPr>
          <w:lang w:val="es-PE"/>
        </w:rPr>
      </w:pPr>
      <w:r w:rsidRPr="004C1AF5">
        <w:rPr>
          <w:lang w:val="es-PE"/>
        </w:rPr>
        <w:tab/>
      </w:r>
    </w:p>
    <w:p w:rsidRPr="004C1AF5" w:rsidR="004C1AF5" w:rsidP="004C1AF5" w:rsidRDefault="004C1AF5" w14:paraId="3A07DE4C" w14:textId="77777777">
      <w:pPr>
        <w:tabs>
          <w:tab w:val="left" w:pos="709"/>
          <w:tab w:val="left" w:pos="2160"/>
        </w:tabs>
        <w:ind w:left="709" w:hanging="709"/>
        <w:jc w:val="both"/>
        <w:rPr>
          <w:lang w:val="es-PE"/>
        </w:rPr>
      </w:pPr>
      <w:r w:rsidRPr="004C1AF5">
        <w:rPr>
          <w:lang w:val="es-PE"/>
        </w:rPr>
        <w:tab/>
      </w:r>
      <w:r w:rsidRPr="004C1AF5">
        <w:rPr>
          <w:lang w:val="es-PE"/>
        </w:rPr>
        <w:t>La asegurada no ha brindado una explicación satisfactoria sobre las señaladas contradicciones, careciéndose de certeza sobre quiénes eran los ocupantes del vehículo y la hora estimada de ocurrencia del siniestro, situación que afecta ciertamente al interés de la aseguradora al desconocer finalmente qué es lo que sucedió realmente, situación agravada por la falta de observancia de las cargas contractuales.</w:t>
      </w:r>
    </w:p>
    <w:p w:rsidRPr="004C1AF5" w:rsidR="004C1AF5" w:rsidP="004C1AF5" w:rsidRDefault="004C1AF5" w14:paraId="5AE7D55C" w14:textId="77777777">
      <w:pPr>
        <w:tabs>
          <w:tab w:val="left" w:pos="709"/>
          <w:tab w:val="left" w:pos="2160"/>
        </w:tabs>
        <w:ind w:left="709" w:hanging="709"/>
        <w:jc w:val="both"/>
        <w:rPr>
          <w:lang w:val="es-PE"/>
        </w:rPr>
      </w:pPr>
    </w:p>
    <w:p w:rsidRPr="004C1AF5" w:rsidR="004C1AF5" w:rsidP="004C1AF5" w:rsidRDefault="004C1AF5" w14:paraId="0AF11CC4" w14:textId="77777777">
      <w:pPr>
        <w:tabs>
          <w:tab w:val="left" w:pos="709"/>
          <w:tab w:val="left" w:pos="2160"/>
        </w:tabs>
        <w:ind w:left="709" w:hanging="709"/>
        <w:jc w:val="both"/>
        <w:rPr>
          <w:lang w:val="es-PE"/>
        </w:rPr>
      </w:pPr>
      <w:r w:rsidRPr="004C1AF5">
        <w:rPr>
          <w:lang w:val="es-PE"/>
        </w:rPr>
        <w:tab/>
      </w:r>
      <w:r w:rsidRPr="004C1AF5">
        <w:rPr>
          <w:lang w:val="es-PE"/>
        </w:rPr>
        <w:t>Debe destacarse finalmente que el artículo 73 de la Ley Nro. 29946 – Ley del Contrato de Seguro establece que el asegurado pierde el derecho a ser indemnizado si actúa fraudulentamente, exagera los daños o emplea medios falsos para probarlos; en el presente caso, las señaladas contradicciones e inconsistencias permiten generar la razonable sospecha que el accidente no se produjo realmente según lo expresado al solicitar cobertura, no teniéndose conocimiento de sus reales causas y circunstancias.</w:t>
      </w:r>
    </w:p>
    <w:p w:rsidRPr="004C1AF5" w:rsidR="004C1AF5" w:rsidP="004C1AF5" w:rsidRDefault="004C1AF5" w14:paraId="5EE945B8" w14:textId="77777777">
      <w:pPr>
        <w:tabs>
          <w:tab w:val="left" w:pos="709"/>
          <w:tab w:val="left" w:pos="2160"/>
        </w:tabs>
        <w:ind w:left="709" w:hanging="709"/>
        <w:jc w:val="both"/>
        <w:rPr>
          <w:lang w:val="es-PE"/>
        </w:rPr>
      </w:pPr>
    </w:p>
    <w:p w:rsidRPr="004C1AF5" w:rsidR="004C1AF5" w:rsidP="004C1AF5" w:rsidRDefault="004C1AF5" w14:paraId="36249EBA" w14:textId="77777777">
      <w:pPr>
        <w:tabs>
          <w:tab w:val="left" w:pos="709"/>
        </w:tabs>
        <w:ind w:left="705"/>
        <w:jc w:val="both"/>
        <w:rPr>
          <w:lang w:val="es-PE"/>
        </w:rPr>
      </w:pPr>
      <w:r w:rsidRPr="004C1AF5">
        <w:rPr>
          <w:lang w:val="es-PE"/>
        </w:rPr>
        <w:t>Conforme a lo anterior, este cuarto fundamento del rechazo se encuentra probado, por lo que dicho rechazo posee legitimidad en este extremo analizado.</w:t>
      </w:r>
    </w:p>
    <w:p w:rsidRPr="004C1AF5" w:rsidR="004C1AF5" w:rsidP="004C1AF5" w:rsidRDefault="004C1AF5" w14:paraId="35EA1B37" w14:textId="77777777">
      <w:pPr>
        <w:tabs>
          <w:tab w:val="left" w:pos="709"/>
        </w:tabs>
        <w:ind w:left="705"/>
        <w:jc w:val="both"/>
        <w:rPr>
          <w:lang w:val="es-PE"/>
        </w:rPr>
      </w:pPr>
    </w:p>
    <w:p w:rsidRPr="004C1AF5" w:rsidR="004C1AF5" w:rsidP="004C1AF5" w:rsidRDefault="004C1AF5" w14:paraId="7122D80E" w14:textId="77777777">
      <w:pPr>
        <w:tabs>
          <w:tab w:val="left" w:pos="709"/>
        </w:tabs>
        <w:ind w:left="705"/>
        <w:jc w:val="both"/>
        <w:rPr>
          <w:lang w:val="es-PE"/>
        </w:rPr>
      </w:pPr>
      <w:r w:rsidRPr="004C1AF5">
        <w:rPr>
          <w:lang w:val="es-PE"/>
        </w:rPr>
        <w:t xml:space="preserve">Atendiendo a las consideraciones expresadas, y dejando constancia que la reclamante no ha expresado finalmente argumento, o presentado medio probatorio, que enerve el rechazo de cobertura, este colegiado </w:t>
      </w:r>
      <w:r w:rsidRPr="004C1AF5">
        <w:t>concluye su apreciación razonada y conjunta al amparo de lo establecido en su Reglamento, por lo que</w:t>
      </w:r>
    </w:p>
    <w:p w:rsidRPr="004C1AF5" w:rsidR="004C1AF5" w:rsidP="004C1AF5" w:rsidRDefault="004C1AF5" w14:paraId="60C79170" w14:textId="77777777">
      <w:pPr>
        <w:tabs>
          <w:tab w:val="left" w:pos="709"/>
          <w:tab w:val="left" w:pos="2160"/>
        </w:tabs>
        <w:jc w:val="both"/>
      </w:pPr>
    </w:p>
    <w:p w:rsidRPr="004C1AF5" w:rsidR="004C1AF5" w:rsidP="004C1AF5" w:rsidRDefault="004C1AF5" w14:paraId="6323555E" w14:textId="77777777">
      <w:pPr>
        <w:tabs>
          <w:tab w:val="left" w:pos="709"/>
          <w:tab w:val="left" w:pos="2160"/>
        </w:tabs>
        <w:jc w:val="both"/>
        <w:rPr>
          <w:b/>
        </w:rPr>
      </w:pPr>
      <w:r w:rsidRPr="004C1AF5">
        <w:rPr>
          <w:b/>
        </w:rPr>
        <w:t>SE RESUELVE</w:t>
      </w:r>
      <w:r w:rsidRPr="004C1AF5">
        <w:rPr>
          <w:b/>
          <w:lang w:val="es-PE"/>
        </w:rPr>
        <w:t>:</w:t>
      </w:r>
    </w:p>
    <w:p w:rsidRPr="004C1AF5" w:rsidR="004C1AF5" w:rsidP="004C1AF5" w:rsidRDefault="004C1AF5" w14:paraId="5D8EF5A0" w14:textId="77777777">
      <w:pPr>
        <w:tabs>
          <w:tab w:val="left" w:pos="709"/>
          <w:tab w:val="left" w:pos="2160"/>
        </w:tabs>
        <w:jc w:val="both"/>
        <w:rPr>
          <w:b/>
          <w:bCs/>
        </w:rPr>
      </w:pPr>
    </w:p>
    <w:p w:rsidRPr="004C1AF5" w:rsidR="004C1AF5" w:rsidP="6F35BA7E" w:rsidRDefault="004C1AF5" w14:paraId="5071EC57" w14:textId="1C227D09">
      <w:pPr>
        <w:jc w:val="both"/>
        <w:rPr>
          <w:rFonts w:eastAsiaTheme="minorEastAsia"/>
          <w:lang w:val="es-PE" w:eastAsia="en-US"/>
        </w:rPr>
      </w:pPr>
      <w:r w:rsidRPr="6F35BA7E">
        <w:rPr>
          <w:b/>
          <w:bCs/>
          <w:lang w:val="es-PE"/>
        </w:rPr>
        <w:t xml:space="preserve">DECLARAR INFUNDADA </w:t>
      </w:r>
      <w:r w:rsidRPr="6F35BA7E">
        <w:rPr>
          <w:lang w:val="es-PE"/>
        </w:rPr>
        <w:t>la reclamación interpuesta por doña</w:t>
      </w:r>
      <w:r>
        <w:t xml:space="preserve"> </w:t>
      </w:r>
      <w:r w:rsidR="551DAC4E">
        <w:t>............................................................</w:t>
      </w:r>
      <w:r>
        <w:t xml:space="preserve"> </w:t>
      </w:r>
      <w:r w:rsidRPr="6F35BA7E">
        <w:rPr>
          <w:lang w:val="es-PE"/>
        </w:rPr>
        <w:t xml:space="preserve">contra </w:t>
      </w:r>
      <w:r w:rsidRPr="6F35BA7E" w:rsidR="3385B8F2">
        <w:rPr>
          <w:lang w:val="es-PE"/>
        </w:rPr>
        <w:t>.................................</w:t>
      </w:r>
      <w:r w:rsidRPr="6F35BA7E">
        <w:rPr>
          <w:lang w:val="es-PE"/>
        </w:rPr>
        <w:t>, dejando a salvo el derecho de la reclamante de recurrir a las instancias que considere pertinentes.</w:t>
      </w:r>
    </w:p>
    <w:p w:rsidRPr="004C1AF5" w:rsidR="00C609BC" w:rsidP="00C609BC" w:rsidRDefault="00C609BC" w14:paraId="5C8C4A46" w14:textId="77777777">
      <w:pPr>
        <w:tabs>
          <w:tab w:val="left" w:pos="0"/>
          <w:tab w:val="left" w:pos="1416"/>
          <w:tab w:val="left" w:pos="2977"/>
          <w:tab w:val="left" w:pos="4248"/>
          <w:tab w:val="left" w:pos="4956"/>
          <w:tab w:val="left" w:pos="5664"/>
          <w:tab w:val="left" w:pos="6372"/>
          <w:tab w:val="left" w:pos="7125"/>
        </w:tabs>
        <w:jc w:val="both"/>
        <w:rPr>
          <w:lang w:val="es-PE"/>
        </w:rPr>
      </w:pPr>
    </w:p>
    <w:p w:rsidRPr="004C1AF5" w:rsidR="001631D6" w:rsidP="00F202DC" w:rsidRDefault="00F15FBA" w14:paraId="48C7895B" w14:textId="54D06E9E">
      <w:pPr>
        <w:jc w:val="right"/>
        <w:outlineLvl w:val="0"/>
        <w:rPr>
          <w:lang w:val="es-PE"/>
        </w:rPr>
      </w:pPr>
      <w:r w:rsidRPr="004C1AF5">
        <w:rPr>
          <w:lang w:val="es-PE"/>
        </w:rPr>
        <w:t xml:space="preserve">Lima, </w:t>
      </w:r>
      <w:r w:rsidRPr="004C1AF5" w:rsidR="00F816A3">
        <w:t>02</w:t>
      </w:r>
      <w:r w:rsidRPr="004C1AF5" w:rsidR="0098224D">
        <w:t xml:space="preserve"> </w:t>
      </w:r>
      <w:r w:rsidRPr="004C1AF5">
        <w:rPr>
          <w:lang w:val="es-PE"/>
        </w:rPr>
        <w:t>de</w:t>
      </w:r>
      <w:r w:rsidRPr="004C1AF5" w:rsidR="00F816A3">
        <w:rPr>
          <w:lang w:val="es-PE"/>
        </w:rPr>
        <w:t xml:space="preserve"> junio</w:t>
      </w:r>
      <w:r w:rsidRPr="004C1AF5" w:rsidR="001631D6">
        <w:rPr>
          <w:lang w:val="es-PE"/>
        </w:rPr>
        <w:t xml:space="preserve"> </w:t>
      </w:r>
      <w:r w:rsidRPr="004C1AF5">
        <w:rPr>
          <w:lang w:val="es-PE"/>
        </w:rPr>
        <w:t>de 20</w:t>
      </w:r>
      <w:r w:rsidRPr="004C1AF5" w:rsidR="001631D6">
        <w:rPr>
          <w:lang w:val="es-PE"/>
        </w:rPr>
        <w:t>2</w:t>
      </w:r>
      <w:r w:rsidRPr="004C1AF5" w:rsidR="00444D29">
        <w:rPr>
          <w:lang w:val="es-PE"/>
        </w:rPr>
        <w:t>2</w:t>
      </w:r>
    </w:p>
    <w:p w:rsidRPr="00F816A3" w:rsidR="00F202DC" w:rsidP="001631D6" w:rsidRDefault="00F202DC" w14:paraId="55EA6443" w14:textId="77777777">
      <w:pPr>
        <w:jc w:val="both"/>
      </w:pPr>
    </w:p>
    <w:p w:rsidRPr="00F816A3" w:rsidR="001631D6" w:rsidP="001631D6" w:rsidRDefault="001631D6" w14:paraId="54F717D9" w14:textId="77777777">
      <w:pPr>
        <w:jc w:val="both"/>
        <w:rPr>
          <w:b/>
          <w:bCs/>
          <w:i/>
          <w:iCs/>
          <w:lang w:val="es-ES_tradnl"/>
        </w:rPr>
      </w:pPr>
      <w:r w:rsidRPr="00F816A3">
        <w:rPr>
          <w:b/>
          <w:bCs/>
          <w:i/>
          <w:iCs/>
          <w:lang w:val="es-ES_tradnl"/>
        </w:rPr>
        <w:t>La Secretaría Técnica certifica que la presente resolución cuenta con el voto de los vocales cuyos nombres figuran en el presente documento.</w:t>
      </w:r>
    </w:p>
    <w:p w:rsidRPr="00F816A3" w:rsidR="001631D6" w:rsidP="001631D6" w:rsidRDefault="001631D6" w14:paraId="024CA4C1" w14:textId="77777777">
      <w:pPr>
        <w:jc w:val="both"/>
        <w:rPr>
          <w:b/>
          <w:bCs/>
          <w:i/>
          <w:iCs/>
          <w:lang w:val="es-ES_tradnl"/>
        </w:rPr>
      </w:pPr>
    </w:p>
    <w:p w:rsidRPr="00F816A3" w:rsidR="003E6BA6" w:rsidP="003E6BA6" w:rsidRDefault="0096094A" w14:paraId="7E9839D4" w14:textId="0E0E06BB">
      <w:pPr>
        <w:spacing w:line="360" w:lineRule="auto"/>
        <w:jc w:val="center"/>
        <w:rPr>
          <w:b/>
          <w:bCs/>
        </w:rPr>
      </w:pPr>
      <w:r w:rsidRPr="00F816A3">
        <w:rPr>
          <w:b/>
          <w:bCs/>
        </w:rPr>
        <w:t xml:space="preserve">Marco Antonio Ortega Piana </w:t>
      </w:r>
      <w:r w:rsidRPr="00F816A3" w:rsidR="003E6BA6">
        <w:rPr>
          <w:b/>
          <w:bCs/>
        </w:rPr>
        <w:t>– Presidente</w:t>
      </w:r>
    </w:p>
    <w:p w:rsidRPr="00F816A3" w:rsidR="0096094A" w:rsidP="0096094A" w:rsidRDefault="0096094A" w14:paraId="3458C0C0" w14:textId="6E7C8E64">
      <w:pPr>
        <w:spacing w:line="360" w:lineRule="auto"/>
        <w:jc w:val="center"/>
        <w:rPr>
          <w:b/>
          <w:bCs/>
        </w:rPr>
      </w:pPr>
      <w:r w:rsidRPr="00F816A3">
        <w:rPr>
          <w:b/>
          <w:bCs/>
        </w:rPr>
        <w:t>María Eugenia Valdez Fernández Baca– Vocal</w:t>
      </w:r>
    </w:p>
    <w:p w:rsidRPr="00F816A3" w:rsidR="001631D6" w:rsidP="001631D6" w:rsidRDefault="001631D6" w14:paraId="515933D0" w14:textId="575B7E12">
      <w:pPr>
        <w:spacing w:line="360" w:lineRule="auto"/>
        <w:jc w:val="center"/>
        <w:rPr>
          <w:b/>
          <w:bCs/>
        </w:rPr>
      </w:pPr>
      <w:r w:rsidRPr="00F816A3">
        <w:rPr>
          <w:b/>
          <w:bCs/>
        </w:rPr>
        <w:t xml:space="preserve">Rolando Eyzaguirre Maccan – </w:t>
      </w:r>
      <w:r w:rsidRPr="00F816A3" w:rsidR="003E6BA6">
        <w:rPr>
          <w:b/>
          <w:bCs/>
        </w:rPr>
        <w:t>Vocal</w:t>
      </w:r>
    </w:p>
    <w:p w:rsidRPr="00F816A3" w:rsidR="008E6F93" w:rsidP="00AB70B7" w:rsidRDefault="00AB70B7" w14:paraId="164CAA9F" w14:textId="01A81F40">
      <w:pPr>
        <w:spacing w:line="360" w:lineRule="auto"/>
        <w:jc w:val="center"/>
        <w:rPr>
          <w:b/>
          <w:bCs/>
        </w:rPr>
      </w:pPr>
      <w:r w:rsidRPr="00F816A3">
        <w:rPr>
          <w:b/>
          <w:bCs/>
        </w:rPr>
        <w:t>Gonzalo Abad del Busto - Vocal</w:t>
      </w:r>
    </w:p>
    <w:p w:rsidRPr="003E772B" w:rsidR="00865247" w:rsidRDefault="00865247" w14:paraId="0F6CCBAC" w14:textId="77777777"/>
    <w:sectPr w:rsidRPr="003E772B" w:rsidR="00865247">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E6CC4" w:rsidP="005F148C" w:rsidRDefault="00BE6CC4" w14:paraId="70EB6876" w14:textId="77777777">
      <w:r>
        <w:separator/>
      </w:r>
    </w:p>
  </w:endnote>
  <w:endnote w:type="continuationSeparator" w:id="0">
    <w:p w:rsidR="00BE6CC4" w:rsidP="005F148C" w:rsidRDefault="00BE6CC4" w14:paraId="0F6A03B0" w14:textId="77777777">
      <w:r>
        <w:continuationSeparator/>
      </w:r>
    </w:p>
  </w:endnote>
  <w:endnote w:type="continuationNotice" w:id="1">
    <w:p w:rsidR="00BE6CC4" w:rsidRDefault="00BE6CC4" w14:paraId="5F8E61F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Footer"/>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E6CC4" w:rsidP="005F148C" w:rsidRDefault="00BE6CC4" w14:paraId="5B0ACD18" w14:textId="77777777">
      <w:r>
        <w:separator/>
      </w:r>
    </w:p>
  </w:footnote>
  <w:footnote w:type="continuationSeparator" w:id="0">
    <w:p w:rsidR="00BE6CC4" w:rsidP="005F148C" w:rsidRDefault="00BE6CC4" w14:paraId="4D2B6CF6" w14:textId="77777777">
      <w:r>
        <w:continuationSeparator/>
      </w:r>
    </w:p>
  </w:footnote>
  <w:footnote w:type="continuationNotice" w:id="1">
    <w:p w:rsidR="00BE6CC4" w:rsidRDefault="00BE6CC4" w14:paraId="15A0DB4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Header"/>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9"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3"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4"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5"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18"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9"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22"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4"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21"/>
  </w:num>
  <w:num w:numId="9" w16cid:durableId="18228498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1"/>
  </w:num>
  <w:num w:numId="11" w16cid:durableId="765226947">
    <w:abstractNumId w:val="15"/>
  </w:num>
  <w:num w:numId="12" w16cid:durableId="248201111">
    <w:abstractNumId w:val="26"/>
  </w:num>
  <w:num w:numId="13" w16cid:durableId="7744033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13"/>
    <w:lvlOverride w:ilvl="0">
      <w:startOverride w:val="1"/>
    </w:lvlOverride>
    <w:lvlOverride w:ilvl="1"/>
    <w:lvlOverride w:ilvl="2"/>
    <w:lvlOverride w:ilvl="3"/>
    <w:lvlOverride w:ilvl="4"/>
    <w:lvlOverride w:ilvl="5"/>
    <w:lvlOverride w:ilvl="6"/>
    <w:lvlOverride w:ilvl="7"/>
    <w:lvlOverride w:ilvl="8"/>
  </w:num>
  <w:num w:numId="16" w16cid:durableId="5893853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18"/>
  </w:num>
  <w:num w:numId="20" w16cid:durableId="15992120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1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8"/>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95C90"/>
    <w:rsid w:val="000B23C9"/>
    <w:rsid w:val="000B4405"/>
    <w:rsid w:val="000D2700"/>
    <w:rsid w:val="000D484B"/>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06922"/>
    <w:rsid w:val="00213E1B"/>
    <w:rsid w:val="00214ED6"/>
    <w:rsid w:val="00233ED8"/>
    <w:rsid w:val="002370F4"/>
    <w:rsid w:val="00246359"/>
    <w:rsid w:val="00251FD7"/>
    <w:rsid w:val="00265628"/>
    <w:rsid w:val="00265B6F"/>
    <w:rsid w:val="00266C5C"/>
    <w:rsid w:val="002738EE"/>
    <w:rsid w:val="00281026"/>
    <w:rsid w:val="00282A40"/>
    <w:rsid w:val="0029622B"/>
    <w:rsid w:val="002A2188"/>
    <w:rsid w:val="002B14D5"/>
    <w:rsid w:val="002C236D"/>
    <w:rsid w:val="002C79AF"/>
    <w:rsid w:val="002D7159"/>
    <w:rsid w:val="002E338A"/>
    <w:rsid w:val="002E35A4"/>
    <w:rsid w:val="002E35DA"/>
    <w:rsid w:val="002E708C"/>
    <w:rsid w:val="002F6A04"/>
    <w:rsid w:val="002F7E39"/>
    <w:rsid w:val="00302CD3"/>
    <w:rsid w:val="00316A1B"/>
    <w:rsid w:val="00323387"/>
    <w:rsid w:val="00325613"/>
    <w:rsid w:val="0032570B"/>
    <w:rsid w:val="00326F1E"/>
    <w:rsid w:val="0033155F"/>
    <w:rsid w:val="00332769"/>
    <w:rsid w:val="003600C6"/>
    <w:rsid w:val="00370E7C"/>
    <w:rsid w:val="00372156"/>
    <w:rsid w:val="00372FA3"/>
    <w:rsid w:val="00376F63"/>
    <w:rsid w:val="00390EFF"/>
    <w:rsid w:val="00395F45"/>
    <w:rsid w:val="003977C8"/>
    <w:rsid w:val="003A0FAD"/>
    <w:rsid w:val="003A6B6C"/>
    <w:rsid w:val="003B46E3"/>
    <w:rsid w:val="003B4770"/>
    <w:rsid w:val="003B5737"/>
    <w:rsid w:val="003C2F84"/>
    <w:rsid w:val="003C7940"/>
    <w:rsid w:val="003E353E"/>
    <w:rsid w:val="003E6A10"/>
    <w:rsid w:val="003E6BA6"/>
    <w:rsid w:val="003E772B"/>
    <w:rsid w:val="003F48E1"/>
    <w:rsid w:val="003F6CE5"/>
    <w:rsid w:val="00403179"/>
    <w:rsid w:val="00412A77"/>
    <w:rsid w:val="0041480F"/>
    <w:rsid w:val="00417664"/>
    <w:rsid w:val="00417E23"/>
    <w:rsid w:val="0044190B"/>
    <w:rsid w:val="004419E4"/>
    <w:rsid w:val="004446E3"/>
    <w:rsid w:val="00444D29"/>
    <w:rsid w:val="004569EE"/>
    <w:rsid w:val="0045742B"/>
    <w:rsid w:val="0046368B"/>
    <w:rsid w:val="0046611D"/>
    <w:rsid w:val="00467825"/>
    <w:rsid w:val="00467D03"/>
    <w:rsid w:val="00471E40"/>
    <w:rsid w:val="004732E6"/>
    <w:rsid w:val="00477D05"/>
    <w:rsid w:val="0048478B"/>
    <w:rsid w:val="004854D9"/>
    <w:rsid w:val="00491944"/>
    <w:rsid w:val="00492DB9"/>
    <w:rsid w:val="004974ED"/>
    <w:rsid w:val="004B393A"/>
    <w:rsid w:val="004B6E20"/>
    <w:rsid w:val="004C1AF5"/>
    <w:rsid w:val="004C64BF"/>
    <w:rsid w:val="004D3246"/>
    <w:rsid w:val="004E0934"/>
    <w:rsid w:val="004E50D6"/>
    <w:rsid w:val="004F2B90"/>
    <w:rsid w:val="00506323"/>
    <w:rsid w:val="00511CED"/>
    <w:rsid w:val="00516549"/>
    <w:rsid w:val="00520FDC"/>
    <w:rsid w:val="005276A6"/>
    <w:rsid w:val="00531FBE"/>
    <w:rsid w:val="0053358C"/>
    <w:rsid w:val="00534670"/>
    <w:rsid w:val="00567EEF"/>
    <w:rsid w:val="0058358B"/>
    <w:rsid w:val="005B54AF"/>
    <w:rsid w:val="005B7ECC"/>
    <w:rsid w:val="005C24D1"/>
    <w:rsid w:val="005C48B0"/>
    <w:rsid w:val="005C5922"/>
    <w:rsid w:val="005D0395"/>
    <w:rsid w:val="005D1456"/>
    <w:rsid w:val="005D1DDE"/>
    <w:rsid w:val="005D4638"/>
    <w:rsid w:val="005D7383"/>
    <w:rsid w:val="005F1349"/>
    <w:rsid w:val="005F148C"/>
    <w:rsid w:val="005F4004"/>
    <w:rsid w:val="005F4751"/>
    <w:rsid w:val="0060033C"/>
    <w:rsid w:val="00607D2A"/>
    <w:rsid w:val="00614D1F"/>
    <w:rsid w:val="00623DD4"/>
    <w:rsid w:val="006358AB"/>
    <w:rsid w:val="00644FAD"/>
    <w:rsid w:val="00647AEE"/>
    <w:rsid w:val="00651449"/>
    <w:rsid w:val="006629E7"/>
    <w:rsid w:val="00664636"/>
    <w:rsid w:val="00674D09"/>
    <w:rsid w:val="00677A2F"/>
    <w:rsid w:val="00677CA9"/>
    <w:rsid w:val="00677FBF"/>
    <w:rsid w:val="006846C3"/>
    <w:rsid w:val="0069382D"/>
    <w:rsid w:val="006A1077"/>
    <w:rsid w:val="006A754A"/>
    <w:rsid w:val="006B65F2"/>
    <w:rsid w:val="006C5328"/>
    <w:rsid w:val="006D33B8"/>
    <w:rsid w:val="006E2F68"/>
    <w:rsid w:val="00716FB2"/>
    <w:rsid w:val="0072229D"/>
    <w:rsid w:val="007224F7"/>
    <w:rsid w:val="00734447"/>
    <w:rsid w:val="0073530B"/>
    <w:rsid w:val="007408CA"/>
    <w:rsid w:val="00742D07"/>
    <w:rsid w:val="007438FF"/>
    <w:rsid w:val="00743E3F"/>
    <w:rsid w:val="007474DB"/>
    <w:rsid w:val="00760892"/>
    <w:rsid w:val="0076125A"/>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652E"/>
    <w:rsid w:val="007E7D40"/>
    <w:rsid w:val="007F3D3D"/>
    <w:rsid w:val="00803203"/>
    <w:rsid w:val="00804519"/>
    <w:rsid w:val="00812270"/>
    <w:rsid w:val="00832FA5"/>
    <w:rsid w:val="00834DFE"/>
    <w:rsid w:val="00835D6A"/>
    <w:rsid w:val="00840DD0"/>
    <w:rsid w:val="00841511"/>
    <w:rsid w:val="00842076"/>
    <w:rsid w:val="00856856"/>
    <w:rsid w:val="00861C92"/>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D6959"/>
    <w:rsid w:val="008E2878"/>
    <w:rsid w:val="008E2E17"/>
    <w:rsid w:val="008E726A"/>
    <w:rsid w:val="008E7E11"/>
    <w:rsid w:val="008F189D"/>
    <w:rsid w:val="008F3450"/>
    <w:rsid w:val="009029DF"/>
    <w:rsid w:val="00905883"/>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34F8D"/>
    <w:rsid w:val="00A433D8"/>
    <w:rsid w:val="00A5280B"/>
    <w:rsid w:val="00A52EA0"/>
    <w:rsid w:val="00A5329C"/>
    <w:rsid w:val="00A54A78"/>
    <w:rsid w:val="00A57082"/>
    <w:rsid w:val="00A653A1"/>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2AC3"/>
    <w:rsid w:val="00AD6371"/>
    <w:rsid w:val="00AD7364"/>
    <w:rsid w:val="00AE33DC"/>
    <w:rsid w:val="00AE3BAD"/>
    <w:rsid w:val="00AE40BA"/>
    <w:rsid w:val="00AE6ED7"/>
    <w:rsid w:val="00AF3CE0"/>
    <w:rsid w:val="00AF7C8A"/>
    <w:rsid w:val="00B04114"/>
    <w:rsid w:val="00B14EC0"/>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6CC4"/>
    <w:rsid w:val="00BE7E0A"/>
    <w:rsid w:val="00BF63D6"/>
    <w:rsid w:val="00C04395"/>
    <w:rsid w:val="00C11655"/>
    <w:rsid w:val="00C15D24"/>
    <w:rsid w:val="00C21994"/>
    <w:rsid w:val="00C21A69"/>
    <w:rsid w:val="00C45FF3"/>
    <w:rsid w:val="00C5693C"/>
    <w:rsid w:val="00C600AA"/>
    <w:rsid w:val="00C609BC"/>
    <w:rsid w:val="00C65ECA"/>
    <w:rsid w:val="00C71B0D"/>
    <w:rsid w:val="00C7511D"/>
    <w:rsid w:val="00C77C44"/>
    <w:rsid w:val="00C841FA"/>
    <w:rsid w:val="00C85630"/>
    <w:rsid w:val="00C9071D"/>
    <w:rsid w:val="00CA48D5"/>
    <w:rsid w:val="00CA4FD6"/>
    <w:rsid w:val="00CA5361"/>
    <w:rsid w:val="00CB1B69"/>
    <w:rsid w:val="00CB1E6F"/>
    <w:rsid w:val="00CB451A"/>
    <w:rsid w:val="00CB7C37"/>
    <w:rsid w:val="00CC23ED"/>
    <w:rsid w:val="00CD2E69"/>
    <w:rsid w:val="00CE002B"/>
    <w:rsid w:val="00CF3742"/>
    <w:rsid w:val="00D01DEB"/>
    <w:rsid w:val="00D10FB7"/>
    <w:rsid w:val="00D11974"/>
    <w:rsid w:val="00D128FF"/>
    <w:rsid w:val="00D15AF0"/>
    <w:rsid w:val="00D15C1E"/>
    <w:rsid w:val="00D25C4B"/>
    <w:rsid w:val="00D42618"/>
    <w:rsid w:val="00D56839"/>
    <w:rsid w:val="00D61371"/>
    <w:rsid w:val="00D62160"/>
    <w:rsid w:val="00D70082"/>
    <w:rsid w:val="00D86E87"/>
    <w:rsid w:val="00D9006E"/>
    <w:rsid w:val="00D9156C"/>
    <w:rsid w:val="00D942CE"/>
    <w:rsid w:val="00DA3A7A"/>
    <w:rsid w:val="00DB1A50"/>
    <w:rsid w:val="00DB43CB"/>
    <w:rsid w:val="00DC6A47"/>
    <w:rsid w:val="00DD1549"/>
    <w:rsid w:val="00DD7C71"/>
    <w:rsid w:val="00DE787F"/>
    <w:rsid w:val="00DF2F7F"/>
    <w:rsid w:val="00DF698C"/>
    <w:rsid w:val="00E0283B"/>
    <w:rsid w:val="00E075B0"/>
    <w:rsid w:val="00E13D0F"/>
    <w:rsid w:val="00E172DD"/>
    <w:rsid w:val="00E21C2A"/>
    <w:rsid w:val="00E26220"/>
    <w:rsid w:val="00E42BD6"/>
    <w:rsid w:val="00E50B36"/>
    <w:rsid w:val="00E66B4A"/>
    <w:rsid w:val="00E908BC"/>
    <w:rsid w:val="00E958A9"/>
    <w:rsid w:val="00EA1DB3"/>
    <w:rsid w:val="00EA39EC"/>
    <w:rsid w:val="00EC2694"/>
    <w:rsid w:val="00ED1A64"/>
    <w:rsid w:val="00ED26AB"/>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54F4B"/>
    <w:rsid w:val="00F63579"/>
    <w:rsid w:val="00F6424C"/>
    <w:rsid w:val="00F71D17"/>
    <w:rsid w:val="00F741D5"/>
    <w:rsid w:val="00F76792"/>
    <w:rsid w:val="00F816A3"/>
    <w:rsid w:val="00F96FDD"/>
    <w:rsid w:val="00F97A17"/>
    <w:rsid w:val="00FC273E"/>
    <w:rsid w:val="00FD73E0"/>
    <w:rsid w:val="00FE3F91"/>
    <w:rsid w:val="00FE77D7"/>
    <w:rsid w:val="00FF25AC"/>
    <w:rsid w:val="0AD22C1A"/>
    <w:rsid w:val="0C980D4E"/>
    <w:rsid w:val="182E6392"/>
    <w:rsid w:val="23C02539"/>
    <w:rsid w:val="3385B8F2"/>
    <w:rsid w:val="340ABD50"/>
    <w:rsid w:val="360FCA23"/>
    <w:rsid w:val="420CDC1D"/>
    <w:rsid w:val="44DFF341"/>
    <w:rsid w:val="551DAC4E"/>
    <w:rsid w:val="57C802B2"/>
    <w:rsid w:val="5F0A4AFB"/>
    <w:rsid w:val="5F24F5D2"/>
    <w:rsid w:val="6F35BA7E"/>
    <w:rsid w:val="78A47C47"/>
    <w:rsid w:val="7F3BC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5AC25A3B-395D-493B-A1E2-9C9E9CA1C4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Heading1">
    <w:name w:val="heading 1"/>
    <w:basedOn w:val="Normal"/>
    <w:next w:val="Normal"/>
    <w:link w:val="Heading1Ch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semiHidden/>
    <w:unhideWhenUsed/>
    <w:qFormat/>
    <w:rsid w:val="00DD7C71"/>
    <w:pPr>
      <w:keepNext/>
      <w:outlineLvl w:val="1"/>
    </w:pPr>
    <w:rPr>
      <w:b/>
      <w:bCs/>
      <w:lang w:val="es-MX"/>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link w:val="TitleChar"/>
    <w:uiPriority w:val="1"/>
    <w:qFormat/>
    <w:rsid w:val="00F15FBA"/>
    <w:pPr>
      <w:jc w:val="center"/>
    </w:pPr>
    <w:rPr>
      <w:b/>
      <w:bCs/>
      <w:lang w:val="es-MX"/>
    </w:rPr>
  </w:style>
  <w:style w:type="character" w:styleId="TitleChar" w:customStyle="1">
    <w:name w:val="Title Char"/>
    <w:basedOn w:val="DefaultParagraphFont"/>
    <w:link w:val="Title"/>
    <w:uiPriority w:val="1"/>
    <w:rsid w:val="00F15FBA"/>
    <w:rPr>
      <w:rFonts w:ascii="Times New Roman" w:hAnsi="Times New Roman" w:eastAsia="Times New Roman" w:cs="Times New Roman"/>
      <w:b/>
      <w:bCs/>
      <w:sz w:val="24"/>
      <w:szCs w:val="24"/>
      <w:lang w:val="es-MX" w:eastAsia="es-ES"/>
    </w:rPr>
  </w:style>
  <w:style w:type="character" w:styleId="Strong">
    <w:name w:val="Strong"/>
    <w:qFormat/>
    <w:rsid w:val="00F15FBA"/>
    <w:rPr>
      <w:b/>
      <w:bCs/>
    </w:rPr>
  </w:style>
  <w:style w:type="paragraph" w:styleId="ListParagraph">
    <w:name w:val="List Paragraph"/>
    <w:aliases w:val="Number List 1"/>
    <w:basedOn w:val="Normal"/>
    <w:link w:val="ListParagraphCh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EndnoteText">
    <w:name w:val="endnote text"/>
    <w:basedOn w:val="Normal"/>
    <w:link w:val="EndnoteTextChar"/>
    <w:uiPriority w:val="99"/>
    <w:semiHidden/>
    <w:unhideWhenUsed/>
    <w:rsid w:val="005F148C"/>
    <w:rPr>
      <w:sz w:val="20"/>
      <w:szCs w:val="20"/>
    </w:rPr>
  </w:style>
  <w:style w:type="character" w:styleId="EndnoteTextChar" w:customStyle="1">
    <w:name w:val="Endnote Text Char"/>
    <w:basedOn w:val="DefaultParagraphFont"/>
    <w:link w:val="EndnoteText"/>
    <w:uiPriority w:val="99"/>
    <w:semiHidden/>
    <w:rsid w:val="005F148C"/>
    <w:rPr>
      <w:rFonts w:ascii="Times New Roman" w:hAnsi="Times New Roman" w:eastAsia="Times New Roman" w:cs="Times New Roman"/>
      <w:sz w:val="20"/>
      <w:szCs w:val="20"/>
      <w:lang w:val="es-ES" w:eastAsia="es-ES"/>
    </w:rPr>
  </w:style>
  <w:style w:type="character" w:styleId="EndnoteReference">
    <w:name w:val="endnote reference"/>
    <w:basedOn w:val="DefaultParagraphFont"/>
    <w:uiPriority w:val="99"/>
    <w:semiHidden/>
    <w:unhideWhenUsed/>
    <w:rsid w:val="005F148C"/>
    <w:rPr>
      <w:vertAlign w:val="superscript"/>
    </w:rPr>
  </w:style>
  <w:style w:type="paragraph" w:styleId="FootnoteText">
    <w:name w:val="footnote text"/>
    <w:basedOn w:val="Normal"/>
    <w:link w:val="FootnoteTextChar"/>
    <w:unhideWhenUsed/>
    <w:rsid w:val="005F148C"/>
    <w:rPr>
      <w:sz w:val="20"/>
      <w:szCs w:val="20"/>
    </w:rPr>
  </w:style>
  <w:style w:type="character" w:styleId="FootnoteTextChar" w:customStyle="1">
    <w:name w:val="Footnote Text Char"/>
    <w:basedOn w:val="DefaultParagraphFont"/>
    <w:link w:val="FootnoteText"/>
    <w:rsid w:val="005F148C"/>
    <w:rPr>
      <w:rFonts w:ascii="Times New Roman" w:hAnsi="Times New Roman" w:eastAsia="Times New Roman" w:cs="Times New Roman"/>
      <w:sz w:val="20"/>
      <w:szCs w:val="20"/>
      <w:lang w:val="es-ES" w:eastAsia="es-ES"/>
    </w:rPr>
  </w:style>
  <w:style w:type="character" w:styleId="FootnoteReference">
    <w:name w:val="footnote reference"/>
    <w:basedOn w:val="DefaultParagraphFont"/>
    <w:semiHidden/>
    <w:unhideWhenUsed/>
    <w:rsid w:val="005F148C"/>
    <w:rPr>
      <w:vertAlign w:val="superscript"/>
    </w:rPr>
  </w:style>
  <w:style w:type="paragraph" w:styleId="Header">
    <w:name w:val="header"/>
    <w:basedOn w:val="Normal"/>
    <w:link w:val="HeaderChar"/>
    <w:uiPriority w:val="99"/>
    <w:unhideWhenUsed/>
    <w:rsid w:val="001631D6"/>
    <w:pPr>
      <w:tabs>
        <w:tab w:val="center" w:pos="4252"/>
        <w:tab w:val="right" w:pos="8504"/>
      </w:tabs>
    </w:pPr>
  </w:style>
  <w:style w:type="character" w:styleId="HeaderChar" w:customStyle="1">
    <w:name w:val="Header Char"/>
    <w:basedOn w:val="DefaultParagraphFont"/>
    <w:link w:val="Header"/>
    <w:uiPriority w:val="99"/>
    <w:rsid w:val="001631D6"/>
    <w:rPr>
      <w:rFonts w:ascii="Times New Roman" w:hAnsi="Times New Roman" w:eastAsia="Times New Roman" w:cs="Times New Roman"/>
      <w:sz w:val="24"/>
      <w:szCs w:val="24"/>
      <w:lang w:val="es-ES" w:eastAsia="es-ES"/>
    </w:rPr>
  </w:style>
  <w:style w:type="paragraph" w:styleId="Footer">
    <w:name w:val="footer"/>
    <w:basedOn w:val="Normal"/>
    <w:link w:val="FooterChar"/>
    <w:uiPriority w:val="99"/>
    <w:unhideWhenUsed/>
    <w:rsid w:val="001631D6"/>
    <w:pPr>
      <w:tabs>
        <w:tab w:val="center" w:pos="4252"/>
        <w:tab w:val="right" w:pos="8504"/>
      </w:tabs>
    </w:pPr>
  </w:style>
  <w:style w:type="character" w:styleId="FooterChar" w:customStyle="1">
    <w:name w:val="Footer Char"/>
    <w:basedOn w:val="DefaultParagraphFont"/>
    <w:link w:val="Footer"/>
    <w:uiPriority w:val="99"/>
    <w:rsid w:val="001631D6"/>
    <w:rPr>
      <w:rFonts w:ascii="Times New Roman" w:hAnsi="Times New Roman" w:eastAsia="Times New Roman" w:cs="Times New Roman"/>
      <w:sz w:val="24"/>
      <w:szCs w:val="24"/>
      <w:lang w:val="es-ES" w:eastAsia="es-ES"/>
    </w:rPr>
  </w:style>
  <w:style w:type="paragraph" w:styleId="NoSpacing">
    <w:name w:val="No Spacing"/>
    <w:uiPriority w:val="1"/>
    <w:qFormat/>
    <w:rsid w:val="003E6BA6"/>
    <w:pPr>
      <w:spacing w:after="0" w:line="240" w:lineRule="auto"/>
    </w:pPr>
    <w:rPr>
      <w:lang w:val="es-PE"/>
    </w:rPr>
  </w:style>
  <w:style w:type="paragraph" w:styleId="CommentText">
    <w:name w:val="annotation text"/>
    <w:basedOn w:val="Normal"/>
    <w:link w:val="CommentTextChar"/>
    <w:uiPriority w:val="99"/>
    <w:semiHidden/>
    <w:unhideWhenUsed/>
    <w:rsid w:val="00C04395"/>
    <w:pPr>
      <w:spacing w:after="200"/>
    </w:pPr>
    <w:rPr>
      <w:rFonts w:eastAsiaTheme="minorHAnsi" w:cstheme="minorBidi"/>
      <w:sz w:val="20"/>
      <w:szCs w:val="20"/>
      <w:lang w:val="es-PE" w:eastAsia="en-US"/>
    </w:rPr>
  </w:style>
  <w:style w:type="character" w:styleId="CommentTextChar" w:customStyle="1">
    <w:name w:val="Comment Text Char"/>
    <w:basedOn w:val="DefaultParagraphFont"/>
    <w:link w:val="CommentText"/>
    <w:uiPriority w:val="99"/>
    <w:semiHidden/>
    <w:rsid w:val="00C04395"/>
    <w:rPr>
      <w:rFonts w:ascii="Times New Roman" w:hAnsi="Times New Roman"/>
      <w:sz w:val="20"/>
      <w:szCs w:val="20"/>
      <w:lang w:val="es-PE"/>
    </w:rPr>
  </w:style>
  <w:style w:type="character" w:styleId="CommentReference">
    <w:name w:val="annotation reference"/>
    <w:basedOn w:val="DefaultParagraphFont"/>
    <w:uiPriority w:val="99"/>
    <w:semiHidden/>
    <w:unhideWhenUsed/>
    <w:rsid w:val="00C04395"/>
    <w:rPr>
      <w:sz w:val="16"/>
      <w:szCs w:val="16"/>
    </w:rPr>
  </w:style>
  <w:style w:type="character" w:styleId="Hyperlink">
    <w:name w:val="Hyperlink"/>
    <w:basedOn w:val="DefaultParagraphFont"/>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BodyText">
    <w:name w:val="Body Text"/>
    <w:basedOn w:val="Normal"/>
    <w:link w:val="BodyTextCh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BodyTextChar" w:customStyle="1">
    <w:name w:val="Body Text Char"/>
    <w:basedOn w:val="DefaultParagraphFont"/>
    <w:link w:val="BodyText"/>
    <w:uiPriority w:val="99"/>
    <w:semiHidden/>
    <w:rsid w:val="00150853"/>
    <w:rPr>
      <w:lang w:val="es-PE"/>
    </w:rPr>
  </w:style>
  <w:style w:type="character" w:styleId="Heading2Char" w:customStyle="1">
    <w:name w:val="Heading 2 Char"/>
    <w:basedOn w:val="DefaultParagraphFont"/>
    <w:link w:val="Heading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DefaultParagraphFont"/>
    <w:rsid w:val="00DD7C71"/>
  </w:style>
  <w:style w:type="character" w:styleId="eop" w:customStyle="1">
    <w:name w:val="eop"/>
    <w:basedOn w:val="DefaultParagraphFont"/>
    <w:rsid w:val="00DD7C71"/>
  </w:style>
  <w:style w:type="character" w:styleId="UnresolvedMention">
    <w:name w:val="Unresolved Mention"/>
    <w:basedOn w:val="DefaultParagraphFont"/>
    <w:uiPriority w:val="99"/>
    <w:semiHidden/>
    <w:unhideWhenUsed/>
    <w:rsid w:val="004C64BF"/>
    <w:rPr>
      <w:color w:val="605E5C"/>
      <w:shd w:val="clear" w:color="auto" w:fill="E1DFDD"/>
    </w:rPr>
  </w:style>
  <w:style w:type="character" w:styleId="ListParagraphChar" w:customStyle="1">
    <w:name w:val="List Paragraph Char"/>
    <w:aliases w:val="Number List 1 Char"/>
    <w:link w:val="ListParagraph"/>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DefaultParagraphFont"/>
    <w:rsid w:val="000028C1"/>
  </w:style>
  <w:style w:type="character" w:styleId="Heading1Char" w:customStyle="1">
    <w:name w:val="Heading 1 Char"/>
    <w:basedOn w:val="DefaultParagraphFont"/>
    <w:link w:val="Heading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F330256-9787-42CE-9344-8DFDFF7F1985}"/>
</file>

<file path=customXml/itemProps3.xml><?xml version="1.0" encoding="utf-8"?>
<ds:datastoreItem xmlns:ds="http://schemas.openxmlformats.org/officeDocument/2006/customXml" ds:itemID="{FBE8FF0C-F7EF-4104-A63D-80B63C2F3514}"/>
</file>

<file path=customXml/itemProps4.xml><?xml version="1.0" encoding="utf-8"?>
<ds:datastoreItem xmlns:ds="http://schemas.openxmlformats.org/officeDocument/2006/customXml" ds:itemID="{553588D5-5045-4964-9227-511B88D200F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309</cp:revision>
  <cp:lastPrinted>2022-06-06T17:03:00Z</cp:lastPrinted>
  <dcterms:created xsi:type="dcterms:W3CDTF">2020-12-18T23:09:00Z</dcterms:created>
  <dcterms:modified xsi:type="dcterms:W3CDTF">2025-04-09T16:42:18Z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