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822F8" w:rsidR="00F15FBA" w:rsidP="00F15FBA" w:rsidRDefault="00F15FBA" w14:paraId="6BA6C8A5" w14:textId="1139C8A1">
      <w:pPr>
        <w:pStyle w:val="Ttulo"/>
        <w:outlineLvl w:val="0"/>
        <w:rPr>
          <w:lang w:val="es-PE"/>
        </w:rPr>
      </w:pPr>
      <w:r w:rsidRPr="004822F8">
        <w:rPr>
          <w:lang w:val="es-PE"/>
        </w:rPr>
        <w:t xml:space="preserve">RESOLUCIÓN </w:t>
      </w:r>
      <w:proofErr w:type="spellStart"/>
      <w:r w:rsidRPr="004822F8">
        <w:rPr>
          <w:lang w:val="es-PE"/>
        </w:rPr>
        <w:t>N</w:t>
      </w:r>
      <w:r w:rsidRPr="004822F8" w:rsidR="001631D6">
        <w:rPr>
          <w:lang w:val="es-PE"/>
        </w:rPr>
        <w:t>°</w:t>
      </w:r>
      <w:proofErr w:type="spellEnd"/>
      <w:r w:rsidRPr="004822F8" w:rsidR="001631D6">
        <w:rPr>
          <w:lang w:val="es-PE"/>
        </w:rPr>
        <w:t xml:space="preserve"> </w:t>
      </w:r>
      <w:r w:rsidRPr="004822F8" w:rsidR="00674D09">
        <w:rPr>
          <w:lang w:val="es-PE"/>
        </w:rPr>
        <w:t>1</w:t>
      </w:r>
      <w:r w:rsidRPr="004822F8" w:rsidR="00555946">
        <w:rPr>
          <w:lang w:val="es-PE"/>
        </w:rPr>
        <w:t>22</w:t>
      </w:r>
      <w:r w:rsidRPr="004822F8" w:rsidR="00F96FDD">
        <w:rPr>
          <w:lang w:val="es-PE"/>
        </w:rPr>
        <w:t>/</w:t>
      </w:r>
      <w:r w:rsidRPr="004822F8" w:rsidR="001631D6">
        <w:rPr>
          <w:lang w:val="es-PE"/>
        </w:rPr>
        <w:t>2</w:t>
      </w:r>
      <w:r w:rsidRPr="004822F8" w:rsidR="00444D29">
        <w:rPr>
          <w:lang w:val="es-PE"/>
        </w:rPr>
        <w:t>2</w:t>
      </w:r>
    </w:p>
    <w:p w:rsidRPr="004822F8" w:rsidR="00C609BC" w:rsidP="00CA5361" w:rsidRDefault="00C609BC" w14:paraId="4F6885AD" w14:textId="77777777">
      <w:pPr>
        <w:jc w:val="both"/>
        <w:outlineLvl w:val="0"/>
        <w:rPr>
          <w:b/>
          <w:bCs/>
          <w:lang w:val="es-PE"/>
        </w:rPr>
      </w:pPr>
    </w:p>
    <w:p w:rsidRPr="004822F8" w:rsidR="004822F8" w:rsidP="004822F8" w:rsidRDefault="004822F8" w14:paraId="3304CEE2" w14:textId="77777777">
      <w:pPr>
        <w:jc w:val="both"/>
        <w:outlineLvl w:val="0"/>
        <w:rPr>
          <w:b/>
          <w:bCs/>
          <w:lang w:val="es-PE"/>
        </w:rPr>
      </w:pPr>
      <w:r w:rsidRPr="004822F8">
        <w:rPr>
          <w:b/>
          <w:bCs/>
          <w:lang w:val="es-PE"/>
        </w:rPr>
        <w:t>Vistos:</w:t>
      </w:r>
    </w:p>
    <w:p w:rsidRPr="004822F8" w:rsidR="004822F8" w:rsidP="004822F8" w:rsidRDefault="004822F8" w14:paraId="5A81754A" w14:textId="77777777">
      <w:pPr>
        <w:jc w:val="both"/>
        <w:rPr>
          <w:lang w:val="es-PE"/>
        </w:rPr>
      </w:pPr>
    </w:p>
    <w:p w:rsidRPr="004822F8" w:rsidR="004822F8" w:rsidP="004822F8" w:rsidRDefault="004822F8" w14:paraId="337D72C6" w14:textId="70CAACFA">
      <w:pPr>
        <w:tabs>
          <w:tab w:val="left" w:pos="708"/>
          <w:tab w:val="left" w:pos="1416"/>
          <w:tab w:val="left" w:pos="2160"/>
          <w:tab w:val="left" w:pos="2977"/>
          <w:tab w:val="left" w:pos="4248"/>
          <w:tab w:val="left" w:pos="4956"/>
          <w:tab w:val="left" w:pos="5664"/>
          <w:tab w:val="left" w:pos="6372"/>
          <w:tab w:val="left" w:pos="7125"/>
        </w:tabs>
        <w:jc w:val="both"/>
        <w:rPr>
          <w:lang w:val="es-PE"/>
        </w:rPr>
      </w:pPr>
      <w:r w:rsidRPr="1CE9A9A9" w:rsidR="4183B69D">
        <w:rPr>
          <w:lang w:val="es-PE"/>
        </w:rPr>
        <w:t>Que, con fecha 27 de enero de 2022, doña</w:t>
      </w:r>
      <w:r w:rsidR="4183B69D">
        <w:rPr/>
        <w:t xml:space="preserve"> </w:t>
      </w:r>
      <w:r w:rsidR="7ED10DE9">
        <w:rPr/>
        <w:t>..................................................................</w:t>
      </w:r>
      <w:r w:rsidR="4183B69D">
        <w:rPr/>
        <w:t xml:space="preserve"> interpone</w:t>
      </w:r>
      <w:r w:rsidRPr="1CE9A9A9" w:rsidR="4183B69D">
        <w:rPr>
          <w:lang w:val="es-PE"/>
        </w:rPr>
        <w:t xml:space="preserve"> reclamación ante esta Defensoría del Asegurado (DEFASEG), solicitando que </w:t>
      </w:r>
      <w:bookmarkStart w:name="OLE_LINK2" w:id="0"/>
      <w:r w:rsidRPr="1CE9A9A9" w:rsidR="5B3820A2">
        <w:rPr>
          <w:lang w:val="es-PE"/>
        </w:rPr>
        <w:t>...................................</w:t>
      </w:r>
      <w:r w:rsidRPr="1CE9A9A9" w:rsidR="4183B69D">
        <w:rPr>
          <w:lang w:val="es-PE"/>
        </w:rPr>
        <w:t xml:space="preserve"> cumpla con otorgar cobertura al siniestro ocurrido con fecha </w:t>
      </w:r>
      <w:bookmarkEnd w:id="0"/>
      <w:r w:rsidRPr="1CE9A9A9" w:rsidR="4183B69D">
        <w:rPr>
          <w:lang w:val="es-PE"/>
        </w:rPr>
        <w:t xml:space="preserve">16 de julio de 2021 y que afectó al asegurado, su esposo, don </w:t>
      </w:r>
      <w:r w:rsidRPr="1CE9A9A9" w:rsidR="773A7D52">
        <w:rPr>
          <w:color w:val="000000" w:themeColor="text1" w:themeTint="FF" w:themeShade="FF"/>
          <w:lang w:val="es-PE"/>
        </w:rPr>
        <w:t>...................................</w:t>
      </w:r>
      <w:r w:rsidRPr="1CE9A9A9" w:rsidR="4183B69D">
        <w:rPr>
          <w:color w:val="000000" w:themeColor="text1" w:themeTint="FF" w:themeShade="FF"/>
          <w:lang w:val="es-PE"/>
        </w:rPr>
        <w:t>,</w:t>
      </w:r>
      <w:r w:rsidRPr="1CE9A9A9" w:rsidR="4183B69D">
        <w:rPr>
          <w:lang w:val="es-PE"/>
        </w:rPr>
        <w:t xml:space="preserve"> conforme a los términos y condiciones del </w:t>
      </w:r>
      <w:r w:rsidRPr="1CE9A9A9" w:rsidR="6E9349AF">
        <w:rPr>
          <w:lang w:val="es-PE"/>
        </w:rPr>
        <w:t>..........................</w:t>
      </w:r>
      <w:r w:rsidRPr="1CE9A9A9" w:rsidR="4183B69D">
        <w:rPr>
          <w:lang w:val="es-PE"/>
        </w:rPr>
        <w:t xml:space="preserve">Ley, póliza </w:t>
      </w:r>
      <w:r w:rsidRPr="1CE9A9A9" w:rsidR="7473AE15">
        <w:rPr>
          <w:lang w:val="es-PE"/>
        </w:rPr>
        <w:t>...................................</w:t>
      </w:r>
      <w:r w:rsidRPr="1CE9A9A9" w:rsidR="4183B69D">
        <w:rPr>
          <w:lang w:val="es-PE"/>
        </w:rPr>
        <w:t>;</w:t>
      </w:r>
    </w:p>
    <w:p w:rsidRPr="004822F8" w:rsidR="004822F8" w:rsidP="004822F8" w:rsidRDefault="004822F8" w14:paraId="6EA8D611" w14:textId="77777777">
      <w:pPr>
        <w:tabs>
          <w:tab w:val="left" w:pos="708"/>
          <w:tab w:val="left" w:pos="1416"/>
          <w:tab w:val="left" w:pos="2160"/>
          <w:tab w:val="left" w:pos="2977"/>
          <w:tab w:val="left" w:pos="4248"/>
          <w:tab w:val="left" w:pos="4956"/>
          <w:tab w:val="left" w:pos="5664"/>
          <w:tab w:val="left" w:pos="6372"/>
          <w:tab w:val="left" w:pos="7125"/>
        </w:tabs>
        <w:jc w:val="both"/>
        <w:rPr>
          <w:lang w:val="es-PE"/>
        </w:rPr>
      </w:pPr>
    </w:p>
    <w:p w:rsidRPr="004822F8" w:rsidR="004822F8" w:rsidP="004822F8" w:rsidRDefault="004822F8" w14:paraId="5E293698" w14:textId="77777777">
      <w:pPr>
        <w:jc w:val="both"/>
        <w:rPr>
          <w:rFonts w:eastAsia="Arial Unicode MS"/>
          <w:lang w:val="es-PE"/>
        </w:rPr>
      </w:pPr>
      <w:r w:rsidRPr="004822F8">
        <w:rPr>
          <w:rFonts w:eastAsia="Arial Unicode MS"/>
          <w:lang w:val="es-PE"/>
        </w:rPr>
        <w:t>Que, la señalada reclamación cumple con los requisitos de materia, cuantía y oportunidad establecidos en el Reglamento de la DEFASEG (</w:t>
      </w:r>
      <w:hyperlink w:history="1" r:id="rId8">
        <w:r w:rsidRPr="004822F8">
          <w:rPr>
            <w:rStyle w:val="Hipervnculo"/>
            <w:rFonts w:eastAsia="Arial Unicode MS"/>
            <w:lang w:val="es-PE"/>
          </w:rPr>
          <w:t>http://www.defaseg.com.pe/reglamento.html</w:t>
        </w:r>
      </w:hyperlink>
      <w:r w:rsidRPr="004822F8">
        <w:rPr>
          <w:rFonts w:eastAsia="Arial Unicode MS"/>
          <w:lang w:val="es-PE"/>
        </w:rPr>
        <w:t>);</w:t>
      </w:r>
    </w:p>
    <w:p w:rsidRPr="004822F8" w:rsidR="004822F8" w:rsidP="004822F8" w:rsidRDefault="004822F8" w14:paraId="6E205F20" w14:textId="77777777">
      <w:pPr>
        <w:tabs>
          <w:tab w:val="num" w:pos="720"/>
        </w:tabs>
        <w:jc w:val="both"/>
        <w:rPr>
          <w:lang w:val="es-PE"/>
        </w:rPr>
      </w:pPr>
    </w:p>
    <w:p w:rsidRPr="004822F8" w:rsidR="004822F8" w:rsidP="004822F8" w:rsidRDefault="004822F8" w14:paraId="6AEE3CC4" w14:textId="3B5DEE59">
      <w:pPr>
        <w:tabs>
          <w:tab w:val="num" w:pos="720"/>
        </w:tabs>
        <w:jc w:val="both"/>
        <w:rPr>
          <w:lang w:val="es-PE"/>
        </w:rPr>
      </w:pPr>
      <w:r w:rsidRPr="1CE9A9A9" w:rsidR="4183B69D">
        <w:rPr>
          <w:lang w:val="es-PE"/>
        </w:rPr>
        <w:t xml:space="preserve">Que, habiéndosele corrido con fecha 18 de febrero de 2022 traslado de la respectiva reclamación, con fecha 2 de marzo de 2022 </w:t>
      </w:r>
      <w:r w:rsidRPr="1CE9A9A9" w:rsidR="5B3820A2">
        <w:rPr>
          <w:lang w:val="es-PE"/>
        </w:rPr>
        <w:t>...................................</w:t>
      </w:r>
      <w:r w:rsidRPr="1CE9A9A9" w:rsidR="4183B69D">
        <w:rPr>
          <w:lang w:val="es-PE"/>
        </w:rPr>
        <w:t xml:space="preserve"> solicitó la ampliación de plazo reglamentaria para presentar sus descargos y la correlativa documentación, siendo finalmente que, con fecha 9 de marzo de 2022 presentó lo señalados descargos;</w:t>
      </w:r>
    </w:p>
    <w:p w:rsidRPr="004822F8" w:rsidR="004822F8" w:rsidP="004822F8" w:rsidRDefault="004822F8" w14:paraId="509E2C01" w14:textId="77777777">
      <w:pPr>
        <w:tabs>
          <w:tab w:val="num" w:pos="720"/>
        </w:tabs>
        <w:jc w:val="both"/>
        <w:rPr>
          <w:lang w:val="es-PE"/>
        </w:rPr>
      </w:pPr>
    </w:p>
    <w:p w:rsidRPr="004822F8" w:rsidR="004822F8" w:rsidP="004822F8" w:rsidRDefault="004822F8" w14:paraId="5F0B057E" w14:textId="77777777">
      <w:pPr>
        <w:tabs>
          <w:tab w:val="num" w:pos="720"/>
        </w:tabs>
        <w:jc w:val="both"/>
        <w:rPr>
          <w:rFonts w:eastAsiaTheme="minorHAnsi"/>
          <w:lang w:eastAsia="en-US"/>
        </w:rPr>
      </w:pPr>
      <w:r w:rsidRPr="004822F8">
        <w:rPr>
          <w:lang w:val="es-PE"/>
        </w:rPr>
        <w:t>Que, con fecha</w:t>
      </w:r>
      <w:r w:rsidRPr="004822F8">
        <w:rPr>
          <w:lang w:val="es-419"/>
        </w:rPr>
        <w:t xml:space="preserve"> 23 de mayo de 2022 </w:t>
      </w:r>
      <w:r w:rsidRPr="004822F8">
        <w:rPr>
          <w:lang w:val="es-PE"/>
        </w:rPr>
        <w:t>se realizó la audiencia de vista virtual en la plataforma electrónica habilitada por la secretaría técnica de la DEFASEG, con la participación de ambas partes, quienes absolvieron las preguntas formuladas por este colegiado, conforme consta de la correspondiente acta;</w:t>
      </w:r>
    </w:p>
    <w:p w:rsidRPr="004822F8" w:rsidR="004822F8" w:rsidP="004822F8" w:rsidRDefault="004822F8" w14:paraId="44DE9887" w14:textId="77777777">
      <w:pPr>
        <w:tabs>
          <w:tab w:val="num" w:pos="720"/>
        </w:tabs>
        <w:jc w:val="both"/>
      </w:pPr>
    </w:p>
    <w:p w:rsidRPr="004822F8" w:rsidR="004822F8" w:rsidP="1CE9A9A9" w:rsidRDefault="004822F8" w14:paraId="2A8E4025" w14:textId="03363A8E">
      <w:pPr>
        <w:autoSpaceDE w:val="0"/>
        <w:autoSpaceDN w:val="0"/>
        <w:adjustRightInd w:val="0"/>
        <w:jc w:val="both"/>
        <w:rPr>
          <w:rFonts w:eastAsia="Calibri" w:eastAsiaTheme="minorAscii"/>
          <w:color w:val="000000"/>
          <w:lang w:val="es-PE" w:eastAsia="en-US"/>
        </w:rPr>
      </w:pPr>
      <w:r w:rsidRPr="1CE9A9A9" w:rsidR="4183B69D">
        <w:rPr>
          <w:lang w:val="es-PE"/>
        </w:rPr>
        <w:t>Que, la reclamación se sustenta resumidamente en lo siguiente: a) El</w:t>
      </w:r>
      <w:r w:rsidRPr="1CE9A9A9" w:rsidR="4183B69D">
        <w:rPr>
          <w:color w:val="000000" w:themeColor="text1" w:themeTint="FF" w:themeShade="FF"/>
          <w:lang w:val="es-PE"/>
        </w:rPr>
        <w:t xml:space="preserve"> esposo de la reclamante, don </w:t>
      </w:r>
      <w:r w:rsidRPr="1CE9A9A9" w:rsidR="773A7D52">
        <w:rPr>
          <w:color w:val="000000" w:themeColor="text1" w:themeTint="FF" w:themeShade="FF"/>
          <w:lang w:val="es-PE"/>
        </w:rPr>
        <w:t>...................................</w:t>
      </w:r>
      <w:r w:rsidRPr="1CE9A9A9" w:rsidR="4183B69D">
        <w:rPr>
          <w:color w:val="000000" w:themeColor="text1" w:themeTint="FF" w:themeShade="FF"/>
          <w:lang w:val="es-PE"/>
        </w:rPr>
        <w:t xml:space="preserve">, se accidentó el pasado 16 de julio de 2021 cuando estaba realizando trabajos de limpieza en las calaminas de su casa, siendo que resbala y cae desde el segundo piso, quedando tirado en el suelo y botando sangre por la boca y orejas, b)  Al llevarlo al hospital, le informaron a la reclamante que presentaba un TEC severo, c) Se dirigió entonces a </w:t>
      </w:r>
      <w:r w:rsidRPr="1CE9A9A9" w:rsidR="5B3820A2">
        <w:rPr>
          <w:color w:val="000000" w:themeColor="text1" w:themeTint="FF" w:themeShade="FF"/>
          <w:lang w:val="es-PE"/>
        </w:rPr>
        <w:t>...................................</w:t>
      </w:r>
      <w:r w:rsidRPr="1CE9A9A9" w:rsidR="4183B69D">
        <w:rPr>
          <w:color w:val="000000" w:themeColor="text1" w:themeTint="FF" w:themeShade="FF"/>
          <w:lang w:val="es-PE"/>
        </w:rPr>
        <w:t xml:space="preserve">, solicitando que se aplique y se le indemnice con el </w:t>
      </w:r>
      <w:r w:rsidRPr="1CE9A9A9" w:rsidR="6E9349AF">
        <w:rPr>
          <w:color w:val="000000" w:themeColor="text1" w:themeTint="FF" w:themeShade="FF"/>
          <w:lang w:val="es-PE"/>
        </w:rPr>
        <w:t>..........................</w:t>
      </w:r>
      <w:r w:rsidRPr="1CE9A9A9" w:rsidR="4183B69D">
        <w:rPr>
          <w:color w:val="000000" w:themeColor="text1" w:themeTint="FF" w:themeShade="FF"/>
          <w:lang w:val="es-PE"/>
        </w:rPr>
        <w:t xml:space="preserve">Ley, siendo que la señalada aseguradora, invocado el Decreto Legislativo Nro. 688, se le respondió que no correspondía el otorgamiento del beneficio adquirido por su esposo en su trabajo, y d) Al respecto, entiende que se trata de un seguro que cubre a todos los trabajadores, para no dejar en desamparo a sus deudos en caso sucediera un accidente por trabajo y/o común, como es el que le sucedió a su esposo, accidente del cual nadie está libre, por lo que no es posible que se le trate de esa manera, más </w:t>
      </w:r>
      <w:r w:rsidRPr="1CE9A9A9" w:rsidR="4183B69D">
        <w:rPr>
          <w:color w:val="000000" w:themeColor="text1" w:themeTint="FF" w:themeShade="FF"/>
          <w:lang w:val="es-PE"/>
        </w:rPr>
        <w:t>aun</w:t>
      </w:r>
      <w:r w:rsidRPr="1CE9A9A9" w:rsidR="4183B69D">
        <w:rPr>
          <w:color w:val="000000" w:themeColor="text1" w:themeTint="FF" w:themeShade="FF"/>
          <w:lang w:val="es-PE"/>
        </w:rPr>
        <w:t xml:space="preserve"> cuando el asegurado siempre fue una persona sana, por lo que solicita la intervención de la DEFASEG para que no se vulnere los derechos de su esposo, como trabajador y ciudadano;</w:t>
      </w:r>
    </w:p>
    <w:p w:rsidRPr="004822F8" w:rsidR="004822F8" w:rsidP="004822F8" w:rsidRDefault="004822F8" w14:paraId="2E3FA1C3" w14:textId="77777777">
      <w:pPr>
        <w:autoSpaceDE w:val="0"/>
        <w:autoSpaceDN w:val="0"/>
        <w:adjustRightInd w:val="0"/>
        <w:jc w:val="both"/>
        <w:rPr>
          <w:color w:val="000000"/>
          <w:lang w:val="es-PE"/>
        </w:rPr>
      </w:pPr>
    </w:p>
    <w:p w:rsidRPr="004822F8" w:rsidR="004822F8" w:rsidP="004822F8" w:rsidRDefault="004822F8" w14:paraId="5A2D72E8" w14:textId="7A412A68">
      <w:pPr>
        <w:pStyle w:val="Default"/>
        <w:jc w:val="both"/>
        <w:rPr>
          <w:rFonts w:ascii="Times New Roman" w:hAnsi="Times New Roman" w:cs="Times New Roman"/>
          <w:lang w:val="fr-FR"/>
        </w:rPr>
      </w:pPr>
      <w:r w:rsidRPr="1CE9A9A9" w:rsidR="4183B69D">
        <w:rPr>
          <w:rFonts w:ascii="Times New Roman" w:hAnsi="Times New Roman" w:cs="Times New Roman"/>
          <w:lang w:val="es-ES" w:eastAsia="es-ES"/>
        </w:rPr>
        <w:t xml:space="preserve">Que, por su parte, en su escrito de descargos, </w:t>
      </w:r>
      <w:r w:rsidRPr="1CE9A9A9" w:rsidR="5B3820A2">
        <w:rPr>
          <w:rFonts w:ascii="Times New Roman" w:hAnsi="Times New Roman" w:cs="Times New Roman"/>
          <w:lang w:val="es-ES" w:eastAsia="es-ES"/>
        </w:rPr>
        <w:t>...................................</w:t>
      </w:r>
      <w:r w:rsidRPr="1CE9A9A9" w:rsidR="4183B69D">
        <w:rPr>
          <w:rFonts w:ascii="Times New Roman" w:hAnsi="Times New Roman" w:cs="Times New Roman"/>
          <w:lang w:val="es-ES" w:eastAsia="es-ES"/>
        </w:rPr>
        <w:t xml:space="preserve"> </w:t>
      </w:r>
      <w:r w:rsidRPr="1CE9A9A9" w:rsidR="4183B69D">
        <w:rPr>
          <w:rFonts w:ascii="Times New Roman" w:hAnsi="Times New Roman" w:cs="Times New Roman"/>
          <w:lang w:eastAsia="es-ES"/>
        </w:rPr>
        <w:t xml:space="preserve">reitera el rechazo de cobertura, destacando que: a) Conforme a los artículos 4 y 5 del Decreto Legislativo Nro. 688, </w:t>
      </w:r>
      <w:r w:rsidRPr="1CE9A9A9" w:rsidR="4183B69D">
        <w:rPr>
          <w:rFonts w:ascii="Times New Roman" w:hAnsi="Times New Roman" w:cs="Times New Roman"/>
        </w:rPr>
        <w:t>para que la cobertura de invalidez permanente de un Seguro de Vida Ley se active es necesario que el asegurado adolezca, durante su relación laboral, de los supuestos siguientes: (i) Alineación mental absoluta e incurable, (</w:t>
      </w:r>
      <w:r w:rsidRPr="1CE9A9A9" w:rsidR="4183B69D">
        <w:rPr>
          <w:rFonts w:ascii="Times New Roman" w:hAnsi="Times New Roman" w:cs="Times New Roman"/>
        </w:rPr>
        <w:t>ii</w:t>
      </w:r>
      <w:r w:rsidRPr="1CE9A9A9" w:rsidR="4183B69D">
        <w:rPr>
          <w:rFonts w:ascii="Times New Roman" w:hAnsi="Times New Roman" w:cs="Times New Roman"/>
        </w:rPr>
        <w:t xml:space="preserve">) </w:t>
      </w:r>
      <w:r w:rsidRPr="1CE9A9A9" w:rsidR="4183B69D">
        <w:rPr>
          <w:rFonts w:ascii="Times New Roman" w:hAnsi="Times New Roman" w:cs="Times New Roman"/>
        </w:rPr>
        <w:t>Descerebramiento</w:t>
      </w:r>
      <w:r w:rsidRPr="1CE9A9A9" w:rsidR="4183B69D">
        <w:rPr>
          <w:rFonts w:ascii="Times New Roman" w:hAnsi="Times New Roman" w:cs="Times New Roman"/>
        </w:rPr>
        <w:t xml:space="preserve"> que impida efectuar trabajo y ocupación por el resto de la vida, (</w:t>
      </w:r>
      <w:r w:rsidRPr="1CE9A9A9" w:rsidR="4183B69D">
        <w:rPr>
          <w:rFonts w:ascii="Times New Roman" w:hAnsi="Times New Roman" w:cs="Times New Roman"/>
        </w:rPr>
        <w:t>iii</w:t>
      </w:r>
      <w:r w:rsidRPr="1CE9A9A9" w:rsidR="4183B69D">
        <w:rPr>
          <w:rFonts w:ascii="Times New Roman" w:hAnsi="Times New Roman" w:cs="Times New Roman"/>
        </w:rPr>
        <w:t>) Fractura incurable de la columna vertebral que determine la invalidez total y permanente, (</w:t>
      </w:r>
      <w:r w:rsidRPr="1CE9A9A9" w:rsidR="4183B69D">
        <w:rPr>
          <w:rFonts w:ascii="Times New Roman" w:hAnsi="Times New Roman" w:cs="Times New Roman"/>
        </w:rPr>
        <w:t>iv</w:t>
      </w:r>
      <w:r w:rsidRPr="1CE9A9A9" w:rsidR="4183B69D">
        <w:rPr>
          <w:rFonts w:ascii="Times New Roman" w:hAnsi="Times New Roman" w:cs="Times New Roman"/>
        </w:rPr>
        <w:t>) Pérdida total de la visión de ambos ojos, (v) Pérdida de ambas manos, (vi) Pérdida de ambos pies, (</w:t>
      </w:r>
      <w:r w:rsidRPr="1CE9A9A9" w:rsidR="4183B69D">
        <w:rPr>
          <w:rFonts w:ascii="Times New Roman" w:hAnsi="Times New Roman" w:cs="Times New Roman"/>
        </w:rPr>
        <w:t>vii</w:t>
      </w:r>
      <w:r w:rsidRPr="1CE9A9A9" w:rsidR="4183B69D">
        <w:rPr>
          <w:rFonts w:ascii="Times New Roman" w:hAnsi="Times New Roman" w:cs="Times New Roman"/>
        </w:rPr>
        <w:t>) Pérdida de una mano y un pie, o (</w:t>
      </w:r>
      <w:r w:rsidRPr="1CE9A9A9" w:rsidR="4183B69D">
        <w:rPr>
          <w:rFonts w:ascii="Times New Roman" w:hAnsi="Times New Roman" w:cs="Times New Roman"/>
        </w:rPr>
        <w:t>viii</w:t>
      </w:r>
      <w:r w:rsidRPr="1CE9A9A9" w:rsidR="4183B69D">
        <w:rPr>
          <w:rFonts w:ascii="Times New Roman" w:hAnsi="Times New Roman" w:cs="Times New Roman"/>
        </w:rPr>
        <w:t xml:space="preserve">) Otros  supuestos que se puedan establecerse por decreto supremo, b) El </w:t>
      </w:r>
      <w:r w:rsidRPr="1CE9A9A9" w:rsidR="6E9349AF">
        <w:rPr>
          <w:rFonts w:ascii="Times New Roman" w:hAnsi="Times New Roman" w:cs="Times New Roman"/>
        </w:rPr>
        <w:t>..........................</w:t>
      </w:r>
      <w:r w:rsidRPr="1CE9A9A9" w:rsidR="4183B69D">
        <w:rPr>
          <w:rFonts w:ascii="Times New Roman" w:hAnsi="Times New Roman" w:cs="Times New Roman"/>
        </w:rPr>
        <w:t xml:space="preserve">Ley, prevé que este beneficio extraordinario es otorgado a aquel trabajador que haya sufrido un accidente que le ocasione invalidez total y permanente, pero no cubre todos los supuestos que originen dicha secuela, sino que la propia norma ofrece un listado restringido o cerrado de los supuestos que determinan el otorgamiento del beneficio; en tal sentido, la reclamante no ha acreditado que su esposo se encuentra dentro de una de las causales contempladas en la norma, concluyéndose que el accidente no tiene sustento normativo de cobertura, debido que su diagnóstico no se ajustó a lo previsto en el artículo 5 del Decreto Legislativo Nro. 688, c) Se destaca que la reclamante, en su solicitud de fecha 7 de enero de 2022, presentó los informes médicos del 3 de agosto y 15 de octubre de 2021, el Informe de Alta, la Visualización del Acto Médico, la Denuncia Policial, las Boletas de Pago y el DNI del asegurado, pero sin acreditar que el asegurado se encuentra inmerso en alguna causal del artículo 5 del Decreto Legislativo Nro. 688, razón por la cual la cobertura de invalidez permanente no puede ser activada, situación que le fue comunicado mediante carta </w:t>
      </w:r>
      <w:r w:rsidRPr="1CE9A9A9" w:rsidR="0745FEE4">
        <w:rPr>
          <w:rFonts w:ascii="Times New Roman" w:hAnsi="Times New Roman" w:cs="Times New Roman"/>
        </w:rPr>
        <w:t>............................</w:t>
      </w:r>
      <w:r w:rsidRPr="1CE9A9A9" w:rsidR="4183B69D">
        <w:rPr>
          <w:rFonts w:ascii="Times New Roman" w:hAnsi="Times New Roman" w:cs="Times New Roman"/>
        </w:rPr>
        <w:t xml:space="preserve">, de fecha 24 de enero de 2022, d) De manera posterior, la reclamante, remitió un correo electrónico con fecha 8 de febrero de 2022, manifestando su disconformidad a dicho rechazo, señalando que su esposo se encontraba en calidad de “estado vegetativo - no temporal”, adjuntando, entre otros, Informe Médico de Incapacidad (18 de diciembre de 2021), </w:t>
      </w:r>
      <w:r w:rsidRPr="1CE9A9A9" w:rsidR="4183B69D">
        <w:rPr>
          <w:rFonts w:ascii="Times New Roman" w:hAnsi="Times New Roman" w:cs="Times New Roman"/>
        </w:rPr>
        <w:t>ii</w:t>
      </w:r>
      <w:r w:rsidRPr="1CE9A9A9" w:rsidR="4183B69D">
        <w:rPr>
          <w:rFonts w:ascii="Times New Roman" w:hAnsi="Times New Roman" w:cs="Times New Roman"/>
        </w:rPr>
        <w:t xml:space="preserve">) carnet de discapacidad de CONADIS, a lo cual </w:t>
      </w:r>
      <w:r w:rsidRPr="1CE9A9A9" w:rsidR="5B3820A2">
        <w:rPr>
          <w:rFonts w:ascii="Times New Roman" w:hAnsi="Times New Roman" w:cs="Times New Roman"/>
        </w:rPr>
        <w:t>...................................</w:t>
      </w:r>
      <w:r w:rsidRPr="1CE9A9A9" w:rsidR="4183B69D">
        <w:rPr>
          <w:rFonts w:ascii="Times New Roman" w:hAnsi="Times New Roman" w:cs="Times New Roman"/>
        </w:rPr>
        <w:t xml:space="preserve"> brindó una respuesta, vía correo electrónico de fecha 10 de febrero de 2022, solicitando a la reclamante que, para una reevaluación del caso, proceda con </w:t>
      </w:r>
      <w:r w:rsidRPr="1CE9A9A9" w:rsidR="4183B69D">
        <w:rPr>
          <w:rFonts w:ascii="Times New Roman" w:hAnsi="Times New Roman" w:cs="Times New Roman"/>
          <w:i w:val="1"/>
          <w:iCs w:val="1"/>
        </w:rPr>
        <w:t>“Solicitar documentación donde se evidencie el diagnóstico con CIE-10 (S06.7) y la valoración médica, donde se indique que el estado del asegurado es vegetativo”</w:t>
      </w:r>
      <w:r w:rsidRPr="1CE9A9A9" w:rsidR="4183B69D">
        <w:rPr>
          <w:rFonts w:ascii="Times New Roman" w:hAnsi="Times New Roman" w:cs="Times New Roman"/>
        </w:rPr>
        <w:t xml:space="preserve">, de lo cual no se obtuvo respuesta, y </w:t>
      </w:r>
      <w:r w:rsidRPr="1CE9A9A9" w:rsidR="4183B69D">
        <w:rPr>
          <w:rFonts w:ascii="Times New Roman" w:hAnsi="Times New Roman" w:cs="Times New Roman"/>
        </w:rPr>
        <w:t>e</w:t>
      </w:r>
      <w:r w:rsidRPr="1CE9A9A9" w:rsidR="4183B69D">
        <w:rPr>
          <w:rFonts w:ascii="Times New Roman" w:hAnsi="Times New Roman" w:cs="Times New Roman"/>
        </w:rPr>
        <w:t>) Siendo que la activación de la cobertura de invalidez permanente demanda que dicha invalidez corresponda literalmente a una de las situaciones enunciadas en el artículo 5 del Decreto Legislativo Nro. 688, se ratifica el rechazo de cobertura;</w:t>
      </w:r>
    </w:p>
    <w:p w:rsidRPr="004822F8" w:rsidR="004822F8" w:rsidP="004822F8" w:rsidRDefault="004822F8" w14:paraId="1C9E098C" w14:textId="77777777">
      <w:pPr>
        <w:pStyle w:val="Default"/>
        <w:jc w:val="both"/>
        <w:rPr>
          <w:rFonts w:ascii="Times New Roman" w:hAnsi="Times New Roman" w:cs="Times New Roman"/>
        </w:rPr>
      </w:pPr>
    </w:p>
    <w:p w:rsidRPr="004822F8" w:rsidR="004822F8" w:rsidP="004822F8" w:rsidRDefault="004822F8" w14:paraId="75E0FC79" w14:textId="5EFEE4D2">
      <w:pPr>
        <w:pStyle w:val="Default"/>
        <w:jc w:val="both"/>
        <w:rPr>
          <w:rFonts w:ascii="Times New Roman" w:hAnsi="Times New Roman" w:cs="Times New Roman"/>
        </w:rPr>
      </w:pPr>
      <w:r w:rsidRPr="1CE9A9A9" w:rsidR="4183B69D">
        <w:rPr>
          <w:rFonts w:ascii="Times New Roman" w:hAnsi="Times New Roman" w:cs="Times New Roman"/>
        </w:rPr>
        <w:t xml:space="preserve">Que, en la misma fecha de la audiencia de vista, de manera previa a ésta, </w:t>
      </w:r>
      <w:r w:rsidRPr="1CE9A9A9" w:rsidR="5B3820A2">
        <w:rPr>
          <w:rFonts w:ascii="Times New Roman" w:hAnsi="Times New Roman" w:cs="Times New Roman"/>
        </w:rPr>
        <w:t>...................................</w:t>
      </w:r>
      <w:r w:rsidRPr="1CE9A9A9" w:rsidR="4183B69D">
        <w:rPr>
          <w:rFonts w:ascii="Times New Roman" w:hAnsi="Times New Roman" w:cs="Times New Roman"/>
        </w:rPr>
        <w:t xml:space="preserve"> presentó un escrito, con documentación de respaldo, señalando que la materia de la reclamación ya había sido sometida por la reclamante al conocimiento del INDECOPI, por lo que, de conformidad con el artículo 11 del Reglamento de la DEFASEG, el colegiado había perdido competencia, correspondiendo que dispusiese el archivamiento definitivo, sin proceder a mayor análisis;</w:t>
      </w:r>
    </w:p>
    <w:p w:rsidRPr="004822F8" w:rsidR="004822F8" w:rsidP="004822F8" w:rsidRDefault="004822F8" w14:paraId="5342AC23" w14:textId="77777777">
      <w:pPr>
        <w:pStyle w:val="Default"/>
        <w:jc w:val="both"/>
        <w:rPr>
          <w:rFonts w:ascii="Times New Roman" w:hAnsi="Times New Roman" w:cs="Times New Roman"/>
        </w:rPr>
      </w:pPr>
    </w:p>
    <w:p w:rsidRPr="004822F8" w:rsidR="004822F8" w:rsidP="004822F8" w:rsidRDefault="004822F8" w14:paraId="3FD2900F" w14:textId="711DF47E">
      <w:pPr>
        <w:pStyle w:val="Default"/>
        <w:jc w:val="both"/>
        <w:rPr>
          <w:rFonts w:ascii="Times New Roman" w:hAnsi="Times New Roman" w:cs="Times New Roman"/>
        </w:rPr>
      </w:pPr>
      <w:r w:rsidRPr="1CE9A9A9" w:rsidR="4183B69D">
        <w:rPr>
          <w:rFonts w:ascii="Times New Roman" w:hAnsi="Times New Roman" w:cs="Times New Roman"/>
        </w:rPr>
        <w:t xml:space="preserve">Que, sobre la indicada cuestión previa, durante la audiencia de vista, la reclamante aceptó que, efectivamente, en su oportunidad, si bien había interpuesto una denuncia ante el INDECOPI, se había desistido finalmente de ella, atendiendo a que </w:t>
      </w:r>
      <w:r w:rsidRPr="1CE9A9A9" w:rsidR="5B3820A2">
        <w:rPr>
          <w:rFonts w:ascii="Times New Roman" w:hAnsi="Times New Roman" w:cs="Times New Roman"/>
        </w:rPr>
        <w:t>...................................</w:t>
      </w:r>
      <w:r w:rsidRPr="1CE9A9A9" w:rsidR="4183B69D">
        <w:rPr>
          <w:rFonts w:ascii="Times New Roman" w:hAnsi="Times New Roman" w:cs="Times New Roman"/>
        </w:rPr>
        <w:t xml:space="preserve"> le había comunicado que procedería al otorgamiento de cobertura, empero, que ello no se había hecho efectivo hasta el momento.  Así,</w:t>
      </w:r>
      <w:r w:rsidRPr="1CE9A9A9" w:rsidR="4183B69D">
        <w:rPr>
          <w:rFonts w:ascii="Times New Roman" w:hAnsi="Times New Roman" w:eastAsia="Calibri" w:cs="Times New Roman" w:eastAsiaTheme="minorAscii"/>
          <w:lang w:val="es-ES" w:eastAsia="en-US"/>
        </w:rPr>
        <w:t xml:space="preserve"> destacó que </w:t>
      </w:r>
      <w:r w:rsidRPr="1CE9A9A9" w:rsidR="5B3820A2">
        <w:rPr>
          <w:rFonts w:ascii="Times New Roman" w:hAnsi="Times New Roman" w:eastAsia="Calibri" w:cs="Times New Roman" w:eastAsiaTheme="minorAscii"/>
          <w:lang w:val="es-ES" w:eastAsia="en-US"/>
        </w:rPr>
        <w:t>...................................</w:t>
      </w:r>
      <w:r w:rsidRPr="1CE9A9A9" w:rsidR="4183B69D">
        <w:rPr>
          <w:rFonts w:ascii="Times New Roman" w:hAnsi="Times New Roman" w:eastAsia="Calibri" w:cs="Times New Roman" w:eastAsiaTheme="minorAscii"/>
          <w:lang w:val="es-ES" w:eastAsia="en-US"/>
        </w:rPr>
        <w:t xml:space="preserve"> ya le había comunicado sobre el otorgamiento de cobertura y que, inclusive, requerido para la suscripción de la documentación de pago correspondiente, hechos que el representante de la aseguradora negó conocer, manifestando que el área de siniestros no había informado al área legal sobre ello, por lo que se reiteraba el rechazo.  Al respecto, atendiendo a lo expresado por las partes, se otorgó a ambas un plazo especial para que pudiesen presentar documentación y/o información complementaria para mejor resolver, atendiendo a que habrían realizado gestiones y/o coordinaciones directas, no obstante encontrarse en trámite la presente reclamación;</w:t>
      </w:r>
    </w:p>
    <w:p w:rsidRPr="004822F8" w:rsidR="004822F8" w:rsidP="004822F8" w:rsidRDefault="004822F8" w14:paraId="0BED6505" w14:textId="77777777">
      <w:pPr>
        <w:pStyle w:val="Default"/>
        <w:jc w:val="both"/>
        <w:rPr>
          <w:rFonts w:ascii="Times New Roman" w:hAnsi="Times New Roman" w:cs="Times New Roman" w:eastAsiaTheme="minorHAnsi"/>
          <w:lang w:val="es-ES" w:eastAsia="en-US"/>
        </w:rPr>
      </w:pPr>
    </w:p>
    <w:p w:rsidRPr="004822F8" w:rsidR="004822F8" w:rsidP="1CE9A9A9" w:rsidRDefault="004822F8" w14:paraId="2D4934ED" w14:textId="09532E60">
      <w:pPr>
        <w:pStyle w:val="Default"/>
        <w:jc w:val="both"/>
        <w:rPr>
          <w:rFonts w:ascii="Times New Roman" w:hAnsi="Times New Roman" w:eastAsia="Calibri" w:cs="Times New Roman" w:eastAsiaTheme="minorAscii"/>
          <w:lang w:val="es-ES" w:eastAsia="en-US"/>
        </w:rPr>
      </w:pPr>
      <w:r w:rsidRPr="1CE9A9A9" w:rsidR="4183B69D">
        <w:rPr>
          <w:rFonts w:ascii="Times New Roman" w:hAnsi="Times New Roman" w:eastAsia="Calibri" w:cs="Times New Roman" w:eastAsiaTheme="minorAscii"/>
          <w:lang w:val="es-ES" w:eastAsia="en-US"/>
        </w:rPr>
        <w:t xml:space="preserve">Que, atendiendo a lo señalado precedentemente, con fecha 25 de mayo de 2022, la reclamante cumplió con presentar documentación complementaria para mejor resolver, sobre la liquidación del siniestro por parte de la aseguradora, órdenes de pago </w:t>
      </w:r>
      <w:r w:rsidRPr="1CE9A9A9" w:rsidR="06112820">
        <w:rPr>
          <w:rFonts w:ascii="Times New Roman" w:hAnsi="Times New Roman" w:eastAsia="Calibri" w:cs="Times New Roman" w:eastAsiaTheme="minorAscii"/>
          <w:lang w:val="es-ES" w:eastAsia="en-US"/>
        </w:rPr>
        <w:t>............................</w:t>
      </w:r>
      <w:r w:rsidRPr="1CE9A9A9" w:rsidR="4183B69D">
        <w:rPr>
          <w:rFonts w:ascii="Times New Roman" w:hAnsi="Times New Roman" w:eastAsia="Calibri" w:cs="Times New Roman" w:eastAsiaTheme="minorAscii"/>
          <w:lang w:val="es-ES" w:eastAsia="en-US"/>
        </w:rPr>
        <w:t xml:space="preserve"> (por la suma de S/.100,313.28, por indemnización por causa de invalidez permanente total por accidente, seguro de Vida Ley) y </w:t>
      </w:r>
      <w:r w:rsidRPr="1CE9A9A9" w:rsidR="41CAD2ED">
        <w:rPr>
          <w:rFonts w:ascii="Times New Roman" w:hAnsi="Times New Roman" w:eastAsia="Calibri" w:cs="Times New Roman" w:eastAsiaTheme="minorAscii"/>
          <w:lang w:val="es-ES" w:eastAsia="en-US"/>
        </w:rPr>
        <w:t>............................</w:t>
      </w:r>
      <w:r w:rsidRPr="1CE9A9A9" w:rsidR="4183B69D">
        <w:rPr>
          <w:rFonts w:ascii="Times New Roman" w:hAnsi="Times New Roman" w:eastAsia="Calibri" w:cs="Times New Roman" w:eastAsiaTheme="minorAscii"/>
          <w:lang w:val="es-ES" w:eastAsia="en-US"/>
        </w:rPr>
        <w:t xml:space="preserve"> (por la suma de S/. 37.37, por intereses legales), extendidas por </w:t>
      </w:r>
      <w:r w:rsidRPr="1CE9A9A9" w:rsidR="5B3820A2">
        <w:rPr>
          <w:rFonts w:ascii="Times New Roman" w:hAnsi="Times New Roman" w:eastAsia="Calibri" w:cs="Times New Roman" w:eastAsiaTheme="minorAscii"/>
          <w:lang w:val="es-ES" w:eastAsia="en-US"/>
        </w:rPr>
        <w:t>...................................</w:t>
      </w:r>
      <w:r w:rsidRPr="1CE9A9A9" w:rsidR="4183B69D">
        <w:rPr>
          <w:rFonts w:ascii="Times New Roman" w:hAnsi="Times New Roman" w:eastAsia="Calibri" w:cs="Times New Roman" w:eastAsiaTheme="minorAscii"/>
          <w:lang w:val="es-ES" w:eastAsia="en-US"/>
        </w:rPr>
        <w:t xml:space="preserve"> a nombre del asegurado, don </w:t>
      </w:r>
      <w:r w:rsidRPr="1CE9A9A9" w:rsidR="773A7D52">
        <w:rPr>
          <w:rFonts w:ascii="Times New Roman" w:hAnsi="Times New Roman" w:eastAsia="Calibri" w:cs="Times New Roman" w:eastAsiaTheme="minorAscii"/>
          <w:lang w:val="es-ES" w:eastAsia="en-US"/>
        </w:rPr>
        <w:t>...................................</w:t>
      </w:r>
      <w:r w:rsidRPr="1CE9A9A9" w:rsidR="4183B69D">
        <w:rPr>
          <w:rFonts w:ascii="Times New Roman" w:hAnsi="Times New Roman" w:eastAsia="Calibri" w:cs="Times New Roman" w:eastAsiaTheme="minorAscii"/>
          <w:lang w:val="es-ES" w:eastAsia="en-US"/>
        </w:rPr>
        <w:t>, y suscritas a ruego por la reclamante, ambas con fecha 3 de mayo de 2022; no obstante, la reclamante no ha acreditado documentalmente su desistimiento a la denuncia interpuesta ante el INDECOPI;</w:t>
      </w:r>
    </w:p>
    <w:p w:rsidRPr="004822F8" w:rsidR="004822F8" w:rsidP="004822F8" w:rsidRDefault="004822F8" w14:paraId="6C804635" w14:textId="77777777">
      <w:pPr>
        <w:pStyle w:val="Default"/>
        <w:jc w:val="both"/>
        <w:rPr>
          <w:rFonts w:ascii="Times New Roman" w:hAnsi="Times New Roman" w:cs="Times New Roman" w:eastAsiaTheme="minorHAnsi"/>
          <w:lang w:val="es-ES" w:eastAsia="en-US"/>
        </w:rPr>
      </w:pPr>
    </w:p>
    <w:p w:rsidRPr="004822F8" w:rsidR="004822F8" w:rsidP="004822F8" w:rsidRDefault="004822F8" w14:paraId="10123E7E" w14:textId="77777777">
      <w:pPr>
        <w:pStyle w:val="Default"/>
        <w:jc w:val="both"/>
        <w:rPr>
          <w:rFonts w:ascii="Times New Roman" w:hAnsi="Times New Roman" w:cs="Times New Roman" w:eastAsiaTheme="minorHAnsi"/>
          <w:lang w:val="es-ES" w:eastAsia="en-US"/>
        </w:rPr>
      </w:pPr>
      <w:r w:rsidRPr="004822F8">
        <w:rPr>
          <w:rFonts w:ascii="Times New Roman" w:hAnsi="Times New Roman" w:cs="Times New Roman" w:eastAsiaTheme="minorHAnsi"/>
          <w:lang w:val="es-ES" w:eastAsia="en-US"/>
        </w:rPr>
        <w:t>Que, la aseguradora no se ha pronunciado sobre la documentación presentada por la reclamante;</w:t>
      </w:r>
    </w:p>
    <w:p w:rsidRPr="004822F8" w:rsidR="004822F8" w:rsidP="004822F8" w:rsidRDefault="004822F8" w14:paraId="26F41628" w14:textId="77777777">
      <w:pPr>
        <w:jc w:val="both"/>
        <w:rPr>
          <w:rFonts w:eastAsiaTheme="minorHAnsi"/>
          <w:lang w:val="fr-FR"/>
        </w:rPr>
      </w:pPr>
    </w:p>
    <w:p w:rsidRPr="004822F8" w:rsidR="004822F8" w:rsidP="004822F8" w:rsidRDefault="004822F8" w14:paraId="7D02C0B6" w14:textId="77777777">
      <w:pPr>
        <w:jc w:val="both"/>
        <w:rPr>
          <w:lang w:val="es-PE"/>
        </w:rPr>
      </w:pPr>
      <w:r w:rsidRPr="004822F8">
        <w:rPr>
          <w:lang w:val="es-PE"/>
        </w:rPr>
        <w:t>Que, a la fecha</w:t>
      </w:r>
      <w:r w:rsidRPr="004822F8">
        <w:rPr>
          <w:bCs/>
          <w:lang w:val="es-PE"/>
        </w:rPr>
        <w:t>,</w:t>
      </w:r>
      <w:r w:rsidRPr="004822F8">
        <w:rPr>
          <w:lang w:val="es-PE"/>
        </w:rPr>
        <w:t xml:space="preserve"> el estado del proceso permite que este colegiado, competente para conocer sobre la reclamación, pueda expedir su resolución, sobre la base de la información y de los documentos que obran en el expediente;</w:t>
      </w:r>
    </w:p>
    <w:p w:rsidRPr="004822F8" w:rsidR="004822F8" w:rsidP="004822F8" w:rsidRDefault="004822F8" w14:paraId="6DA8118E" w14:textId="77777777">
      <w:pPr>
        <w:jc w:val="both"/>
        <w:rPr>
          <w:b/>
          <w:bCs/>
          <w:lang w:val="es-PE"/>
        </w:rPr>
      </w:pPr>
    </w:p>
    <w:p w:rsidRPr="004822F8" w:rsidR="004822F8" w:rsidP="004822F8" w:rsidRDefault="004822F8" w14:paraId="63B67623" w14:textId="77777777">
      <w:pPr>
        <w:jc w:val="both"/>
        <w:rPr>
          <w:lang w:val="es-PE"/>
        </w:rPr>
      </w:pPr>
      <w:r w:rsidRPr="004822F8">
        <w:rPr>
          <w:b/>
          <w:bCs/>
          <w:lang w:val="es-PE"/>
        </w:rPr>
        <w:t>Considerando:</w:t>
      </w:r>
    </w:p>
    <w:p w:rsidRPr="004822F8" w:rsidR="004822F8" w:rsidP="004822F8" w:rsidRDefault="004822F8" w14:paraId="69DEF8CD" w14:textId="77777777">
      <w:pPr>
        <w:jc w:val="both"/>
        <w:rPr>
          <w:lang w:val="es-PE"/>
        </w:rPr>
      </w:pPr>
    </w:p>
    <w:p w:rsidRPr="004822F8" w:rsidR="004822F8" w:rsidP="004822F8" w:rsidRDefault="004822F8" w14:paraId="29FBB361" w14:textId="77777777">
      <w:pPr>
        <w:jc w:val="both"/>
        <w:rPr>
          <w:lang w:val="es-PE"/>
        </w:rPr>
      </w:pPr>
      <w:r w:rsidRPr="004822F8">
        <w:rPr>
          <w:b/>
          <w:u w:val="single"/>
          <w:lang w:val="es-PE"/>
        </w:rPr>
        <w:t>Primero</w:t>
      </w:r>
      <w:r w:rsidRPr="004822F8">
        <w:rPr>
          <w:b/>
          <w:lang w:val="es-PE"/>
        </w:rPr>
        <w:t xml:space="preserve">: </w:t>
      </w:r>
      <w:r w:rsidRPr="004822F8">
        <w:rPr>
          <w:lang w:val="es-PE"/>
        </w:rPr>
        <w:t>Conforme a su Reglamento, la</w:t>
      </w:r>
      <w:r w:rsidRPr="004822F8">
        <w:rPr>
          <w:b/>
          <w:bCs/>
          <w:lang w:val="es-PE"/>
        </w:rPr>
        <w:t xml:space="preserve"> </w:t>
      </w:r>
      <w:r w:rsidRPr="004822F8">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4822F8" w:rsidR="004822F8" w:rsidP="004822F8" w:rsidRDefault="004822F8" w14:paraId="381D6116" w14:textId="77777777">
      <w:pPr>
        <w:jc w:val="both"/>
        <w:rPr>
          <w:lang w:val="es-PE"/>
        </w:rPr>
      </w:pPr>
    </w:p>
    <w:p w:rsidRPr="004822F8" w:rsidR="004822F8" w:rsidP="004822F8" w:rsidRDefault="004822F8" w14:paraId="5A226275" w14:textId="77777777">
      <w:pPr>
        <w:jc w:val="both"/>
        <w:rPr>
          <w:bCs/>
          <w:lang w:val="es-PE"/>
        </w:rPr>
      </w:pPr>
      <w:r w:rsidRPr="004822F8">
        <w:rPr>
          <w:b/>
          <w:bCs/>
          <w:u w:val="single"/>
          <w:lang w:val="es-PE"/>
        </w:rPr>
        <w:t>Segundo</w:t>
      </w:r>
      <w:r w:rsidRPr="004822F8">
        <w:rPr>
          <w:b/>
          <w:bCs/>
          <w:lang w:val="es-PE"/>
        </w:rPr>
        <w:t>:</w:t>
      </w:r>
      <w:r w:rsidRPr="004822F8">
        <w:rPr>
          <w:bCs/>
          <w:lang w:val="es-PE"/>
        </w:rPr>
        <w:t xml:space="preserve"> </w:t>
      </w:r>
      <w:r w:rsidRPr="004822F8">
        <w:rPr>
          <w:lang w:val="es-PE"/>
        </w:rPr>
        <w:t xml:space="preserve">Asimismo, </w:t>
      </w:r>
      <w:proofErr w:type="gramStart"/>
      <w:r w:rsidRPr="004822F8">
        <w:rPr>
          <w:lang w:val="es-PE"/>
        </w:rPr>
        <w:t>de acuerdo a</w:t>
      </w:r>
      <w:proofErr w:type="gramEnd"/>
      <w:r w:rsidRPr="004822F8">
        <w:rPr>
          <w:lang w:val="es-PE"/>
        </w:rPr>
        <w:t xml:space="preserve"> </w:t>
      </w:r>
      <w:r w:rsidRPr="004822F8">
        <w:rPr>
          <w:bCs/>
          <w:lang w:val="es-PE"/>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w:t>
      </w:r>
    </w:p>
    <w:p w:rsidRPr="004822F8" w:rsidR="004822F8" w:rsidP="004822F8" w:rsidRDefault="004822F8" w14:paraId="7427F7B2" w14:textId="77777777">
      <w:pPr>
        <w:jc w:val="both"/>
        <w:rPr>
          <w:bCs/>
          <w:lang w:val="es-PE"/>
        </w:rPr>
      </w:pPr>
    </w:p>
    <w:p w:rsidRPr="004822F8" w:rsidR="004822F8" w:rsidP="004822F8" w:rsidRDefault="004822F8" w14:paraId="3C5655A9" w14:textId="77777777">
      <w:pPr>
        <w:jc w:val="both"/>
        <w:rPr>
          <w:bCs/>
          <w:lang w:val="es-PE"/>
        </w:rPr>
      </w:pPr>
      <w:r w:rsidRPr="004822F8">
        <w:rPr>
          <w:bCs/>
          <w:lang w:val="es-PE"/>
        </w:rPr>
        <w:t>En consecuencia, todas aquellas reclamaciones por materias distintas al otorgamiento de cobertura y pago de indemnizaciones, como pueden las pretensiones reparatorias por daños y perjuicios, por reembolso de gastos, o relativas a idoneidad de servicios, son ajenas a la competencia funcional de esta Defensoría, correspondiendo que la respectiva pretensión se ejerza ante la instancia que corresponda.</w:t>
      </w:r>
    </w:p>
    <w:p w:rsidRPr="004822F8" w:rsidR="004822F8" w:rsidP="004822F8" w:rsidRDefault="004822F8" w14:paraId="572100BF" w14:textId="77777777">
      <w:pPr>
        <w:tabs>
          <w:tab w:val="left" w:pos="709"/>
          <w:tab w:val="left" w:pos="2160"/>
        </w:tabs>
        <w:jc w:val="both"/>
        <w:rPr>
          <w:lang w:val="es-PE"/>
        </w:rPr>
      </w:pPr>
    </w:p>
    <w:p w:rsidRPr="004822F8" w:rsidR="004822F8" w:rsidP="004822F8" w:rsidRDefault="004822F8" w14:paraId="28267CC0" w14:textId="77777777">
      <w:pPr>
        <w:jc w:val="both"/>
      </w:pPr>
      <w:r w:rsidRPr="004822F8">
        <w:rPr>
          <w:b/>
          <w:bCs/>
          <w:u w:val="single"/>
          <w:lang w:val="es-PE"/>
        </w:rPr>
        <w:t>Tercero</w:t>
      </w:r>
      <w:r w:rsidRPr="004822F8">
        <w:rPr>
          <w:b/>
          <w:bCs/>
          <w:lang w:val="es-PE"/>
        </w:rPr>
        <w:t>:</w:t>
      </w:r>
      <w:r w:rsidRPr="004822F8">
        <w:rPr>
          <w:lang w:val="es-PE"/>
        </w:rPr>
        <w:t xml:space="preserve"> Que, de acuerdo a la Ley Nro. </w:t>
      </w:r>
      <w:r w:rsidRPr="004822F8">
        <w:t xml:space="preserve">29946 – Ley del Contrato de Seguro, norma legal vigente con ocasión de la celebración del contrato al cual se contrae el presente caso, </w:t>
      </w:r>
      <w:r w:rsidRPr="004822F8">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4822F8" w:rsidR="004822F8" w:rsidP="004822F8" w:rsidRDefault="004822F8" w14:paraId="678C91A9" w14:textId="77777777">
      <w:pPr>
        <w:jc w:val="both"/>
        <w:rPr>
          <w:b/>
          <w:u w:val="single"/>
          <w:lang w:val="es-PE"/>
        </w:rPr>
      </w:pPr>
    </w:p>
    <w:p w:rsidRPr="004822F8" w:rsidR="004822F8" w:rsidP="004822F8" w:rsidRDefault="004822F8" w14:paraId="16BCFE47" w14:textId="77777777">
      <w:pPr>
        <w:jc w:val="both"/>
        <w:rPr>
          <w:lang w:val="es-PE"/>
        </w:rPr>
      </w:pPr>
      <w:r w:rsidRPr="004822F8">
        <w:rPr>
          <w:b/>
          <w:u w:val="single"/>
          <w:lang w:val="es-PE"/>
        </w:rPr>
        <w:t>Cuarto</w:t>
      </w:r>
      <w:r w:rsidRPr="004822F8">
        <w:rPr>
          <w:b/>
          <w:lang w:val="es-PE"/>
        </w:rPr>
        <w:t>:</w:t>
      </w:r>
      <w:r w:rsidRPr="004822F8">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4822F8" w:rsidR="004822F8" w:rsidP="004822F8" w:rsidRDefault="004822F8" w14:paraId="6B73A343" w14:textId="77777777">
      <w:pPr>
        <w:jc w:val="both"/>
        <w:rPr>
          <w:bCs/>
        </w:rPr>
      </w:pPr>
    </w:p>
    <w:p w:rsidRPr="004822F8" w:rsidR="004822F8" w:rsidP="004822F8" w:rsidRDefault="004822F8" w14:paraId="4E4B2764" w14:textId="77777777">
      <w:pPr>
        <w:jc w:val="both"/>
      </w:pPr>
      <w:r w:rsidRPr="004822F8">
        <w:rPr>
          <w:b/>
          <w:bCs/>
          <w:u w:val="single"/>
          <w:lang w:val="es-PE"/>
        </w:rPr>
        <w:t>Quinto</w:t>
      </w:r>
      <w:r w:rsidRPr="004822F8">
        <w:rPr>
          <w:b/>
          <w:bCs/>
          <w:lang w:val="es-PE"/>
        </w:rPr>
        <w:t xml:space="preserve">: </w:t>
      </w:r>
      <w:r w:rsidRPr="004822F8">
        <w:rPr>
          <w:bCs/>
          <w:lang w:val="es-PE"/>
        </w:rPr>
        <w:t>Que, conforme al</w:t>
      </w:r>
      <w:r w:rsidRPr="004822F8">
        <w:rPr>
          <w:b/>
          <w:bCs/>
          <w:lang w:val="es-PE"/>
        </w:rPr>
        <w:t xml:space="preserve"> </w:t>
      </w:r>
      <w:r w:rsidRPr="004822F8">
        <w:rPr>
          <w:lang w:val="es-PE"/>
        </w:rPr>
        <w:t>artículo 196 del Código Procesal Civil, la carga de la prueba corresponde a quien afirma hechos que configuran su pretensión, o a quien los contradice alegando nuevos hechos, salvo disposición legal diferente.</w:t>
      </w:r>
    </w:p>
    <w:p w:rsidRPr="004822F8" w:rsidR="004822F8" w:rsidP="004822F8" w:rsidRDefault="004822F8" w14:paraId="34331074" w14:textId="77777777">
      <w:pPr>
        <w:tabs>
          <w:tab w:val="left" w:pos="2160"/>
        </w:tabs>
        <w:jc w:val="both"/>
        <w:rPr>
          <w:rFonts w:eastAsiaTheme="minorHAnsi"/>
          <w:lang w:val="es-PE"/>
        </w:rPr>
      </w:pPr>
    </w:p>
    <w:p w:rsidRPr="004822F8" w:rsidR="004822F8" w:rsidP="1CE9A9A9" w:rsidRDefault="004822F8" w14:paraId="518F1A03" w14:textId="485DBE31">
      <w:pPr>
        <w:tabs>
          <w:tab w:val="left" w:pos="2160"/>
        </w:tabs>
        <w:jc w:val="both"/>
        <w:rPr>
          <w:lang w:val="es-PE"/>
        </w:rPr>
      </w:pPr>
      <w:r w:rsidRPr="1CE9A9A9" w:rsidR="4183B69D">
        <w:rPr>
          <w:b w:val="1"/>
          <w:bCs w:val="1"/>
          <w:u w:val="single"/>
          <w:lang w:val="es-PE"/>
        </w:rPr>
        <w:t>Sexto</w:t>
      </w:r>
      <w:r w:rsidRPr="1CE9A9A9" w:rsidR="4183B69D">
        <w:rPr>
          <w:b w:val="1"/>
          <w:bCs w:val="1"/>
          <w:lang w:val="es-PE"/>
        </w:rPr>
        <w:t xml:space="preserve">: </w:t>
      </w:r>
      <w:r w:rsidRPr="1CE9A9A9" w:rsidR="4183B69D">
        <w:rPr>
          <w:lang w:val="es-PE"/>
        </w:rPr>
        <w:t xml:space="preserve">Sobre la base de los términos contenidos en la reclamación, las cuestiones controvertidas radican en determinar, en primer lugar y como cuestión previa, si la DEFASEG mantiene competencia para conocer y resolver sobre la presente reclamación, </w:t>
      </w:r>
      <w:r w:rsidRPr="1CE9A9A9" w:rsidR="4183B69D">
        <w:rPr>
          <w:lang w:val="es-PE"/>
        </w:rPr>
        <w:t>y</w:t>
      </w:r>
      <w:r w:rsidRPr="1CE9A9A9" w:rsidR="4183B69D">
        <w:rPr>
          <w:lang w:val="es-PE"/>
        </w:rPr>
        <w:t xml:space="preserve"> en segundo lugar, subordinado a lo que se concluya precedentemente, si se encuentra justificado o no el rechazo de cobertura comunicado en su oportunidad por </w:t>
      </w:r>
      <w:r w:rsidRPr="1CE9A9A9" w:rsidR="5B3820A2">
        <w:rPr>
          <w:lang w:val="es-PE"/>
        </w:rPr>
        <w:t>..</w:t>
      </w:r>
    </w:p>
    <w:p w:rsidRPr="004822F8" w:rsidR="004822F8" w:rsidP="1CE9A9A9" w:rsidRDefault="004822F8" w14:paraId="63355CF6" w14:textId="6B156413">
      <w:pPr>
        <w:tabs>
          <w:tab w:val="left" w:pos="2160"/>
        </w:tabs>
        <w:jc w:val="both"/>
        <w:rPr>
          <w:lang w:val="es-PE"/>
        </w:rPr>
      </w:pPr>
    </w:p>
    <w:p w:rsidRPr="004822F8" w:rsidR="004822F8" w:rsidP="004822F8" w:rsidRDefault="004822F8" w14:paraId="260B05EA" w14:textId="0164EBE3">
      <w:pPr>
        <w:tabs>
          <w:tab w:val="left" w:pos="2160"/>
        </w:tabs>
        <w:jc w:val="both"/>
        <w:rPr>
          <w:lang w:val="es-PE"/>
        </w:rPr>
      </w:pPr>
      <w:r w:rsidRPr="1CE9A9A9" w:rsidR="5B3820A2">
        <w:rPr>
          <w:lang w:val="es-PE"/>
        </w:rPr>
        <w:t>.................................</w:t>
      </w:r>
      <w:r w:rsidRPr="1CE9A9A9" w:rsidR="4183B69D">
        <w:rPr>
          <w:lang w:val="es-PE"/>
        </w:rPr>
        <w:t>.</w:t>
      </w:r>
    </w:p>
    <w:p w:rsidRPr="004822F8" w:rsidR="004822F8" w:rsidP="004822F8" w:rsidRDefault="004822F8" w14:paraId="0FEE9856" w14:textId="77777777">
      <w:pPr>
        <w:tabs>
          <w:tab w:val="left" w:pos="2160"/>
        </w:tabs>
        <w:jc w:val="both"/>
        <w:rPr>
          <w:lang w:val="es-PE"/>
        </w:rPr>
      </w:pPr>
    </w:p>
    <w:p w:rsidRPr="004822F8" w:rsidR="004822F8" w:rsidP="004822F8" w:rsidRDefault="004822F8" w14:paraId="4F56C2CE" w14:textId="1C8383E7">
      <w:pPr>
        <w:tabs>
          <w:tab w:val="left" w:pos="709"/>
          <w:tab w:val="left" w:pos="2160"/>
        </w:tabs>
        <w:ind w:left="705" w:hanging="705"/>
        <w:jc w:val="both"/>
        <w:rPr>
          <w:lang w:val="es-PE"/>
        </w:rPr>
      </w:pPr>
      <w:r w:rsidRPr="1CE9A9A9" w:rsidR="4183B69D">
        <w:rPr>
          <w:lang w:val="es-PE"/>
        </w:rPr>
        <w:t>6.1.</w:t>
      </w:r>
      <w:r>
        <w:tab/>
      </w:r>
      <w:r w:rsidRPr="1CE9A9A9" w:rsidR="5B3820A2">
        <w:rPr>
          <w:lang w:val="es-PE"/>
        </w:rPr>
        <w:t>...................................</w:t>
      </w:r>
      <w:r w:rsidRPr="1CE9A9A9" w:rsidR="4183B69D">
        <w:rPr>
          <w:lang w:val="es-PE"/>
        </w:rPr>
        <w:t xml:space="preserve"> </w:t>
      </w:r>
      <w:r w:rsidRPr="1CE9A9A9" w:rsidR="4183B69D">
        <w:rPr>
          <w:lang w:val="es-PE"/>
        </w:rPr>
        <w:t xml:space="preserve">ha demostrado que en su oportunidad se admitió la denuncia en su contra, interpuesta por la reclamante ante el INDECOPI (expediente Nro. 0291-2022/CC1, denuncia admitida a trámite mediante Resolución Nro. 3, de fecha 21 de marzo de 2022, de la Secretaría Técnica de la Comisión de Protección al Consumidor 1), siendo que la reclamante no ha probado su pretendido desistimiento.  Esas circunstancias, serían suficientes para concluir que este colegiado carece de competencia, por estar el respectivo contencioso sometido al conocimiento de la autoridad administrativa competente, del INDECOPI. </w:t>
      </w:r>
    </w:p>
    <w:p w:rsidRPr="004822F8" w:rsidR="004822F8" w:rsidP="004822F8" w:rsidRDefault="004822F8" w14:paraId="4E7C2F14" w14:textId="77777777">
      <w:pPr>
        <w:tabs>
          <w:tab w:val="left" w:pos="709"/>
          <w:tab w:val="left" w:pos="2160"/>
        </w:tabs>
        <w:ind w:left="705" w:hanging="705"/>
        <w:jc w:val="both"/>
        <w:rPr>
          <w:lang w:val="es-PE"/>
        </w:rPr>
      </w:pPr>
    </w:p>
    <w:p w:rsidRPr="004822F8" w:rsidR="004822F8" w:rsidP="004822F8" w:rsidRDefault="004822F8" w14:paraId="0D26EEBB" w14:textId="13714131">
      <w:pPr>
        <w:tabs>
          <w:tab w:val="left" w:pos="709"/>
          <w:tab w:val="left" w:pos="2160"/>
        </w:tabs>
        <w:ind w:left="705" w:hanging="705"/>
        <w:jc w:val="both"/>
        <w:rPr>
          <w:lang w:val="es-PE"/>
        </w:rPr>
      </w:pPr>
      <w:r w:rsidRPr="1CE9A9A9" w:rsidR="4183B69D">
        <w:rPr>
          <w:lang w:val="es-PE"/>
        </w:rPr>
        <w:t>6.2.</w:t>
      </w:r>
      <w:r>
        <w:tab/>
      </w:r>
      <w:r w:rsidRPr="1CE9A9A9" w:rsidR="4183B69D">
        <w:rPr>
          <w:lang w:val="es-PE"/>
        </w:rPr>
        <w:t xml:space="preserve">Sin embargo, debe considerarse que, pese a que la reclamante no ha presentado su pretendido desistimiento, lo cierto es que la aseguradora habría atendido la solicitud de cobertura presentada; conforme a ello no se trata </w:t>
      </w:r>
      <w:r w:rsidRPr="1CE9A9A9" w:rsidR="4183B69D">
        <w:rPr>
          <w:lang w:val="es-PE"/>
        </w:rPr>
        <w:t>que</w:t>
      </w:r>
      <w:r w:rsidRPr="1CE9A9A9" w:rsidR="4183B69D">
        <w:rPr>
          <w:lang w:val="es-PE"/>
        </w:rPr>
        <w:t xml:space="preserve"> la controversia sobre el otorgamiento de cobertura haya sido sometido finalmente a la decisión del INDECOPI, sino que ya no habría controversia, por haberse realizado actos concluyentes por los que </w:t>
      </w:r>
      <w:r w:rsidRPr="1CE9A9A9" w:rsidR="5B3820A2">
        <w:rPr>
          <w:lang w:val="es-PE"/>
        </w:rPr>
        <w:t>...................................</w:t>
      </w:r>
      <w:r w:rsidRPr="1CE9A9A9" w:rsidR="4183B69D">
        <w:rPr>
          <w:lang w:val="es-PE"/>
        </w:rPr>
        <w:t xml:space="preserve"> accede al otorgamiento de cobertura.</w:t>
      </w:r>
    </w:p>
    <w:p w:rsidRPr="004822F8" w:rsidR="004822F8" w:rsidP="004822F8" w:rsidRDefault="004822F8" w14:paraId="29A134F5" w14:textId="77777777">
      <w:pPr>
        <w:tabs>
          <w:tab w:val="left" w:pos="709"/>
          <w:tab w:val="left" w:pos="2160"/>
        </w:tabs>
        <w:ind w:left="705" w:hanging="705"/>
        <w:jc w:val="both"/>
        <w:rPr>
          <w:lang w:val="es-PE"/>
        </w:rPr>
      </w:pPr>
    </w:p>
    <w:p w:rsidRPr="004822F8" w:rsidR="004822F8" w:rsidP="004822F8" w:rsidRDefault="004822F8" w14:paraId="2879573F" w14:textId="77777777">
      <w:pPr>
        <w:tabs>
          <w:tab w:val="left" w:pos="709"/>
          <w:tab w:val="left" w:pos="2160"/>
        </w:tabs>
        <w:ind w:left="705" w:hanging="705"/>
        <w:jc w:val="both"/>
        <w:rPr>
          <w:lang w:val="es-PE"/>
        </w:rPr>
      </w:pPr>
      <w:r w:rsidRPr="004822F8">
        <w:rPr>
          <w:lang w:val="es-PE"/>
        </w:rPr>
        <w:t>6.3.</w:t>
      </w:r>
      <w:r w:rsidRPr="004822F8">
        <w:rPr>
          <w:lang w:val="es-PE"/>
        </w:rPr>
        <w:tab/>
      </w:r>
      <w:r w:rsidRPr="004822F8">
        <w:rPr>
          <w:lang w:val="es-PE"/>
        </w:rPr>
        <w:t>Conforme a lo anterior, no subsistiendo un rechazo de cobertura, por haberse accedido finalmente por la aseguradora a pagar la indemnización correspondiente (por invalidez total permanente del asegurado), manteniendo su competencia esta Defensoría, la reclamación devendría en improcedente, ya que el rechazo inicial habría quedado sin efecto.</w:t>
      </w:r>
    </w:p>
    <w:p w:rsidRPr="004822F8" w:rsidR="004822F8" w:rsidP="004822F8" w:rsidRDefault="004822F8" w14:paraId="5214E739" w14:textId="77777777">
      <w:pPr>
        <w:tabs>
          <w:tab w:val="left" w:pos="709"/>
          <w:tab w:val="left" w:pos="2160"/>
        </w:tabs>
        <w:ind w:left="705" w:hanging="705"/>
        <w:jc w:val="both"/>
        <w:rPr>
          <w:lang w:val="es-PE"/>
        </w:rPr>
      </w:pPr>
    </w:p>
    <w:p w:rsidRPr="004822F8" w:rsidR="004822F8" w:rsidP="1CE9A9A9" w:rsidRDefault="004822F8" w14:paraId="06F75FA9" w14:textId="064CE497">
      <w:pPr>
        <w:tabs>
          <w:tab w:val="left" w:pos="709"/>
          <w:tab w:val="left" w:pos="2160"/>
        </w:tabs>
        <w:ind w:left="705" w:hanging="705"/>
        <w:jc w:val="both"/>
        <w:rPr>
          <w:rFonts w:eastAsia="Calibri" w:eastAsiaTheme="minorAscii"/>
          <w:lang w:eastAsia="en-US"/>
        </w:rPr>
      </w:pPr>
      <w:r w:rsidRPr="1CE9A9A9" w:rsidR="4183B69D">
        <w:rPr>
          <w:lang w:val="es-PE"/>
        </w:rPr>
        <w:t>6.4.</w:t>
      </w:r>
      <w:r>
        <w:tab/>
      </w:r>
      <w:r w:rsidRPr="1CE9A9A9" w:rsidR="4183B69D">
        <w:rPr>
          <w:lang w:val="es-PE"/>
        </w:rPr>
        <w:t xml:space="preserve">No </w:t>
      </w:r>
      <w:r w:rsidRPr="1CE9A9A9" w:rsidR="4183B69D">
        <w:rPr>
          <w:lang w:val="es-PE"/>
        </w:rPr>
        <w:t>obstante</w:t>
      </w:r>
      <w:r w:rsidRPr="1CE9A9A9" w:rsidR="4183B69D">
        <w:rPr>
          <w:lang w:val="es-PE"/>
        </w:rPr>
        <w:t xml:space="preserve"> lo anterior, debe destacarse que, según lo tratado en la audiencia de vista, la reclamante no sólo habría pretendido el otorgamiento de cobertura, sino que el pago indemnizatorio sea realizado a favor de la reclamante, quien sustenta los gastos relativos al estado de salud del asegurado. </w:t>
      </w:r>
      <w:r w:rsidRPr="1CE9A9A9" w:rsidR="5B3820A2">
        <w:rPr>
          <w:lang w:val="es-PE"/>
        </w:rPr>
        <w:t>...................................</w:t>
      </w:r>
      <w:r w:rsidRPr="1CE9A9A9" w:rsidR="4183B69D">
        <w:rPr>
          <w:lang w:val="es-PE"/>
        </w:rPr>
        <w:t xml:space="preserve"> ha dispuesto que el pago de la indemnización derivada del otorgamiento de cobertura se realice a nombre del asegurado (</w:t>
      </w:r>
      <w:r w:rsidR="4183B69D">
        <w:rPr/>
        <w:t xml:space="preserve">órdenes de pago </w:t>
      </w:r>
      <w:r w:rsidR="06112820">
        <w:rPr/>
        <w:t>............................</w:t>
      </w:r>
      <w:r w:rsidR="4183B69D">
        <w:rPr/>
        <w:t xml:space="preserve">, por S/.100,313.28, por indemnización por causa de invalidez permanente total por accidente, y </w:t>
      </w:r>
      <w:r w:rsidR="41CAD2ED">
        <w:rPr/>
        <w:t>............................</w:t>
      </w:r>
      <w:r w:rsidR="4183B69D">
        <w:rPr/>
        <w:t xml:space="preserve">, por S/. </w:t>
      </w:r>
      <w:r w:rsidR="4183B69D">
        <w:rPr/>
        <w:t>37.37, por intereses legales), de manera que la controversia estaría reducida actualmente sobre a dicho aspecto operativo.</w:t>
      </w:r>
    </w:p>
    <w:p w:rsidRPr="004822F8" w:rsidR="004822F8" w:rsidP="004822F8" w:rsidRDefault="004822F8" w14:paraId="5B1D83BA" w14:textId="77777777">
      <w:pPr>
        <w:tabs>
          <w:tab w:val="left" w:pos="709"/>
          <w:tab w:val="left" w:pos="2160"/>
        </w:tabs>
        <w:ind w:left="705" w:hanging="705"/>
        <w:jc w:val="both"/>
      </w:pPr>
    </w:p>
    <w:p w:rsidRPr="004822F8" w:rsidR="004822F8" w:rsidP="004822F8" w:rsidRDefault="004822F8" w14:paraId="16534C4B" w14:textId="4AC93342">
      <w:pPr>
        <w:tabs>
          <w:tab w:val="left" w:pos="709"/>
          <w:tab w:val="left" w:pos="2160"/>
        </w:tabs>
        <w:ind w:left="705" w:hanging="705"/>
        <w:jc w:val="both"/>
      </w:pPr>
      <w:r w:rsidRPr="004822F8">
        <w:tab/>
      </w:r>
      <w:r w:rsidRPr="004822F8" w:rsidR="4183B69D">
        <w:rPr/>
        <w:t xml:space="preserve">Sobre el particular, debe considerarse que, conforme a la legislación sobre el </w:t>
      </w:r>
      <w:r w:rsidRPr="004822F8" w:rsidR="6E9349AF">
        <w:rPr/>
        <w:t xml:space="preserve">..........................</w:t>
      </w:r>
      <w:r w:rsidRPr="004822F8" w:rsidR="4183B69D">
        <w:rPr/>
        <w:t xml:space="preserve">Ley, en caso de fallecimiento, el pago indemnizatorio debe realizarse a favor de los herederos del asegurado, para cuyo efecto constan en una relación de </w:t>
      </w:r>
      <w:r w:rsidRPr="004822F8" w:rsidR="4183B69D">
        <w:rPr/>
        <w:t>beneficiarios presentada oportunamente; empero, tratándose de otras coberturas, como la de invalidez permanente por accidente, el respectico pago corresponde ser realizado al asegurado mismo (titular del interés asegurable), a su nombre, siendo que la relación de beneficiarios es para fines del riesgo muerte, no de otro.</w:t>
      </w:r>
    </w:p>
    <w:p w:rsidRPr="004822F8" w:rsidR="004822F8" w:rsidP="004822F8" w:rsidRDefault="004822F8" w14:paraId="14A284EF" w14:textId="77777777">
      <w:pPr>
        <w:tabs>
          <w:tab w:val="left" w:pos="709"/>
          <w:tab w:val="left" w:pos="2160"/>
        </w:tabs>
        <w:ind w:left="705" w:hanging="705"/>
        <w:jc w:val="both"/>
      </w:pPr>
    </w:p>
    <w:p w:rsidRPr="004822F8" w:rsidR="004822F8" w:rsidP="004822F8" w:rsidRDefault="004822F8" w14:paraId="39D27454" w14:textId="3FAD8BCE">
      <w:pPr>
        <w:tabs>
          <w:tab w:val="left" w:pos="709"/>
          <w:tab w:val="left" w:pos="2160"/>
        </w:tabs>
        <w:ind w:left="705" w:hanging="705"/>
        <w:jc w:val="both"/>
      </w:pPr>
      <w:r w:rsidR="4183B69D">
        <w:rPr/>
        <w:t>6.</w:t>
      </w:r>
      <w:r w:rsidR="4183B69D">
        <w:rPr/>
        <w:t>5.</w:t>
      </w:r>
      <w:r>
        <w:tab/>
      </w:r>
      <w:r w:rsidR="4183B69D">
        <w:rPr/>
        <w:t xml:space="preserve">Atendiendo a lo señalado, precisada la controversia sometida válidamente a conocimiento de este colegiado, corresponde desestimar la cuestión previa sobre incompetencia, y declarar improcedente la reclamación, ya que </w:t>
      </w:r>
      <w:r w:rsidR="5B3820A2">
        <w:rPr/>
        <w:t>...................................</w:t>
      </w:r>
      <w:r w:rsidR="4183B69D">
        <w:rPr/>
        <w:t xml:space="preserve"> ya ha dispuesto y comunicado el otorgamiento de cobertura, liquidando el siniestro a nombre del asegurado, conforme corresponde.</w:t>
      </w:r>
    </w:p>
    <w:p w:rsidRPr="004822F8" w:rsidR="004822F8" w:rsidP="004822F8" w:rsidRDefault="004822F8" w14:paraId="59C59A7F" w14:textId="77777777">
      <w:pPr>
        <w:tabs>
          <w:tab w:val="left" w:pos="2160"/>
        </w:tabs>
        <w:jc w:val="both"/>
        <w:rPr>
          <w:lang w:val="es-PE"/>
        </w:rPr>
      </w:pPr>
    </w:p>
    <w:p w:rsidRPr="004822F8" w:rsidR="004822F8" w:rsidP="004822F8" w:rsidRDefault="004822F8" w14:paraId="0CC4EE21" w14:textId="183F87EC">
      <w:pPr>
        <w:tabs>
          <w:tab w:val="left" w:pos="2160"/>
        </w:tabs>
        <w:jc w:val="both"/>
        <w:rPr>
          <w:lang w:val="es-PE"/>
        </w:rPr>
      </w:pPr>
      <w:r w:rsidRPr="1CE9A9A9" w:rsidR="4183B69D">
        <w:rPr>
          <w:b w:val="1"/>
          <w:bCs w:val="1"/>
          <w:u w:val="single"/>
          <w:lang w:val="es-PE"/>
        </w:rPr>
        <w:t>Sétimo</w:t>
      </w:r>
      <w:r w:rsidRPr="1CE9A9A9" w:rsidR="4183B69D">
        <w:rPr>
          <w:b w:val="1"/>
          <w:bCs w:val="1"/>
          <w:lang w:val="es-PE"/>
        </w:rPr>
        <w:t xml:space="preserve">: </w:t>
      </w:r>
      <w:r w:rsidRPr="1CE9A9A9" w:rsidR="4183B69D">
        <w:rPr>
          <w:lang w:val="es-PE"/>
        </w:rPr>
        <w:t xml:space="preserve">Exhortar a </w:t>
      </w:r>
      <w:r w:rsidRPr="1CE9A9A9" w:rsidR="5B3820A2">
        <w:rPr>
          <w:lang w:val="es-PE"/>
        </w:rPr>
        <w:t>...................................</w:t>
      </w:r>
      <w:r w:rsidRPr="1CE9A9A9" w:rsidR="4183B69D">
        <w:rPr>
          <w:lang w:val="es-PE"/>
        </w:rPr>
        <w:t xml:space="preserve"> para que al presentar sus descargos ante la DEGASEG, o para sustentar su posición en la respectiva audiencia de vista, por elemental diligencia cuide que sus representantes posean información actual y completa sobre la materia de la reclamación, lo cual permitirá no sólo una mejor defensa, de ser el caso, sino un uso eficiente del tiempo, tanto propio como de la propia DEFASEG, encontrándose bajo su responsabilidad realizar las coordinaciones internas y oportunas en su organización para que sus descargos sean consistentes.</w:t>
      </w:r>
    </w:p>
    <w:p w:rsidRPr="004822F8" w:rsidR="004822F8" w:rsidP="004822F8" w:rsidRDefault="004822F8" w14:paraId="79F0225B" w14:textId="77777777">
      <w:pPr>
        <w:tabs>
          <w:tab w:val="left" w:pos="2160"/>
        </w:tabs>
        <w:jc w:val="both"/>
        <w:rPr>
          <w:lang w:val="es-PE"/>
        </w:rPr>
      </w:pPr>
    </w:p>
    <w:p w:rsidRPr="004822F8" w:rsidR="004822F8" w:rsidP="004822F8" w:rsidRDefault="004822F8" w14:paraId="0C62EA02" w14:textId="77777777">
      <w:pPr>
        <w:tabs>
          <w:tab w:val="left" w:pos="709"/>
          <w:tab w:val="left" w:pos="2160"/>
        </w:tabs>
        <w:jc w:val="both"/>
      </w:pPr>
      <w:r w:rsidRPr="004822F8">
        <w:rPr>
          <w:lang w:val="es-PE"/>
        </w:rPr>
        <w:t xml:space="preserve">Atendiendo a las consideraciones expresadas, este colegiado </w:t>
      </w:r>
      <w:r w:rsidRPr="004822F8">
        <w:t>concluye su apreciación razonada y conjunta al amparo de lo establecido en su Reglamento, por lo que</w:t>
      </w:r>
    </w:p>
    <w:p w:rsidRPr="004822F8" w:rsidR="004822F8" w:rsidP="004822F8" w:rsidRDefault="004822F8" w14:paraId="49B80666" w14:textId="77777777">
      <w:pPr>
        <w:tabs>
          <w:tab w:val="left" w:pos="709"/>
          <w:tab w:val="left" w:pos="2160"/>
        </w:tabs>
        <w:jc w:val="both"/>
      </w:pPr>
    </w:p>
    <w:p w:rsidRPr="004822F8" w:rsidR="004822F8" w:rsidP="004822F8" w:rsidRDefault="004822F8" w14:paraId="33DA4F52" w14:textId="77777777">
      <w:pPr>
        <w:tabs>
          <w:tab w:val="left" w:pos="709"/>
          <w:tab w:val="left" w:pos="2160"/>
        </w:tabs>
        <w:jc w:val="both"/>
        <w:rPr>
          <w:b/>
        </w:rPr>
      </w:pPr>
      <w:r w:rsidRPr="004822F8">
        <w:rPr>
          <w:b/>
        </w:rPr>
        <w:t>SE RESUELVE</w:t>
      </w:r>
      <w:r w:rsidRPr="004822F8">
        <w:rPr>
          <w:b/>
          <w:lang w:val="es-PE"/>
        </w:rPr>
        <w:t>:</w:t>
      </w:r>
    </w:p>
    <w:p w:rsidRPr="004822F8" w:rsidR="004822F8" w:rsidP="004822F8" w:rsidRDefault="004822F8" w14:paraId="5921D594" w14:textId="77777777">
      <w:pPr>
        <w:tabs>
          <w:tab w:val="left" w:pos="709"/>
          <w:tab w:val="left" w:pos="2160"/>
        </w:tabs>
        <w:jc w:val="both"/>
        <w:rPr>
          <w:b/>
          <w:bCs/>
        </w:rPr>
      </w:pPr>
    </w:p>
    <w:p w:rsidRPr="004822F8" w:rsidR="004822F8" w:rsidP="004822F8" w:rsidRDefault="004822F8" w14:paraId="020B71FA" w14:textId="671860B5">
      <w:pPr>
        <w:jc w:val="both"/>
        <w:rPr>
          <w:lang w:val="es-PE"/>
        </w:rPr>
      </w:pPr>
      <w:r w:rsidRPr="1CE9A9A9" w:rsidR="4183B69D">
        <w:rPr>
          <w:b w:val="1"/>
          <w:bCs w:val="1"/>
          <w:lang w:val="es-PE"/>
        </w:rPr>
        <w:t xml:space="preserve">DECLARAR INFUNDADA </w:t>
      </w:r>
      <w:r w:rsidRPr="1CE9A9A9" w:rsidR="4183B69D">
        <w:rPr>
          <w:lang w:val="es-PE"/>
        </w:rPr>
        <w:t xml:space="preserve">la cuestión previa sobre incompetencia deducida por </w:t>
      </w:r>
      <w:r w:rsidRPr="1CE9A9A9" w:rsidR="5B3820A2">
        <w:rPr>
          <w:lang w:val="es-PE"/>
        </w:rPr>
        <w:t>...................................</w:t>
      </w:r>
      <w:r w:rsidRPr="1CE9A9A9" w:rsidR="4183B69D">
        <w:rPr>
          <w:lang w:val="es-PE"/>
        </w:rPr>
        <w:t xml:space="preserve">, y </w:t>
      </w:r>
      <w:r w:rsidRPr="1CE9A9A9" w:rsidR="4183B69D">
        <w:rPr>
          <w:b w:val="1"/>
          <w:bCs w:val="1"/>
          <w:lang w:val="es-PE"/>
        </w:rPr>
        <w:t>DECLARAR IMPROCEDENTE</w:t>
      </w:r>
      <w:r w:rsidRPr="1CE9A9A9" w:rsidR="4183B69D">
        <w:rPr>
          <w:lang w:val="es-PE"/>
        </w:rPr>
        <w:t xml:space="preserve"> la reclamación interpuesta por doña </w:t>
      </w:r>
      <w:r w:rsidR="7ED10DE9">
        <w:rPr/>
        <w:t>..................................................................</w:t>
      </w:r>
      <w:r w:rsidR="4183B69D">
        <w:rPr/>
        <w:t xml:space="preserve"> contra</w:t>
      </w:r>
      <w:r w:rsidRPr="1CE9A9A9" w:rsidR="4183B69D">
        <w:rPr>
          <w:lang w:val="es-PE"/>
        </w:rPr>
        <w:t xml:space="preserve"> </w:t>
      </w:r>
      <w:r w:rsidRPr="1CE9A9A9" w:rsidR="5B3820A2">
        <w:rPr>
          <w:lang w:val="es-PE"/>
        </w:rPr>
        <w:t>...................................</w:t>
      </w:r>
      <w:r w:rsidRPr="1CE9A9A9" w:rsidR="4183B69D">
        <w:rPr>
          <w:lang w:val="es-PE"/>
        </w:rPr>
        <w:t xml:space="preserve"> por haberse ya atendido la solicitud de otorgamiento de cobertura, dejando a salvo el derecho de la reclamante de recurrir a las instancias que considere pertinentes.</w:t>
      </w:r>
    </w:p>
    <w:p w:rsidRPr="004822F8" w:rsidR="004822F8" w:rsidP="004822F8" w:rsidRDefault="004822F8" w14:paraId="0C2023D1" w14:textId="77777777">
      <w:pPr>
        <w:jc w:val="both"/>
        <w:rPr>
          <w:rFonts w:eastAsiaTheme="minorHAnsi"/>
          <w:lang w:val="es-PE" w:eastAsia="en-US"/>
        </w:rPr>
      </w:pPr>
    </w:p>
    <w:p w:rsidRPr="004822F8" w:rsidR="00C609BC" w:rsidP="00C609BC" w:rsidRDefault="00C609BC" w14:paraId="5C8C4A46" w14:textId="77777777">
      <w:pPr>
        <w:tabs>
          <w:tab w:val="left" w:pos="0"/>
          <w:tab w:val="left" w:pos="1416"/>
          <w:tab w:val="left" w:pos="2977"/>
          <w:tab w:val="left" w:pos="4248"/>
          <w:tab w:val="left" w:pos="4956"/>
          <w:tab w:val="left" w:pos="5664"/>
          <w:tab w:val="left" w:pos="6372"/>
          <w:tab w:val="left" w:pos="7125"/>
        </w:tabs>
        <w:jc w:val="both"/>
        <w:rPr>
          <w:lang w:val="es-PE"/>
        </w:rPr>
      </w:pPr>
    </w:p>
    <w:p w:rsidRPr="004822F8" w:rsidR="001631D6" w:rsidP="00F202DC" w:rsidRDefault="00F15FBA" w14:paraId="48C7895B" w14:textId="5823AACB">
      <w:pPr>
        <w:jc w:val="right"/>
        <w:outlineLvl w:val="0"/>
        <w:rPr>
          <w:lang w:val="es-PE"/>
        </w:rPr>
      </w:pPr>
      <w:r w:rsidRPr="004822F8">
        <w:rPr>
          <w:lang w:val="es-PE"/>
        </w:rPr>
        <w:t xml:space="preserve">Lima, </w:t>
      </w:r>
      <w:r w:rsidRPr="004822F8" w:rsidR="00F816A3">
        <w:t>0</w:t>
      </w:r>
      <w:r w:rsidRPr="004822F8" w:rsidR="00555946">
        <w:t>6</w:t>
      </w:r>
      <w:r w:rsidRPr="004822F8" w:rsidR="0098224D">
        <w:t xml:space="preserve"> </w:t>
      </w:r>
      <w:r w:rsidRPr="004822F8">
        <w:rPr>
          <w:lang w:val="es-PE"/>
        </w:rPr>
        <w:t>de</w:t>
      </w:r>
      <w:r w:rsidRPr="004822F8" w:rsidR="00F816A3">
        <w:rPr>
          <w:lang w:val="es-PE"/>
        </w:rPr>
        <w:t xml:space="preserve"> junio</w:t>
      </w:r>
      <w:r w:rsidRPr="004822F8" w:rsidR="001631D6">
        <w:rPr>
          <w:lang w:val="es-PE"/>
        </w:rPr>
        <w:t xml:space="preserve"> </w:t>
      </w:r>
      <w:r w:rsidRPr="004822F8">
        <w:rPr>
          <w:lang w:val="es-PE"/>
        </w:rPr>
        <w:t>de 20</w:t>
      </w:r>
      <w:r w:rsidRPr="004822F8" w:rsidR="001631D6">
        <w:rPr>
          <w:lang w:val="es-PE"/>
        </w:rPr>
        <w:t>2</w:t>
      </w:r>
      <w:r w:rsidRPr="004822F8" w:rsidR="00444D29">
        <w:rPr>
          <w:lang w:val="es-PE"/>
        </w:rPr>
        <w:t>2</w:t>
      </w:r>
    </w:p>
    <w:p w:rsidRPr="004822F8" w:rsidR="00F202DC" w:rsidP="001631D6" w:rsidRDefault="00F202DC" w14:paraId="55EA6443" w14:textId="77777777">
      <w:pPr>
        <w:jc w:val="both"/>
      </w:pPr>
    </w:p>
    <w:p w:rsidRPr="004822F8" w:rsidR="001631D6" w:rsidP="001631D6" w:rsidRDefault="001631D6" w14:paraId="54F717D9" w14:textId="77777777">
      <w:pPr>
        <w:jc w:val="both"/>
        <w:rPr>
          <w:b/>
          <w:bCs/>
          <w:i/>
          <w:iCs/>
          <w:lang w:val="es-ES_tradnl"/>
        </w:rPr>
      </w:pPr>
      <w:r w:rsidRPr="004822F8">
        <w:rPr>
          <w:b/>
          <w:bCs/>
          <w:i/>
          <w:iCs/>
          <w:lang w:val="es-ES_tradnl"/>
        </w:rPr>
        <w:t>La Secretaría Técnica certifica que la presente resolución cuenta con el voto de los vocales cuyos nombres figuran en el presente documento.</w:t>
      </w:r>
    </w:p>
    <w:p w:rsidRPr="004822F8" w:rsidR="001631D6" w:rsidP="001631D6" w:rsidRDefault="001631D6" w14:paraId="024CA4C1" w14:textId="77777777">
      <w:pPr>
        <w:jc w:val="both"/>
        <w:rPr>
          <w:b/>
          <w:bCs/>
          <w:i/>
          <w:iCs/>
          <w:lang w:val="es-ES_tradnl"/>
        </w:rPr>
      </w:pPr>
    </w:p>
    <w:p w:rsidRPr="004822F8" w:rsidR="003E6BA6" w:rsidP="003E6BA6" w:rsidRDefault="0096094A" w14:paraId="7E9839D4" w14:textId="0E0E06BB">
      <w:pPr>
        <w:spacing w:line="360" w:lineRule="auto"/>
        <w:jc w:val="center"/>
        <w:rPr>
          <w:b/>
          <w:bCs/>
        </w:rPr>
      </w:pPr>
      <w:r w:rsidRPr="004822F8">
        <w:rPr>
          <w:b/>
          <w:bCs/>
        </w:rPr>
        <w:t xml:space="preserve">Marco Antonio Ortega Piana </w:t>
      </w:r>
      <w:r w:rsidRPr="004822F8" w:rsidR="003E6BA6">
        <w:rPr>
          <w:b/>
          <w:bCs/>
        </w:rPr>
        <w:t xml:space="preserve">– </w:t>
      </w:r>
      <w:proofErr w:type="gramStart"/>
      <w:r w:rsidRPr="004822F8" w:rsidR="003E6BA6">
        <w:rPr>
          <w:b/>
          <w:bCs/>
        </w:rPr>
        <w:t>Presidente</w:t>
      </w:r>
      <w:proofErr w:type="gramEnd"/>
    </w:p>
    <w:p w:rsidRPr="00F816A3" w:rsidR="0096094A" w:rsidP="0096094A" w:rsidRDefault="0096094A" w14:paraId="3458C0C0" w14:textId="6E7C8E64">
      <w:pPr>
        <w:spacing w:line="360" w:lineRule="auto"/>
        <w:jc w:val="center"/>
        <w:rPr>
          <w:b/>
          <w:bCs/>
        </w:rPr>
      </w:pPr>
      <w:r w:rsidRPr="00F816A3">
        <w:rPr>
          <w:b/>
          <w:bCs/>
        </w:rPr>
        <w:t>María Eugenia Valdez Fernández Baca– Vocal</w:t>
      </w:r>
    </w:p>
    <w:p w:rsidRPr="00F816A3" w:rsidR="001631D6" w:rsidP="001631D6" w:rsidRDefault="001631D6" w14:paraId="515933D0" w14:textId="575B7E12">
      <w:pPr>
        <w:spacing w:line="360" w:lineRule="auto"/>
        <w:jc w:val="center"/>
        <w:rPr>
          <w:b/>
          <w:bCs/>
        </w:rPr>
      </w:pPr>
      <w:r w:rsidRPr="00F816A3">
        <w:rPr>
          <w:b/>
          <w:bCs/>
        </w:rPr>
        <w:t xml:space="preserve">Rolando Eyzaguirre </w:t>
      </w:r>
      <w:proofErr w:type="spellStart"/>
      <w:r w:rsidRPr="00F816A3">
        <w:rPr>
          <w:b/>
          <w:bCs/>
        </w:rPr>
        <w:t>Maccan</w:t>
      </w:r>
      <w:proofErr w:type="spellEnd"/>
      <w:r w:rsidRPr="00F816A3">
        <w:rPr>
          <w:b/>
          <w:bCs/>
        </w:rPr>
        <w:t xml:space="preserve"> – </w:t>
      </w:r>
      <w:r w:rsidRPr="00F816A3" w:rsidR="003E6BA6">
        <w:rPr>
          <w:b/>
          <w:bCs/>
        </w:rPr>
        <w:t>Vocal</w:t>
      </w:r>
    </w:p>
    <w:p w:rsidRPr="00F816A3" w:rsidR="00517989" w:rsidP="00AB70B7" w:rsidRDefault="00AB70B7" w14:paraId="164CAA9F" w14:textId="01A81F40">
      <w:pPr>
        <w:spacing w:line="360" w:lineRule="auto"/>
        <w:jc w:val="center"/>
        <w:rPr>
          <w:b/>
          <w:bCs/>
        </w:rPr>
      </w:pPr>
      <w:r w:rsidRPr="00F816A3">
        <w:rPr>
          <w:b/>
          <w:bCs/>
        </w:rPr>
        <w:t>Gonzalo Abad del Busto - Vocal</w:t>
      </w:r>
    </w:p>
    <w:p w:rsidRPr="003E772B" w:rsidR="00865247" w:rsidRDefault="00865247" w14:paraId="0F6CCBAC" w14:textId="77777777"/>
    <w:sectPr w:rsidRPr="003E772B" w:rsidR="00865247" w:rsidSect="00F552B2">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303E3" w:rsidP="005F148C" w:rsidRDefault="004303E3" w14:paraId="0176DED3" w14:textId="77777777">
      <w:r>
        <w:separator/>
      </w:r>
    </w:p>
  </w:endnote>
  <w:endnote w:type="continuationSeparator" w:id="0">
    <w:p w:rsidR="004303E3" w:rsidP="005F148C" w:rsidRDefault="004303E3" w14:paraId="167E139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303E3" w:rsidP="005F148C" w:rsidRDefault="004303E3" w14:paraId="569464EF" w14:textId="77777777">
      <w:r>
        <w:separator/>
      </w:r>
    </w:p>
  </w:footnote>
  <w:footnote w:type="continuationSeparator" w:id="0">
    <w:p w:rsidR="004303E3" w:rsidP="005F148C" w:rsidRDefault="004303E3" w14:paraId="582D3F8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226D0"/>
    <w:multiLevelType w:val="hybridMultilevel"/>
    <w:tmpl w:val="4FD05EFA"/>
    <w:lvl w:ilvl="0" w:tplc="6FD4B56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6E40412"/>
    <w:multiLevelType w:val="hybridMultilevel"/>
    <w:tmpl w:val="755AA1DC"/>
    <w:lvl w:ilvl="0" w:tplc="D2E8A794">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 w15:restartNumberingAfterBreak="0">
    <w:nsid w:val="08C76C75"/>
    <w:multiLevelType w:val="hybridMultilevel"/>
    <w:tmpl w:val="E7F09D1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0B2367C3"/>
    <w:multiLevelType w:val="hybridMultilevel"/>
    <w:tmpl w:val="496E73CE"/>
    <w:lvl w:ilvl="0" w:tplc="F63639E4">
      <w:start w:val="2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4" w15:restartNumberingAfterBreak="0">
    <w:nsid w:val="14A23400"/>
    <w:multiLevelType w:val="hybridMultilevel"/>
    <w:tmpl w:val="323EE5EA"/>
    <w:lvl w:ilvl="0" w:tplc="9342C4A2">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5104AED"/>
    <w:multiLevelType w:val="hybridMultilevel"/>
    <w:tmpl w:val="808CF69C"/>
    <w:lvl w:ilvl="0" w:tplc="AD6A4F02">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5B44E65"/>
    <w:multiLevelType w:val="hybridMultilevel"/>
    <w:tmpl w:val="BD5E3824"/>
    <w:lvl w:ilvl="0" w:tplc="47DE9A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98D733A"/>
    <w:multiLevelType w:val="hybridMultilevel"/>
    <w:tmpl w:val="6CD6DEA0"/>
    <w:lvl w:ilvl="0" w:tplc="80CEEEBE">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D2E2DFE"/>
    <w:multiLevelType w:val="hybridMultilevel"/>
    <w:tmpl w:val="ECBA5B2A"/>
    <w:lvl w:ilvl="0" w:tplc="ECFE65AC">
      <w:start w:val="3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9" w15:restartNumberingAfterBreak="0">
    <w:nsid w:val="218947C9"/>
    <w:multiLevelType w:val="hybridMultilevel"/>
    <w:tmpl w:val="0A3E43BA"/>
    <w:lvl w:ilvl="0" w:tplc="2B583EA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96E2B70"/>
    <w:multiLevelType w:val="hybridMultilevel"/>
    <w:tmpl w:val="D9F2B67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BDE285A"/>
    <w:multiLevelType w:val="hybridMultilevel"/>
    <w:tmpl w:val="80BE8976"/>
    <w:lvl w:ilvl="0" w:tplc="C1288C1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DEA253C"/>
    <w:multiLevelType w:val="hybridMultilevel"/>
    <w:tmpl w:val="C744F088"/>
    <w:lvl w:ilvl="0" w:tplc="E716E8DC">
      <w:start w:val="1"/>
      <w:numFmt w:val="low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3" w15:restartNumberingAfterBreak="0">
    <w:nsid w:val="2F1D23E5"/>
    <w:multiLevelType w:val="multilevel"/>
    <w:tmpl w:val="93BC14C0"/>
    <w:lvl w:ilvl="0">
      <w:start w:val="1"/>
      <w:numFmt w:val="decimal"/>
      <w:lvlText w:val="%1."/>
      <w:lvlJc w:val="left"/>
      <w:pPr>
        <w:tabs>
          <w:tab w:val="num" w:pos="720"/>
        </w:tabs>
        <w:ind w:left="720" w:hanging="360"/>
      </w:pPr>
    </w:lvl>
    <w:lvl w:ilvl="1">
      <w:numFmt w:val="decimal"/>
      <w:lvlText w:val="%2."/>
      <w:lvlJc w:val="left"/>
      <w:pPr>
        <w:tabs>
          <w:tab w:val="num" w:pos="1440"/>
        </w:tabs>
        <w:ind w:left="1440" w:hanging="360"/>
      </w:p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abstractNum w:abstractNumId="14" w15:restartNumberingAfterBreak="0">
    <w:nsid w:val="32743F8C"/>
    <w:multiLevelType w:val="hybridMultilevel"/>
    <w:tmpl w:val="28140E40"/>
    <w:lvl w:ilvl="0" w:tplc="EC1CABD2">
      <w:start w:val="1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5" w15:restartNumberingAfterBreak="0">
    <w:nsid w:val="56182525"/>
    <w:multiLevelType w:val="hybridMultilevel"/>
    <w:tmpl w:val="6F187594"/>
    <w:lvl w:ilvl="0" w:tplc="90FC7896">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59B115B9"/>
    <w:multiLevelType w:val="hybridMultilevel"/>
    <w:tmpl w:val="797E382E"/>
    <w:lvl w:ilvl="0" w:tplc="CF129B04">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B650397"/>
    <w:multiLevelType w:val="hybridMultilevel"/>
    <w:tmpl w:val="708AB7D4"/>
    <w:lvl w:ilvl="0" w:tplc="7432FF66">
      <w:start w:val="1"/>
      <w:numFmt w:val="lowerLetter"/>
      <w:lvlText w:val="%1)"/>
      <w:lvlJc w:val="left"/>
      <w:pPr>
        <w:ind w:left="930" w:hanging="360"/>
      </w:pPr>
    </w:lvl>
    <w:lvl w:ilvl="1" w:tplc="280A0019">
      <w:start w:val="1"/>
      <w:numFmt w:val="lowerLetter"/>
      <w:lvlText w:val="%2."/>
      <w:lvlJc w:val="left"/>
      <w:pPr>
        <w:ind w:left="1650" w:hanging="360"/>
      </w:pPr>
    </w:lvl>
    <w:lvl w:ilvl="2" w:tplc="280A001B">
      <w:start w:val="1"/>
      <w:numFmt w:val="lowerRoman"/>
      <w:lvlText w:val="%3."/>
      <w:lvlJc w:val="right"/>
      <w:pPr>
        <w:ind w:left="2370" w:hanging="180"/>
      </w:pPr>
    </w:lvl>
    <w:lvl w:ilvl="3" w:tplc="280A000F">
      <w:start w:val="1"/>
      <w:numFmt w:val="decimal"/>
      <w:lvlText w:val="%4."/>
      <w:lvlJc w:val="left"/>
      <w:pPr>
        <w:ind w:left="3090" w:hanging="360"/>
      </w:pPr>
    </w:lvl>
    <w:lvl w:ilvl="4" w:tplc="280A0019">
      <w:start w:val="1"/>
      <w:numFmt w:val="lowerLetter"/>
      <w:lvlText w:val="%5."/>
      <w:lvlJc w:val="left"/>
      <w:pPr>
        <w:ind w:left="3810" w:hanging="360"/>
      </w:pPr>
    </w:lvl>
    <w:lvl w:ilvl="5" w:tplc="280A001B">
      <w:start w:val="1"/>
      <w:numFmt w:val="lowerRoman"/>
      <w:lvlText w:val="%6."/>
      <w:lvlJc w:val="right"/>
      <w:pPr>
        <w:ind w:left="4530" w:hanging="180"/>
      </w:pPr>
    </w:lvl>
    <w:lvl w:ilvl="6" w:tplc="280A000F">
      <w:start w:val="1"/>
      <w:numFmt w:val="decimal"/>
      <w:lvlText w:val="%7."/>
      <w:lvlJc w:val="left"/>
      <w:pPr>
        <w:ind w:left="5250" w:hanging="360"/>
      </w:pPr>
    </w:lvl>
    <w:lvl w:ilvl="7" w:tplc="280A0019">
      <w:start w:val="1"/>
      <w:numFmt w:val="lowerLetter"/>
      <w:lvlText w:val="%8."/>
      <w:lvlJc w:val="left"/>
      <w:pPr>
        <w:ind w:left="5970" w:hanging="360"/>
      </w:pPr>
    </w:lvl>
    <w:lvl w:ilvl="8" w:tplc="280A001B">
      <w:start w:val="1"/>
      <w:numFmt w:val="lowerRoman"/>
      <w:lvlText w:val="%9."/>
      <w:lvlJc w:val="right"/>
      <w:pPr>
        <w:ind w:left="6690" w:hanging="180"/>
      </w:pPr>
    </w:lvl>
  </w:abstractNum>
  <w:abstractNum w:abstractNumId="18" w15:restartNumberingAfterBreak="0">
    <w:nsid w:val="5CCB2EFD"/>
    <w:multiLevelType w:val="hybridMultilevel"/>
    <w:tmpl w:val="D572EDE2"/>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19" w15:restartNumberingAfterBreak="0">
    <w:nsid w:val="60A26139"/>
    <w:multiLevelType w:val="hybridMultilevel"/>
    <w:tmpl w:val="E7F09D12"/>
    <w:lvl w:ilvl="0" w:tplc="81B47040">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63BE35C6"/>
    <w:multiLevelType w:val="hybridMultilevel"/>
    <w:tmpl w:val="FF62D5A2"/>
    <w:lvl w:ilvl="0" w:tplc="3D9618A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6F183DFA"/>
    <w:multiLevelType w:val="hybridMultilevel"/>
    <w:tmpl w:val="D988C2EC"/>
    <w:lvl w:ilvl="0" w:tplc="280A0001">
      <w:start w:val="1"/>
      <w:numFmt w:val="bullet"/>
      <w:lvlText w:val=""/>
      <w:lvlJc w:val="left"/>
      <w:pPr>
        <w:ind w:left="1065" w:hanging="360"/>
      </w:pPr>
      <w:rPr>
        <w:rFonts w:hint="default" w:ascii="Symbol" w:hAnsi="Symbol"/>
      </w:rPr>
    </w:lvl>
    <w:lvl w:ilvl="1" w:tplc="280A0003">
      <w:start w:val="1"/>
      <w:numFmt w:val="bullet"/>
      <w:lvlText w:val="o"/>
      <w:lvlJc w:val="left"/>
      <w:pPr>
        <w:ind w:left="1785" w:hanging="360"/>
      </w:pPr>
      <w:rPr>
        <w:rFonts w:hint="default" w:ascii="Courier New" w:hAnsi="Courier New" w:cs="Courier New"/>
      </w:rPr>
    </w:lvl>
    <w:lvl w:ilvl="2" w:tplc="280A0005">
      <w:start w:val="1"/>
      <w:numFmt w:val="bullet"/>
      <w:lvlText w:val=""/>
      <w:lvlJc w:val="left"/>
      <w:pPr>
        <w:ind w:left="2505" w:hanging="360"/>
      </w:pPr>
      <w:rPr>
        <w:rFonts w:hint="default" w:ascii="Wingdings" w:hAnsi="Wingdings"/>
      </w:rPr>
    </w:lvl>
    <w:lvl w:ilvl="3" w:tplc="280A0001">
      <w:start w:val="1"/>
      <w:numFmt w:val="bullet"/>
      <w:lvlText w:val=""/>
      <w:lvlJc w:val="left"/>
      <w:pPr>
        <w:ind w:left="3225" w:hanging="360"/>
      </w:pPr>
      <w:rPr>
        <w:rFonts w:hint="default" w:ascii="Symbol" w:hAnsi="Symbol"/>
      </w:rPr>
    </w:lvl>
    <w:lvl w:ilvl="4" w:tplc="280A0003">
      <w:start w:val="1"/>
      <w:numFmt w:val="bullet"/>
      <w:lvlText w:val="o"/>
      <w:lvlJc w:val="left"/>
      <w:pPr>
        <w:ind w:left="3945" w:hanging="360"/>
      </w:pPr>
      <w:rPr>
        <w:rFonts w:hint="default" w:ascii="Courier New" w:hAnsi="Courier New" w:cs="Courier New"/>
      </w:rPr>
    </w:lvl>
    <w:lvl w:ilvl="5" w:tplc="280A0005">
      <w:start w:val="1"/>
      <w:numFmt w:val="bullet"/>
      <w:lvlText w:val=""/>
      <w:lvlJc w:val="left"/>
      <w:pPr>
        <w:ind w:left="4665" w:hanging="360"/>
      </w:pPr>
      <w:rPr>
        <w:rFonts w:hint="default" w:ascii="Wingdings" w:hAnsi="Wingdings"/>
      </w:rPr>
    </w:lvl>
    <w:lvl w:ilvl="6" w:tplc="280A0001">
      <w:start w:val="1"/>
      <w:numFmt w:val="bullet"/>
      <w:lvlText w:val=""/>
      <w:lvlJc w:val="left"/>
      <w:pPr>
        <w:ind w:left="5385" w:hanging="360"/>
      </w:pPr>
      <w:rPr>
        <w:rFonts w:hint="default" w:ascii="Symbol" w:hAnsi="Symbol"/>
      </w:rPr>
    </w:lvl>
    <w:lvl w:ilvl="7" w:tplc="280A0003">
      <w:start w:val="1"/>
      <w:numFmt w:val="bullet"/>
      <w:lvlText w:val="o"/>
      <w:lvlJc w:val="left"/>
      <w:pPr>
        <w:ind w:left="6105" w:hanging="360"/>
      </w:pPr>
      <w:rPr>
        <w:rFonts w:hint="default" w:ascii="Courier New" w:hAnsi="Courier New" w:cs="Courier New"/>
      </w:rPr>
    </w:lvl>
    <w:lvl w:ilvl="8" w:tplc="280A0005">
      <w:start w:val="1"/>
      <w:numFmt w:val="bullet"/>
      <w:lvlText w:val=""/>
      <w:lvlJc w:val="left"/>
      <w:pPr>
        <w:ind w:left="6825" w:hanging="360"/>
      </w:pPr>
      <w:rPr>
        <w:rFonts w:hint="default" w:ascii="Wingdings" w:hAnsi="Wingdings"/>
      </w:rPr>
    </w:lvl>
  </w:abstractNum>
  <w:abstractNum w:abstractNumId="22" w15:restartNumberingAfterBreak="0">
    <w:nsid w:val="728A6AA3"/>
    <w:multiLevelType w:val="hybridMultilevel"/>
    <w:tmpl w:val="C1A68D7A"/>
    <w:lvl w:ilvl="0" w:tplc="A8228E4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7676708B"/>
    <w:multiLevelType w:val="hybridMultilevel"/>
    <w:tmpl w:val="8A708CDE"/>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4" w15:restartNumberingAfterBreak="0">
    <w:nsid w:val="78484548"/>
    <w:multiLevelType w:val="hybridMultilevel"/>
    <w:tmpl w:val="2A16FE6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7E76408B"/>
    <w:multiLevelType w:val="hybridMultilevel"/>
    <w:tmpl w:val="616E125A"/>
    <w:lvl w:ilvl="0" w:tplc="518A86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7E9D2CAF"/>
    <w:multiLevelType w:val="hybridMultilevel"/>
    <w:tmpl w:val="C44C1A18"/>
    <w:lvl w:ilvl="0" w:tplc="280A0001">
      <w:start w:val="1"/>
      <w:numFmt w:val="bullet"/>
      <w:lvlText w:val=""/>
      <w:lvlJc w:val="left"/>
      <w:pPr>
        <w:ind w:left="927" w:hanging="360"/>
      </w:pPr>
      <w:rPr>
        <w:rFonts w:hint="default" w:ascii="Symbol" w:hAnsi="Symbol"/>
      </w:rPr>
    </w:lvl>
    <w:lvl w:ilvl="1" w:tplc="280A0003">
      <w:start w:val="1"/>
      <w:numFmt w:val="bullet"/>
      <w:lvlText w:val="o"/>
      <w:lvlJc w:val="left"/>
      <w:pPr>
        <w:ind w:left="1647" w:hanging="360"/>
      </w:pPr>
      <w:rPr>
        <w:rFonts w:hint="default" w:ascii="Courier New" w:hAnsi="Courier New" w:cs="Courier New"/>
      </w:rPr>
    </w:lvl>
    <w:lvl w:ilvl="2" w:tplc="280A0005">
      <w:start w:val="1"/>
      <w:numFmt w:val="bullet"/>
      <w:lvlText w:val=""/>
      <w:lvlJc w:val="left"/>
      <w:pPr>
        <w:ind w:left="2367" w:hanging="360"/>
      </w:pPr>
      <w:rPr>
        <w:rFonts w:hint="default" w:ascii="Wingdings" w:hAnsi="Wingdings"/>
      </w:rPr>
    </w:lvl>
    <w:lvl w:ilvl="3" w:tplc="280A0001">
      <w:start w:val="1"/>
      <w:numFmt w:val="bullet"/>
      <w:lvlText w:val=""/>
      <w:lvlJc w:val="left"/>
      <w:pPr>
        <w:ind w:left="3087" w:hanging="360"/>
      </w:pPr>
      <w:rPr>
        <w:rFonts w:hint="default" w:ascii="Symbol" w:hAnsi="Symbol"/>
      </w:rPr>
    </w:lvl>
    <w:lvl w:ilvl="4" w:tplc="280A0003">
      <w:start w:val="1"/>
      <w:numFmt w:val="bullet"/>
      <w:lvlText w:val="o"/>
      <w:lvlJc w:val="left"/>
      <w:pPr>
        <w:ind w:left="3807" w:hanging="360"/>
      </w:pPr>
      <w:rPr>
        <w:rFonts w:hint="default" w:ascii="Courier New" w:hAnsi="Courier New" w:cs="Courier New"/>
      </w:rPr>
    </w:lvl>
    <w:lvl w:ilvl="5" w:tplc="280A0005">
      <w:start w:val="1"/>
      <w:numFmt w:val="bullet"/>
      <w:lvlText w:val=""/>
      <w:lvlJc w:val="left"/>
      <w:pPr>
        <w:ind w:left="4527" w:hanging="360"/>
      </w:pPr>
      <w:rPr>
        <w:rFonts w:hint="default" w:ascii="Wingdings" w:hAnsi="Wingdings"/>
      </w:rPr>
    </w:lvl>
    <w:lvl w:ilvl="6" w:tplc="280A0001">
      <w:start w:val="1"/>
      <w:numFmt w:val="bullet"/>
      <w:lvlText w:val=""/>
      <w:lvlJc w:val="left"/>
      <w:pPr>
        <w:ind w:left="5247" w:hanging="360"/>
      </w:pPr>
      <w:rPr>
        <w:rFonts w:hint="default" w:ascii="Symbol" w:hAnsi="Symbol"/>
      </w:rPr>
    </w:lvl>
    <w:lvl w:ilvl="7" w:tplc="280A0003">
      <w:start w:val="1"/>
      <w:numFmt w:val="bullet"/>
      <w:lvlText w:val="o"/>
      <w:lvlJc w:val="left"/>
      <w:pPr>
        <w:ind w:left="5967" w:hanging="360"/>
      </w:pPr>
      <w:rPr>
        <w:rFonts w:hint="default" w:ascii="Courier New" w:hAnsi="Courier New" w:cs="Courier New"/>
      </w:rPr>
    </w:lvl>
    <w:lvl w:ilvl="8" w:tplc="280A0005">
      <w:start w:val="1"/>
      <w:numFmt w:val="bullet"/>
      <w:lvlText w:val=""/>
      <w:lvlJc w:val="left"/>
      <w:pPr>
        <w:ind w:left="6687" w:hanging="360"/>
      </w:pPr>
      <w:rPr>
        <w:rFonts w:hint="default" w:ascii="Wingdings" w:hAnsi="Wingdings"/>
      </w:rPr>
    </w:lvl>
  </w:abstractNum>
  <w:num w:numId="1" w16cid:durableId="75578480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9558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7679381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866906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693601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775059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8778506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64509808">
    <w:abstractNumId w:val="21"/>
  </w:num>
  <w:num w:numId="9" w16cid:durableId="182284988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33598576">
    <w:abstractNumId w:val="1"/>
  </w:num>
  <w:num w:numId="11" w16cid:durableId="765226947">
    <w:abstractNumId w:val="15"/>
  </w:num>
  <w:num w:numId="12" w16cid:durableId="248201111">
    <w:abstractNumId w:val="26"/>
  </w:num>
  <w:num w:numId="13" w16cid:durableId="7744033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7217365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23528213">
    <w:abstractNumId w:val="13"/>
    <w:lvlOverride w:ilvl="0">
      <w:startOverride w:val="1"/>
    </w:lvlOverride>
    <w:lvlOverride w:ilvl="1"/>
    <w:lvlOverride w:ilvl="2"/>
    <w:lvlOverride w:ilvl="3"/>
    <w:lvlOverride w:ilvl="4"/>
    <w:lvlOverride w:ilvl="5"/>
    <w:lvlOverride w:ilvl="6"/>
    <w:lvlOverride w:ilvl="7"/>
    <w:lvlOverride w:ilvl="8"/>
  </w:num>
  <w:num w:numId="16" w16cid:durableId="58938536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5842035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100418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71858223">
    <w:abstractNumId w:val="18"/>
  </w:num>
  <w:num w:numId="20" w16cid:durableId="159921203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6486240">
    <w:abstractNumId w:val="14"/>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38374985">
    <w:abstractNumId w:val="3"/>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29551307">
    <w:abstractNumId w:val="8"/>
    <w:lvlOverride w:ilvl="0">
      <w:startOverride w:val="3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391037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4128867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9144255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4596874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28C1"/>
    <w:rsid w:val="00003E99"/>
    <w:rsid w:val="00007872"/>
    <w:rsid w:val="0001004C"/>
    <w:rsid w:val="00010B2B"/>
    <w:rsid w:val="000155B3"/>
    <w:rsid w:val="00020318"/>
    <w:rsid w:val="00022570"/>
    <w:rsid w:val="00030177"/>
    <w:rsid w:val="000320F1"/>
    <w:rsid w:val="00032526"/>
    <w:rsid w:val="00035CCC"/>
    <w:rsid w:val="00045078"/>
    <w:rsid w:val="00065A3F"/>
    <w:rsid w:val="0007045A"/>
    <w:rsid w:val="00084E51"/>
    <w:rsid w:val="0009325F"/>
    <w:rsid w:val="00094DDA"/>
    <w:rsid w:val="00095A31"/>
    <w:rsid w:val="00095C90"/>
    <w:rsid w:val="000B23C9"/>
    <w:rsid w:val="000B4405"/>
    <w:rsid w:val="000D2700"/>
    <w:rsid w:val="000D484B"/>
    <w:rsid w:val="000E1883"/>
    <w:rsid w:val="000E52A2"/>
    <w:rsid w:val="00103188"/>
    <w:rsid w:val="00106BB1"/>
    <w:rsid w:val="0010704B"/>
    <w:rsid w:val="001074BE"/>
    <w:rsid w:val="00122734"/>
    <w:rsid w:val="00124BAF"/>
    <w:rsid w:val="00131D5A"/>
    <w:rsid w:val="00131E5A"/>
    <w:rsid w:val="00131FAD"/>
    <w:rsid w:val="00140C67"/>
    <w:rsid w:val="00143B86"/>
    <w:rsid w:val="00145B5D"/>
    <w:rsid w:val="00150853"/>
    <w:rsid w:val="00154D3B"/>
    <w:rsid w:val="001631D6"/>
    <w:rsid w:val="00164F1C"/>
    <w:rsid w:val="00167E7E"/>
    <w:rsid w:val="00170BA0"/>
    <w:rsid w:val="00170F87"/>
    <w:rsid w:val="001759F6"/>
    <w:rsid w:val="00177464"/>
    <w:rsid w:val="00180922"/>
    <w:rsid w:val="00193A8A"/>
    <w:rsid w:val="00195646"/>
    <w:rsid w:val="00196162"/>
    <w:rsid w:val="00196D53"/>
    <w:rsid w:val="00197FB2"/>
    <w:rsid w:val="001A0AB8"/>
    <w:rsid w:val="001A3593"/>
    <w:rsid w:val="001A791E"/>
    <w:rsid w:val="001B6607"/>
    <w:rsid w:val="001C2B16"/>
    <w:rsid w:val="001C5991"/>
    <w:rsid w:val="001D01FD"/>
    <w:rsid w:val="001D30D1"/>
    <w:rsid w:val="001D4040"/>
    <w:rsid w:val="001E1429"/>
    <w:rsid w:val="001E6B7D"/>
    <w:rsid w:val="001F004E"/>
    <w:rsid w:val="002024EE"/>
    <w:rsid w:val="0020442B"/>
    <w:rsid w:val="00205001"/>
    <w:rsid w:val="00206922"/>
    <w:rsid w:val="00213E1B"/>
    <w:rsid w:val="00214ED6"/>
    <w:rsid w:val="00233ED8"/>
    <w:rsid w:val="002370F4"/>
    <w:rsid w:val="00246359"/>
    <w:rsid w:val="00251FD7"/>
    <w:rsid w:val="00265628"/>
    <w:rsid w:val="00265B6F"/>
    <w:rsid w:val="002738EE"/>
    <w:rsid w:val="00281026"/>
    <w:rsid w:val="00282A40"/>
    <w:rsid w:val="0029622B"/>
    <w:rsid w:val="002A2188"/>
    <w:rsid w:val="002B14D5"/>
    <w:rsid w:val="002C236D"/>
    <w:rsid w:val="002C79AF"/>
    <w:rsid w:val="002D7159"/>
    <w:rsid w:val="002E338A"/>
    <w:rsid w:val="002E35A4"/>
    <w:rsid w:val="002E35DA"/>
    <w:rsid w:val="002E708C"/>
    <w:rsid w:val="002F6A04"/>
    <w:rsid w:val="002F7E39"/>
    <w:rsid w:val="00302CD3"/>
    <w:rsid w:val="00316A1B"/>
    <w:rsid w:val="00323387"/>
    <w:rsid w:val="00325613"/>
    <w:rsid w:val="0032570B"/>
    <w:rsid w:val="00326F1E"/>
    <w:rsid w:val="0033155F"/>
    <w:rsid w:val="00332769"/>
    <w:rsid w:val="003600C6"/>
    <w:rsid w:val="00370E7C"/>
    <w:rsid w:val="00372156"/>
    <w:rsid w:val="00372FA3"/>
    <w:rsid w:val="00376F63"/>
    <w:rsid w:val="00390EFF"/>
    <w:rsid w:val="00395F45"/>
    <w:rsid w:val="003977C8"/>
    <w:rsid w:val="003A0FAD"/>
    <w:rsid w:val="003A6B6C"/>
    <w:rsid w:val="003B46E3"/>
    <w:rsid w:val="003B4770"/>
    <w:rsid w:val="003B5737"/>
    <w:rsid w:val="003C2F84"/>
    <w:rsid w:val="003E353E"/>
    <w:rsid w:val="003E6A10"/>
    <w:rsid w:val="003E6BA6"/>
    <w:rsid w:val="003E772B"/>
    <w:rsid w:val="003F48E1"/>
    <w:rsid w:val="003F6CE5"/>
    <w:rsid w:val="00403179"/>
    <w:rsid w:val="00412A77"/>
    <w:rsid w:val="0041480F"/>
    <w:rsid w:val="00417664"/>
    <w:rsid w:val="00417E23"/>
    <w:rsid w:val="004303E3"/>
    <w:rsid w:val="0044190B"/>
    <w:rsid w:val="004419E4"/>
    <w:rsid w:val="004446E3"/>
    <w:rsid w:val="00444D29"/>
    <w:rsid w:val="004569EE"/>
    <w:rsid w:val="0045742B"/>
    <w:rsid w:val="0046368B"/>
    <w:rsid w:val="0046611D"/>
    <w:rsid w:val="00467825"/>
    <w:rsid w:val="00467D03"/>
    <w:rsid w:val="00471E40"/>
    <w:rsid w:val="004732E6"/>
    <w:rsid w:val="00477D05"/>
    <w:rsid w:val="004822F8"/>
    <w:rsid w:val="0048478B"/>
    <w:rsid w:val="004854D9"/>
    <w:rsid w:val="00491944"/>
    <w:rsid w:val="00492DB9"/>
    <w:rsid w:val="0049682F"/>
    <w:rsid w:val="004974ED"/>
    <w:rsid w:val="004B393A"/>
    <w:rsid w:val="004B6E20"/>
    <w:rsid w:val="004C1AF5"/>
    <w:rsid w:val="004C64BF"/>
    <w:rsid w:val="004D3246"/>
    <w:rsid w:val="004E0934"/>
    <w:rsid w:val="004E50D6"/>
    <w:rsid w:val="004F2B90"/>
    <w:rsid w:val="00506323"/>
    <w:rsid w:val="00511CED"/>
    <w:rsid w:val="00516549"/>
    <w:rsid w:val="00520FDC"/>
    <w:rsid w:val="005276A6"/>
    <w:rsid w:val="00531FBE"/>
    <w:rsid w:val="0053358C"/>
    <w:rsid w:val="00534670"/>
    <w:rsid w:val="00555946"/>
    <w:rsid w:val="00567EEF"/>
    <w:rsid w:val="0058358B"/>
    <w:rsid w:val="005B54AF"/>
    <w:rsid w:val="005B7ECC"/>
    <w:rsid w:val="005C24D1"/>
    <w:rsid w:val="005C48B0"/>
    <w:rsid w:val="005C5922"/>
    <w:rsid w:val="005D0395"/>
    <w:rsid w:val="005D1456"/>
    <w:rsid w:val="005D1DDE"/>
    <w:rsid w:val="005D4638"/>
    <w:rsid w:val="005D7383"/>
    <w:rsid w:val="005F1349"/>
    <w:rsid w:val="005F148C"/>
    <w:rsid w:val="005F4004"/>
    <w:rsid w:val="005F4751"/>
    <w:rsid w:val="0060033C"/>
    <w:rsid w:val="00614D1F"/>
    <w:rsid w:val="00623DD4"/>
    <w:rsid w:val="006358AB"/>
    <w:rsid w:val="00644FAD"/>
    <w:rsid w:val="00647AEE"/>
    <w:rsid w:val="00651449"/>
    <w:rsid w:val="006629E7"/>
    <w:rsid w:val="00664636"/>
    <w:rsid w:val="00674D09"/>
    <w:rsid w:val="00677A2F"/>
    <w:rsid w:val="00677CA9"/>
    <w:rsid w:val="00677FBF"/>
    <w:rsid w:val="006846C3"/>
    <w:rsid w:val="0069382D"/>
    <w:rsid w:val="006A1077"/>
    <w:rsid w:val="006A754A"/>
    <w:rsid w:val="006B65F2"/>
    <w:rsid w:val="006C5328"/>
    <w:rsid w:val="006D33B8"/>
    <w:rsid w:val="006E2F68"/>
    <w:rsid w:val="00716FB2"/>
    <w:rsid w:val="0072229D"/>
    <w:rsid w:val="007224F7"/>
    <w:rsid w:val="00734447"/>
    <w:rsid w:val="0073530B"/>
    <w:rsid w:val="007408CA"/>
    <w:rsid w:val="00742D07"/>
    <w:rsid w:val="007438FF"/>
    <w:rsid w:val="00743E3F"/>
    <w:rsid w:val="007474DB"/>
    <w:rsid w:val="00760892"/>
    <w:rsid w:val="0076125A"/>
    <w:rsid w:val="00776208"/>
    <w:rsid w:val="00782489"/>
    <w:rsid w:val="00784209"/>
    <w:rsid w:val="007855C9"/>
    <w:rsid w:val="00792E2A"/>
    <w:rsid w:val="00793F6A"/>
    <w:rsid w:val="0079416E"/>
    <w:rsid w:val="007A22CF"/>
    <w:rsid w:val="007B49ED"/>
    <w:rsid w:val="007C2FC5"/>
    <w:rsid w:val="007C3730"/>
    <w:rsid w:val="007C4BDB"/>
    <w:rsid w:val="007D196C"/>
    <w:rsid w:val="007D353F"/>
    <w:rsid w:val="007D77D3"/>
    <w:rsid w:val="007E430D"/>
    <w:rsid w:val="007E7D40"/>
    <w:rsid w:val="007F3D3D"/>
    <w:rsid w:val="00803203"/>
    <w:rsid w:val="00804519"/>
    <w:rsid w:val="00812270"/>
    <w:rsid w:val="00832FA5"/>
    <w:rsid w:val="00834DFE"/>
    <w:rsid w:val="00835D6A"/>
    <w:rsid w:val="00840DD0"/>
    <w:rsid w:val="00841511"/>
    <w:rsid w:val="00842076"/>
    <w:rsid w:val="00856856"/>
    <w:rsid w:val="00861C92"/>
    <w:rsid w:val="0086290F"/>
    <w:rsid w:val="00864800"/>
    <w:rsid w:val="00865247"/>
    <w:rsid w:val="00865B73"/>
    <w:rsid w:val="00873142"/>
    <w:rsid w:val="00892A1F"/>
    <w:rsid w:val="008930FB"/>
    <w:rsid w:val="00895FF5"/>
    <w:rsid w:val="008A1DAB"/>
    <w:rsid w:val="008A67AB"/>
    <w:rsid w:val="008C51A3"/>
    <w:rsid w:val="008C6E86"/>
    <w:rsid w:val="008D0547"/>
    <w:rsid w:val="008D2D71"/>
    <w:rsid w:val="008E2878"/>
    <w:rsid w:val="008E2E17"/>
    <w:rsid w:val="008E726A"/>
    <w:rsid w:val="008E7E11"/>
    <w:rsid w:val="008F189D"/>
    <w:rsid w:val="008F3450"/>
    <w:rsid w:val="009029DF"/>
    <w:rsid w:val="00905883"/>
    <w:rsid w:val="00910070"/>
    <w:rsid w:val="00914E63"/>
    <w:rsid w:val="00916337"/>
    <w:rsid w:val="0092266A"/>
    <w:rsid w:val="00922D8E"/>
    <w:rsid w:val="00932BC8"/>
    <w:rsid w:val="009335C8"/>
    <w:rsid w:val="00934888"/>
    <w:rsid w:val="0093542F"/>
    <w:rsid w:val="009358E7"/>
    <w:rsid w:val="0096094A"/>
    <w:rsid w:val="00960B69"/>
    <w:rsid w:val="009630E4"/>
    <w:rsid w:val="00967AA0"/>
    <w:rsid w:val="00970534"/>
    <w:rsid w:val="009767BB"/>
    <w:rsid w:val="00977F56"/>
    <w:rsid w:val="0098224D"/>
    <w:rsid w:val="009827D5"/>
    <w:rsid w:val="00985EA6"/>
    <w:rsid w:val="00987104"/>
    <w:rsid w:val="009A2AE5"/>
    <w:rsid w:val="009A589C"/>
    <w:rsid w:val="009A7580"/>
    <w:rsid w:val="009B120B"/>
    <w:rsid w:val="009B3934"/>
    <w:rsid w:val="009B4252"/>
    <w:rsid w:val="009C28AE"/>
    <w:rsid w:val="009C4A1C"/>
    <w:rsid w:val="009D23DC"/>
    <w:rsid w:val="00A00B92"/>
    <w:rsid w:val="00A06400"/>
    <w:rsid w:val="00A10200"/>
    <w:rsid w:val="00A14315"/>
    <w:rsid w:val="00A223FC"/>
    <w:rsid w:val="00A26BA7"/>
    <w:rsid w:val="00A34F8D"/>
    <w:rsid w:val="00A433D8"/>
    <w:rsid w:val="00A5280B"/>
    <w:rsid w:val="00A52EA0"/>
    <w:rsid w:val="00A5329C"/>
    <w:rsid w:val="00A54A78"/>
    <w:rsid w:val="00A57082"/>
    <w:rsid w:val="00A653A1"/>
    <w:rsid w:val="00A663A2"/>
    <w:rsid w:val="00A73FB8"/>
    <w:rsid w:val="00A74FD1"/>
    <w:rsid w:val="00A80BAD"/>
    <w:rsid w:val="00A936B3"/>
    <w:rsid w:val="00AA7C0A"/>
    <w:rsid w:val="00AB13B9"/>
    <w:rsid w:val="00AB3C0F"/>
    <w:rsid w:val="00AB4E49"/>
    <w:rsid w:val="00AB572B"/>
    <w:rsid w:val="00AB70B7"/>
    <w:rsid w:val="00AB76D5"/>
    <w:rsid w:val="00AC3678"/>
    <w:rsid w:val="00AC5B57"/>
    <w:rsid w:val="00AC5E53"/>
    <w:rsid w:val="00AC68FA"/>
    <w:rsid w:val="00AC7D5A"/>
    <w:rsid w:val="00AC7F7C"/>
    <w:rsid w:val="00AD7364"/>
    <w:rsid w:val="00AE33DC"/>
    <w:rsid w:val="00AE3BAD"/>
    <w:rsid w:val="00AE40BA"/>
    <w:rsid w:val="00AE6ED7"/>
    <w:rsid w:val="00AF3CE0"/>
    <w:rsid w:val="00AF7C8A"/>
    <w:rsid w:val="00B04114"/>
    <w:rsid w:val="00B44E44"/>
    <w:rsid w:val="00B45EC6"/>
    <w:rsid w:val="00B51C10"/>
    <w:rsid w:val="00B52FDA"/>
    <w:rsid w:val="00B60E25"/>
    <w:rsid w:val="00B63FA5"/>
    <w:rsid w:val="00B66209"/>
    <w:rsid w:val="00B70CD2"/>
    <w:rsid w:val="00B74729"/>
    <w:rsid w:val="00B773DA"/>
    <w:rsid w:val="00B82586"/>
    <w:rsid w:val="00B8399B"/>
    <w:rsid w:val="00B84F66"/>
    <w:rsid w:val="00BA6133"/>
    <w:rsid w:val="00BA6BCB"/>
    <w:rsid w:val="00BB44B9"/>
    <w:rsid w:val="00BC57DD"/>
    <w:rsid w:val="00BC5C12"/>
    <w:rsid w:val="00BC6134"/>
    <w:rsid w:val="00BC633A"/>
    <w:rsid w:val="00BC7C3C"/>
    <w:rsid w:val="00BD2134"/>
    <w:rsid w:val="00BD5FD0"/>
    <w:rsid w:val="00BD6582"/>
    <w:rsid w:val="00BE00BF"/>
    <w:rsid w:val="00BE7E0A"/>
    <w:rsid w:val="00BF63D6"/>
    <w:rsid w:val="00C04395"/>
    <w:rsid w:val="00C11655"/>
    <w:rsid w:val="00C15D24"/>
    <w:rsid w:val="00C21994"/>
    <w:rsid w:val="00C21A69"/>
    <w:rsid w:val="00C45FF3"/>
    <w:rsid w:val="00C5693C"/>
    <w:rsid w:val="00C600AA"/>
    <w:rsid w:val="00C609BC"/>
    <w:rsid w:val="00C65ECA"/>
    <w:rsid w:val="00C71B0D"/>
    <w:rsid w:val="00C7511D"/>
    <w:rsid w:val="00C841FA"/>
    <w:rsid w:val="00C85630"/>
    <w:rsid w:val="00C9071D"/>
    <w:rsid w:val="00CA48D5"/>
    <w:rsid w:val="00CA4FD6"/>
    <w:rsid w:val="00CA5361"/>
    <w:rsid w:val="00CB1B69"/>
    <w:rsid w:val="00CB1E6F"/>
    <w:rsid w:val="00CB451A"/>
    <w:rsid w:val="00CB7C37"/>
    <w:rsid w:val="00CC23ED"/>
    <w:rsid w:val="00CD2E69"/>
    <w:rsid w:val="00CE002B"/>
    <w:rsid w:val="00CF3742"/>
    <w:rsid w:val="00D01DEB"/>
    <w:rsid w:val="00D10FB7"/>
    <w:rsid w:val="00D11974"/>
    <w:rsid w:val="00D128FF"/>
    <w:rsid w:val="00D15AF0"/>
    <w:rsid w:val="00D15C1E"/>
    <w:rsid w:val="00D25C4B"/>
    <w:rsid w:val="00D42618"/>
    <w:rsid w:val="00D56839"/>
    <w:rsid w:val="00D61371"/>
    <w:rsid w:val="00D62160"/>
    <w:rsid w:val="00D70082"/>
    <w:rsid w:val="00D86E87"/>
    <w:rsid w:val="00D9006E"/>
    <w:rsid w:val="00D9156C"/>
    <w:rsid w:val="00D942CE"/>
    <w:rsid w:val="00DB1A50"/>
    <w:rsid w:val="00DB43CB"/>
    <w:rsid w:val="00DC6A47"/>
    <w:rsid w:val="00DD1549"/>
    <w:rsid w:val="00DD7C71"/>
    <w:rsid w:val="00DE787F"/>
    <w:rsid w:val="00DF2F7F"/>
    <w:rsid w:val="00DF698C"/>
    <w:rsid w:val="00E0283B"/>
    <w:rsid w:val="00E13D0F"/>
    <w:rsid w:val="00E172DD"/>
    <w:rsid w:val="00E21C2A"/>
    <w:rsid w:val="00E42BD6"/>
    <w:rsid w:val="00E50B36"/>
    <w:rsid w:val="00E66B4A"/>
    <w:rsid w:val="00E908BC"/>
    <w:rsid w:val="00E958A9"/>
    <w:rsid w:val="00EA1DB3"/>
    <w:rsid w:val="00EA39EC"/>
    <w:rsid w:val="00EC2694"/>
    <w:rsid w:val="00ED1A64"/>
    <w:rsid w:val="00ED26AB"/>
    <w:rsid w:val="00ED7470"/>
    <w:rsid w:val="00EE5E73"/>
    <w:rsid w:val="00EE720B"/>
    <w:rsid w:val="00EF4FF0"/>
    <w:rsid w:val="00F029DD"/>
    <w:rsid w:val="00F04E45"/>
    <w:rsid w:val="00F05BCB"/>
    <w:rsid w:val="00F1075C"/>
    <w:rsid w:val="00F113A1"/>
    <w:rsid w:val="00F15FBA"/>
    <w:rsid w:val="00F202DC"/>
    <w:rsid w:val="00F3616C"/>
    <w:rsid w:val="00F42DC6"/>
    <w:rsid w:val="00F46085"/>
    <w:rsid w:val="00F465F7"/>
    <w:rsid w:val="00F46707"/>
    <w:rsid w:val="00F47501"/>
    <w:rsid w:val="00F54F4B"/>
    <w:rsid w:val="00F63579"/>
    <w:rsid w:val="00F6424C"/>
    <w:rsid w:val="00F71D17"/>
    <w:rsid w:val="00F741D5"/>
    <w:rsid w:val="00F816A3"/>
    <w:rsid w:val="00F96FDD"/>
    <w:rsid w:val="00F97A17"/>
    <w:rsid w:val="00FC273E"/>
    <w:rsid w:val="00FD73E0"/>
    <w:rsid w:val="00FE3F91"/>
    <w:rsid w:val="00FE77D7"/>
    <w:rsid w:val="00FF25AC"/>
    <w:rsid w:val="01C0119C"/>
    <w:rsid w:val="05A99F77"/>
    <w:rsid w:val="06112820"/>
    <w:rsid w:val="0745FEE4"/>
    <w:rsid w:val="0877E03E"/>
    <w:rsid w:val="1CE9A9A9"/>
    <w:rsid w:val="208AC395"/>
    <w:rsid w:val="3FF544DE"/>
    <w:rsid w:val="4183B69D"/>
    <w:rsid w:val="41CAD2ED"/>
    <w:rsid w:val="5140C668"/>
    <w:rsid w:val="5B3820A2"/>
    <w:rsid w:val="6E9349AF"/>
    <w:rsid w:val="7473AE15"/>
    <w:rsid w:val="773A7D52"/>
    <w:rsid w:val="7ED10D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C600AA"/>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uiPriority w:val="99"/>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 w:type="character" w:styleId="tabchar" w:customStyle="1">
    <w:name w:val="tabchar"/>
    <w:basedOn w:val="Fuentedeprrafopredeter"/>
    <w:rsid w:val="000028C1"/>
  </w:style>
  <w:style w:type="character" w:styleId="Ttulo1Car" w:customStyle="1">
    <w:name w:val="Título 1 Car"/>
    <w:basedOn w:val="Fuentedeprrafopredeter"/>
    <w:link w:val="Ttulo1"/>
    <w:uiPriority w:val="9"/>
    <w:rsid w:val="00C600AA"/>
    <w:rPr>
      <w:rFonts w:asciiTheme="majorHAnsi" w:hAnsiTheme="majorHAnsi" w:eastAsiaTheme="majorEastAsia" w:cstheme="majorBidi"/>
      <w:color w:val="2F5496" w:themeColor="accent1" w:themeShade="BF"/>
      <w:sz w:val="32"/>
      <w:szCs w:val="3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124811277">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306083150">
      <w:bodyDiv w:val="1"/>
      <w:marLeft w:val="0"/>
      <w:marRight w:val="0"/>
      <w:marTop w:val="0"/>
      <w:marBottom w:val="0"/>
      <w:divBdr>
        <w:top w:val="none" w:sz="0" w:space="0" w:color="auto"/>
        <w:left w:val="none" w:sz="0" w:space="0" w:color="auto"/>
        <w:bottom w:val="none" w:sz="0" w:space="0" w:color="auto"/>
        <w:right w:val="none" w:sz="0" w:space="0" w:color="auto"/>
      </w:divBdr>
    </w:div>
    <w:div w:id="426466622">
      <w:bodyDiv w:val="1"/>
      <w:marLeft w:val="0"/>
      <w:marRight w:val="0"/>
      <w:marTop w:val="0"/>
      <w:marBottom w:val="0"/>
      <w:divBdr>
        <w:top w:val="none" w:sz="0" w:space="0" w:color="auto"/>
        <w:left w:val="none" w:sz="0" w:space="0" w:color="auto"/>
        <w:bottom w:val="none" w:sz="0" w:space="0" w:color="auto"/>
        <w:right w:val="none" w:sz="0" w:space="0" w:color="auto"/>
      </w:divBdr>
    </w:div>
    <w:div w:id="454444420">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67865463">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505678227">
      <w:bodyDiv w:val="1"/>
      <w:marLeft w:val="0"/>
      <w:marRight w:val="0"/>
      <w:marTop w:val="0"/>
      <w:marBottom w:val="0"/>
      <w:divBdr>
        <w:top w:val="none" w:sz="0" w:space="0" w:color="auto"/>
        <w:left w:val="none" w:sz="0" w:space="0" w:color="auto"/>
        <w:bottom w:val="none" w:sz="0" w:space="0" w:color="auto"/>
        <w:right w:val="none" w:sz="0" w:space="0" w:color="auto"/>
      </w:divBdr>
    </w:div>
    <w:div w:id="563302118">
      <w:bodyDiv w:val="1"/>
      <w:marLeft w:val="0"/>
      <w:marRight w:val="0"/>
      <w:marTop w:val="0"/>
      <w:marBottom w:val="0"/>
      <w:divBdr>
        <w:top w:val="none" w:sz="0" w:space="0" w:color="auto"/>
        <w:left w:val="none" w:sz="0" w:space="0" w:color="auto"/>
        <w:bottom w:val="none" w:sz="0" w:space="0" w:color="auto"/>
        <w:right w:val="none" w:sz="0" w:space="0" w:color="auto"/>
      </w:divBdr>
    </w:div>
    <w:div w:id="596862880">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47338901">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21308019">
      <w:bodyDiv w:val="1"/>
      <w:marLeft w:val="0"/>
      <w:marRight w:val="0"/>
      <w:marTop w:val="0"/>
      <w:marBottom w:val="0"/>
      <w:divBdr>
        <w:top w:val="none" w:sz="0" w:space="0" w:color="auto"/>
        <w:left w:val="none" w:sz="0" w:space="0" w:color="auto"/>
        <w:bottom w:val="none" w:sz="0" w:space="0" w:color="auto"/>
        <w:right w:val="none" w:sz="0" w:space="0" w:color="auto"/>
      </w:divBdr>
    </w:div>
    <w:div w:id="827480848">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828909327">
      <w:bodyDiv w:val="1"/>
      <w:marLeft w:val="0"/>
      <w:marRight w:val="0"/>
      <w:marTop w:val="0"/>
      <w:marBottom w:val="0"/>
      <w:divBdr>
        <w:top w:val="none" w:sz="0" w:space="0" w:color="auto"/>
        <w:left w:val="none" w:sz="0" w:space="0" w:color="auto"/>
        <w:bottom w:val="none" w:sz="0" w:space="0" w:color="auto"/>
        <w:right w:val="none" w:sz="0" w:space="0" w:color="auto"/>
      </w:divBdr>
    </w:div>
    <w:div w:id="865752995">
      <w:bodyDiv w:val="1"/>
      <w:marLeft w:val="0"/>
      <w:marRight w:val="0"/>
      <w:marTop w:val="0"/>
      <w:marBottom w:val="0"/>
      <w:divBdr>
        <w:top w:val="none" w:sz="0" w:space="0" w:color="auto"/>
        <w:left w:val="none" w:sz="0" w:space="0" w:color="auto"/>
        <w:bottom w:val="none" w:sz="0" w:space="0" w:color="auto"/>
        <w:right w:val="none" w:sz="0" w:space="0" w:color="auto"/>
      </w:divBdr>
    </w:div>
    <w:div w:id="907956576">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961301617">
      <w:bodyDiv w:val="1"/>
      <w:marLeft w:val="0"/>
      <w:marRight w:val="0"/>
      <w:marTop w:val="0"/>
      <w:marBottom w:val="0"/>
      <w:divBdr>
        <w:top w:val="none" w:sz="0" w:space="0" w:color="auto"/>
        <w:left w:val="none" w:sz="0" w:space="0" w:color="auto"/>
        <w:bottom w:val="none" w:sz="0" w:space="0" w:color="auto"/>
        <w:right w:val="none" w:sz="0" w:space="0" w:color="auto"/>
      </w:divBdr>
    </w:div>
    <w:div w:id="973098713">
      <w:bodyDiv w:val="1"/>
      <w:marLeft w:val="0"/>
      <w:marRight w:val="0"/>
      <w:marTop w:val="0"/>
      <w:marBottom w:val="0"/>
      <w:divBdr>
        <w:top w:val="none" w:sz="0" w:space="0" w:color="auto"/>
        <w:left w:val="none" w:sz="0" w:space="0" w:color="auto"/>
        <w:bottom w:val="none" w:sz="0" w:space="0" w:color="auto"/>
        <w:right w:val="none" w:sz="0" w:space="0" w:color="auto"/>
      </w:divBdr>
    </w:div>
    <w:div w:id="1002321281">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106928793">
      <w:bodyDiv w:val="1"/>
      <w:marLeft w:val="0"/>
      <w:marRight w:val="0"/>
      <w:marTop w:val="0"/>
      <w:marBottom w:val="0"/>
      <w:divBdr>
        <w:top w:val="none" w:sz="0" w:space="0" w:color="auto"/>
        <w:left w:val="none" w:sz="0" w:space="0" w:color="auto"/>
        <w:bottom w:val="none" w:sz="0" w:space="0" w:color="auto"/>
        <w:right w:val="none" w:sz="0" w:space="0" w:color="auto"/>
      </w:divBdr>
    </w:div>
    <w:div w:id="1127243084">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292053017">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52336980">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392803462">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74701942">
      <w:bodyDiv w:val="1"/>
      <w:marLeft w:val="0"/>
      <w:marRight w:val="0"/>
      <w:marTop w:val="0"/>
      <w:marBottom w:val="0"/>
      <w:divBdr>
        <w:top w:val="none" w:sz="0" w:space="0" w:color="auto"/>
        <w:left w:val="none" w:sz="0" w:space="0" w:color="auto"/>
        <w:bottom w:val="none" w:sz="0" w:space="0" w:color="auto"/>
        <w:right w:val="none" w:sz="0" w:space="0" w:color="auto"/>
      </w:divBdr>
    </w:div>
    <w:div w:id="1578906515">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604998336">
      <w:bodyDiv w:val="1"/>
      <w:marLeft w:val="0"/>
      <w:marRight w:val="0"/>
      <w:marTop w:val="0"/>
      <w:marBottom w:val="0"/>
      <w:divBdr>
        <w:top w:val="none" w:sz="0" w:space="0" w:color="auto"/>
        <w:left w:val="none" w:sz="0" w:space="0" w:color="auto"/>
        <w:bottom w:val="none" w:sz="0" w:space="0" w:color="auto"/>
        <w:right w:val="none" w:sz="0" w:space="0" w:color="auto"/>
      </w:divBdr>
    </w:div>
    <w:div w:id="1607154344">
      <w:bodyDiv w:val="1"/>
      <w:marLeft w:val="0"/>
      <w:marRight w:val="0"/>
      <w:marTop w:val="0"/>
      <w:marBottom w:val="0"/>
      <w:divBdr>
        <w:top w:val="none" w:sz="0" w:space="0" w:color="auto"/>
        <w:left w:val="none" w:sz="0" w:space="0" w:color="auto"/>
        <w:bottom w:val="none" w:sz="0" w:space="0" w:color="auto"/>
        <w:right w:val="none" w:sz="0" w:space="0" w:color="auto"/>
      </w:divBdr>
    </w:div>
    <w:div w:id="1615551611">
      <w:bodyDiv w:val="1"/>
      <w:marLeft w:val="0"/>
      <w:marRight w:val="0"/>
      <w:marTop w:val="0"/>
      <w:marBottom w:val="0"/>
      <w:divBdr>
        <w:top w:val="none" w:sz="0" w:space="0" w:color="auto"/>
        <w:left w:val="none" w:sz="0" w:space="0" w:color="auto"/>
        <w:bottom w:val="none" w:sz="0" w:space="0" w:color="auto"/>
        <w:right w:val="none" w:sz="0" w:space="0" w:color="auto"/>
      </w:divBdr>
    </w:div>
    <w:div w:id="1670794280">
      <w:bodyDiv w:val="1"/>
      <w:marLeft w:val="0"/>
      <w:marRight w:val="0"/>
      <w:marTop w:val="0"/>
      <w:marBottom w:val="0"/>
      <w:divBdr>
        <w:top w:val="none" w:sz="0" w:space="0" w:color="auto"/>
        <w:left w:val="none" w:sz="0" w:space="0" w:color="auto"/>
        <w:bottom w:val="none" w:sz="0" w:space="0" w:color="auto"/>
        <w:right w:val="none" w:sz="0" w:space="0" w:color="auto"/>
      </w:divBdr>
    </w:div>
    <w:div w:id="1716854272">
      <w:bodyDiv w:val="1"/>
      <w:marLeft w:val="0"/>
      <w:marRight w:val="0"/>
      <w:marTop w:val="0"/>
      <w:marBottom w:val="0"/>
      <w:divBdr>
        <w:top w:val="none" w:sz="0" w:space="0" w:color="auto"/>
        <w:left w:val="none" w:sz="0" w:space="0" w:color="auto"/>
        <w:bottom w:val="none" w:sz="0" w:space="0" w:color="auto"/>
        <w:right w:val="none" w:sz="0" w:space="0" w:color="auto"/>
      </w:divBdr>
    </w:div>
    <w:div w:id="1788234659">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09876248">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1274307">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048141668">
      <w:bodyDiv w:val="1"/>
      <w:marLeft w:val="0"/>
      <w:marRight w:val="0"/>
      <w:marTop w:val="0"/>
      <w:marBottom w:val="0"/>
      <w:divBdr>
        <w:top w:val="none" w:sz="0" w:space="0" w:color="auto"/>
        <w:left w:val="none" w:sz="0" w:space="0" w:color="auto"/>
        <w:bottom w:val="none" w:sz="0" w:space="0" w:color="auto"/>
        <w:right w:val="none" w:sz="0" w:space="0" w:color="auto"/>
      </w:divBdr>
    </w:div>
    <w:div w:id="2064059800">
      <w:bodyDiv w:val="1"/>
      <w:marLeft w:val="0"/>
      <w:marRight w:val="0"/>
      <w:marTop w:val="0"/>
      <w:marBottom w:val="0"/>
      <w:divBdr>
        <w:top w:val="none" w:sz="0" w:space="0" w:color="auto"/>
        <w:left w:val="none" w:sz="0" w:space="0" w:color="auto"/>
        <w:bottom w:val="none" w:sz="0" w:space="0" w:color="auto"/>
        <w:right w:val="none" w:sz="0" w:space="0" w:color="auto"/>
      </w:divBdr>
    </w:div>
    <w:div w:id="206840975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76FEB2E5-23A7-4773-9128-3CDD95C81C7A}"/>
</file>

<file path=customXml/itemProps3.xml><?xml version="1.0" encoding="utf-8"?>
<ds:datastoreItem xmlns:ds="http://schemas.openxmlformats.org/officeDocument/2006/customXml" ds:itemID="{9FFBEF72-4560-4B3F-802C-00F321EBC8D2}"/>
</file>

<file path=customXml/itemProps4.xml><?xml version="1.0" encoding="utf-8"?>
<ds:datastoreItem xmlns:ds="http://schemas.openxmlformats.org/officeDocument/2006/customXml" ds:itemID="{7D13D1D1-5B47-47A5-B2F8-A8722B96E08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306</cp:revision>
  <cp:lastPrinted>2022-06-07T22:19:00Z</cp:lastPrinted>
  <dcterms:created xsi:type="dcterms:W3CDTF">2020-12-18T20:09:00Z</dcterms:created>
  <dcterms:modified xsi:type="dcterms:W3CDTF">2025-04-09T17:27:45Z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