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B73A8" w:rsidR="00F15FBA" w:rsidP="00F15FBA" w:rsidRDefault="00F15FBA" w14:paraId="6BA6C8A5" w14:textId="735AB538">
      <w:pPr>
        <w:pStyle w:val="Ttulo"/>
        <w:outlineLvl w:val="0"/>
        <w:rPr>
          <w:lang w:val="es-PE"/>
        </w:rPr>
      </w:pPr>
      <w:r w:rsidRPr="008B73A8">
        <w:rPr>
          <w:lang w:val="es-PE"/>
        </w:rPr>
        <w:t xml:space="preserve">RESOLUCIÓN </w:t>
      </w:r>
      <w:proofErr w:type="spellStart"/>
      <w:r w:rsidRPr="008B73A8">
        <w:rPr>
          <w:lang w:val="es-PE"/>
        </w:rPr>
        <w:t>N</w:t>
      </w:r>
      <w:r w:rsidRPr="008B73A8" w:rsidR="001631D6">
        <w:rPr>
          <w:lang w:val="es-PE"/>
        </w:rPr>
        <w:t>°</w:t>
      </w:r>
      <w:proofErr w:type="spellEnd"/>
      <w:r w:rsidRPr="008B73A8" w:rsidR="001631D6">
        <w:rPr>
          <w:lang w:val="es-PE"/>
        </w:rPr>
        <w:t xml:space="preserve"> </w:t>
      </w:r>
      <w:r w:rsidRPr="008B73A8" w:rsidR="00674D09">
        <w:rPr>
          <w:lang w:val="es-PE"/>
        </w:rPr>
        <w:t>1</w:t>
      </w:r>
      <w:r w:rsidRPr="008B73A8" w:rsidR="00782CC3">
        <w:rPr>
          <w:lang w:val="es-PE"/>
        </w:rPr>
        <w:t>70</w:t>
      </w:r>
      <w:r w:rsidRPr="008B73A8" w:rsidR="00F96FDD">
        <w:rPr>
          <w:lang w:val="es-PE"/>
        </w:rPr>
        <w:t>/</w:t>
      </w:r>
      <w:r w:rsidRPr="008B73A8" w:rsidR="001631D6">
        <w:rPr>
          <w:lang w:val="es-PE"/>
        </w:rPr>
        <w:t>2</w:t>
      </w:r>
      <w:r w:rsidRPr="008B73A8" w:rsidR="00444D29">
        <w:rPr>
          <w:lang w:val="es-PE"/>
        </w:rPr>
        <w:t>2</w:t>
      </w:r>
    </w:p>
    <w:p w:rsidRPr="008B73A8" w:rsidR="009C7A53" w:rsidP="000178DD" w:rsidRDefault="009C7A53" w14:paraId="52B21B6E" w14:textId="1F313932">
      <w:pPr>
        <w:jc w:val="both"/>
        <w:rPr>
          <w:b/>
          <w:bCs/>
          <w:lang w:val="es-PE"/>
        </w:rPr>
      </w:pPr>
    </w:p>
    <w:p w:rsidRPr="008B73A8" w:rsidR="008B73A8" w:rsidP="008B73A8" w:rsidRDefault="008B73A8" w14:paraId="0B5FAD3D" w14:textId="77777777">
      <w:pPr>
        <w:jc w:val="both"/>
        <w:outlineLvl w:val="0"/>
        <w:rPr>
          <w:b/>
          <w:bCs/>
          <w:lang w:val="es-PE"/>
        </w:rPr>
      </w:pPr>
      <w:r w:rsidRPr="008B73A8">
        <w:rPr>
          <w:b/>
          <w:bCs/>
          <w:lang w:val="es-PE"/>
        </w:rPr>
        <w:t>Vistos:</w:t>
      </w:r>
    </w:p>
    <w:p w:rsidRPr="008B73A8" w:rsidR="008B73A8" w:rsidP="008B73A8" w:rsidRDefault="008B73A8" w14:paraId="7085C0BE" w14:textId="77777777">
      <w:pPr>
        <w:jc w:val="both"/>
        <w:rPr>
          <w:b/>
          <w:bCs/>
          <w:lang w:val="es-PE"/>
        </w:rPr>
      </w:pPr>
    </w:p>
    <w:p w:rsidRPr="008B73A8" w:rsidR="008B73A8" w:rsidP="3322F01F" w:rsidRDefault="008B73A8" w14:paraId="56403315" w14:textId="4D4E67AC">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322F01F" w:rsidR="008B73A8">
        <w:rPr>
          <w:lang w:val="es-PE"/>
        </w:rPr>
        <w:t xml:space="preserve">Que, el 12 de abril de 2022, doña </w:t>
      </w:r>
      <w:r w:rsidRPr="3322F01F" w:rsidR="2284F873">
        <w:rPr>
          <w:lang w:val="es-PE"/>
        </w:rPr>
        <w:t>.....................................................................</w:t>
      </w:r>
      <w:r w:rsidRPr="3322F01F" w:rsidR="008B73A8">
        <w:rPr>
          <w:lang w:val="es-PE"/>
        </w:rPr>
        <w:t xml:space="preserve"> i</w:t>
      </w:r>
      <w:r w:rsidRPr="3322F01F" w:rsidR="008B73A8">
        <w:rPr>
          <w:lang w:val="es-PE"/>
        </w:rPr>
        <w:t xml:space="preserve">nterpone reclamación ante esta Defensoría del Asegurado (DEFASEG), solicitando que </w:t>
      </w:r>
      <w:r w:rsidRPr="3322F01F" w:rsidR="4073E6E3">
        <w:rPr>
          <w:lang w:val="es-PE"/>
        </w:rPr>
        <w:t>........................</w:t>
      </w:r>
      <w:r w:rsidRPr="3322F01F" w:rsidR="008B73A8">
        <w:rPr>
          <w:lang w:val="es-PE"/>
        </w:rPr>
        <w:t xml:space="preserve"> otorgue debida cobertura por el fallecimiento de su cónyuge el señor </w:t>
      </w:r>
      <w:r w:rsidRPr="3322F01F" w:rsidR="3424B72E">
        <w:rPr>
          <w:lang w:val="es-PE"/>
        </w:rPr>
        <w:t>......................................</w:t>
      </w:r>
      <w:r w:rsidRPr="3322F01F" w:rsidR="008B73A8">
        <w:rPr>
          <w:lang w:val="es-PE"/>
        </w:rPr>
        <w:t xml:space="preserve">, conforme a la póliza SOAT que afectó al vehículo de placa de rodaje </w:t>
      </w:r>
      <w:r w:rsidR="008B73A8">
        <w:rPr/>
        <w:t>F4E-376</w:t>
      </w:r>
      <w:r w:rsidRPr="3322F01F" w:rsidR="008B73A8">
        <w:rPr>
          <w:lang w:val="es-PE"/>
        </w:rPr>
        <w:t>.</w:t>
      </w:r>
    </w:p>
    <w:p w:rsidRPr="008B73A8" w:rsidR="008B73A8" w:rsidP="008B73A8" w:rsidRDefault="008B73A8" w14:paraId="77F4826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8B73A8" w:rsidR="008B73A8" w:rsidP="008B73A8" w:rsidRDefault="008B73A8" w14:paraId="7A3C423F" w14:textId="77777777">
      <w:pPr>
        <w:jc w:val="both"/>
        <w:rPr>
          <w:rFonts w:eastAsia="Arial Unicode MS"/>
          <w:lang w:val="es-PE"/>
        </w:rPr>
      </w:pPr>
      <w:r w:rsidRPr="008B73A8">
        <w:rPr>
          <w:rFonts w:eastAsia="Arial Unicode MS"/>
          <w:lang w:val="es-PE"/>
        </w:rPr>
        <w:t>Que, la señalada reclamación cumple con los requisitos de materia, cuantía y oportunidad establecidos en el reglamento de la DEFASEG (http://www.defaseg.com.pe/reglamento);</w:t>
      </w:r>
    </w:p>
    <w:p w:rsidRPr="008B73A8" w:rsidR="008B73A8" w:rsidP="008B73A8" w:rsidRDefault="008B73A8" w14:paraId="74C662FE" w14:textId="77777777">
      <w:pPr>
        <w:tabs>
          <w:tab w:val="left" w:pos="2160"/>
        </w:tabs>
        <w:jc w:val="both"/>
        <w:rPr>
          <w:lang w:val="es-PE"/>
        </w:rPr>
      </w:pPr>
    </w:p>
    <w:p w:rsidRPr="008B73A8" w:rsidR="008B73A8" w:rsidP="008B73A8" w:rsidRDefault="008B73A8" w14:paraId="79D0B111" w14:textId="77777777">
      <w:pPr>
        <w:tabs>
          <w:tab w:val="num" w:pos="720"/>
        </w:tabs>
        <w:jc w:val="both"/>
        <w:rPr>
          <w:lang w:val="es-PE"/>
        </w:rPr>
      </w:pPr>
      <w:r w:rsidRPr="008B73A8">
        <w:rPr>
          <w:lang w:val="es-PE"/>
        </w:rPr>
        <w:t>Que, el 10 de mayo de 2022 se corrió traslado de la señalada reclamación a la aseguradora, solicitando esta un plazo adicional para presentar sus descargos los cuales presentó el 25 de mayo de 2022;</w:t>
      </w:r>
    </w:p>
    <w:p w:rsidRPr="008B73A8" w:rsidR="008B73A8" w:rsidP="008B73A8" w:rsidRDefault="008B73A8" w14:paraId="5625D0AF" w14:textId="77777777">
      <w:pPr>
        <w:tabs>
          <w:tab w:val="num" w:pos="720"/>
        </w:tabs>
        <w:jc w:val="both"/>
        <w:rPr>
          <w:lang w:val="es-PE"/>
        </w:rPr>
      </w:pPr>
    </w:p>
    <w:p w:rsidRPr="008B73A8" w:rsidR="008B73A8" w:rsidP="008B73A8" w:rsidRDefault="008B73A8" w14:paraId="03C3BEFE" w14:textId="77777777">
      <w:pPr>
        <w:tabs>
          <w:tab w:val="num" w:pos="720"/>
        </w:tabs>
        <w:jc w:val="both"/>
        <w:rPr>
          <w:lang w:val="es-PE"/>
        </w:rPr>
      </w:pPr>
      <w:r w:rsidRPr="008B73A8">
        <w:rPr>
          <w:lang w:val="es-PE"/>
        </w:rPr>
        <w:t>Que, el 25 de julio de 2022 se realizó la audiencia virtual de vista con la participación de ambas partes, quienes expusieron su posición sobre los alcances de la reclamación, absolviendo las diversas preguntas formuladas por este colegiado, conforme consta de la correspondiente acta;</w:t>
      </w:r>
    </w:p>
    <w:p w:rsidRPr="008B73A8" w:rsidR="008B73A8" w:rsidP="008B73A8" w:rsidRDefault="008B73A8" w14:paraId="0782BB97" w14:textId="77777777">
      <w:pPr>
        <w:tabs>
          <w:tab w:val="num" w:pos="720"/>
        </w:tabs>
        <w:jc w:val="both"/>
        <w:rPr>
          <w:lang w:val="es-PE"/>
        </w:rPr>
      </w:pPr>
    </w:p>
    <w:p w:rsidRPr="008B73A8" w:rsidR="008B73A8" w:rsidP="008B73A8" w:rsidRDefault="008B73A8" w14:paraId="3D6354DD" w14:textId="77777777">
      <w:pPr>
        <w:jc w:val="both"/>
        <w:rPr>
          <w:lang w:val="es-PE"/>
        </w:rPr>
      </w:pPr>
      <w:r w:rsidRPr="008B73A8">
        <w:rPr>
          <w:lang w:val="es-PE"/>
        </w:rPr>
        <w:t xml:space="preserve">Que, la reclamación interpuesta se sustenta resumidamente en los hechos y fundamentos siguientes: a) con fecha 04 de enero de 2021 su cónyuge manejaba en la vía pública cuando advirtió una falla mecánica (sonido) en su vehículo marca </w:t>
      </w:r>
      <w:proofErr w:type="spellStart"/>
      <w:r w:rsidRPr="008B73A8">
        <w:rPr>
          <w:lang w:val="es-PE"/>
        </w:rPr>
        <w:t>Ssangyong</w:t>
      </w:r>
      <w:proofErr w:type="spellEnd"/>
      <w:r w:rsidRPr="008B73A8">
        <w:rPr>
          <w:lang w:val="es-PE"/>
        </w:rPr>
        <w:t xml:space="preserve">, ante ello detuvo el vehículo en la </w:t>
      </w:r>
      <w:proofErr w:type="spellStart"/>
      <w:r w:rsidRPr="008B73A8">
        <w:rPr>
          <w:lang w:val="es-PE"/>
        </w:rPr>
        <w:t>via</w:t>
      </w:r>
      <w:proofErr w:type="spellEnd"/>
      <w:r w:rsidRPr="008B73A8">
        <w:rPr>
          <w:lang w:val="es-PE"/>
        </w:rPr>
        <w:t xml:space="preserve"> pública, descendió, insertó la gata mecánica a fin de levantar el vehículo, luego de cual retiró una de las llantas delanteras, y encontrándose echado debajo del vehículo la gata mecánica cede aplastándolo; b) en el parte policial se califica el hecho como “ocurrencia de calle bajo la tipificación de muerte repentina, siendo que en la ampliación de la denuncia se establece accidente con consecuencia fatal; c) al reclamar la cobertura del SOAT le han rechazado la misma por cuanto la aseguradora considera que no estamos ante un accidente de tránsito de lo cual discrepa, pues la normativa vigente define al accidente de tránsito del modo siguiente: </w:t>
      </w:r>
      <w:r w:rsidRPr="008B73A8">
        <w:rPr>
          <w:i/>
          <w:iCs/>
          <w:lang w:val="es-PE"/>
        </w:rPr>
        <w:t>“Accidente de Tránsito.- Evento súbito, imprevisto y violento (incluyendo incendio y acto terrorista) en el que participa un vehículo automotor en marcha o en reposo (detenido o estacionado” en la vía de uso público, causando daños a las personas, sean ocupantes o terceros no ocupantes de vehículo automotor, que pueda ser determinado de una manera cierta”;</w:t>
      </w:r>
      <w:r w:rsidRPr="008B73A8">
        <w:rPr>
          <w:lang w:val="es-PE"/>
        </w:rPr>
        <w:t xml:space="preserve"> situación que considera ocurrió en este caso; d) añade, que en el cuadro del mes de mayo de 2021 que emite la aseguradora, incluye dentro de la relación de personas fallecidas en accidentes de tránsito con cobertura de SOAT cuyos beneficiarios no han cobrado indemnización, a su cónyuge, lo cual también evidencia que estamos ante un accidente de tránsito reconocido como tal por la propia aseguradora, la misma publicación se hace en el mes de junio de 2021.</w:t>
      </w:r>
    </w:p>
    <w:p w:rsidRPr="008B73A8" w:rsidR="008B73A8" w:rsidP="008B73A8" w:rsidRDefault="008B73A8" w14:paraId="26BB874A" w14:textId="77777777">
      <w:pPr>
        <w:pStyle w:val="Ttulo1"/>
        <w:rPr>
          <w:rFonts w:ascii="Times New Roman" w:hAnsi="Times New Roman" w:cs="Times New Roman"/>
          <w:sz w:val="24"/>
          <w:szCs w:val="24"/>
          <w:u w:val="single"/>
          <w:lang w:val="es-PE"/>
        </w:rPr>
      </w:pPr>
    </w:p>
    <w:p w:rsidRPr="008B73A8" w:rsidR="008B73A8" w:rsidP="008B73A8" w:rsidRDefault="008B73A8" w14:paraId="0341F608" w14:textId="77777777">
      <w:pPr>
        <w:jc w:val="both"/>
        <w:rPr>
          <w:lang w:val="es-PE"/>
        </w:rPr>
      </w:pPr>
      <w:r w:rsidRPr="008B73A8">
        <w:t xml:space="preserve">Que, por su parte, la aseguradora sustenta el rechazo de siniestro resumidamente en lo siguiente: </w:t>
      </w:r>
      <w:r w:rsidRPr="008B73A8">
        <w:rPr>
          <w:lang w:val="es-PE"/>
        </w:rPr>
        <w:t xml:space="preserve">a) con fecha 18 de enero de 2021 recibieron la solicitud de cobertura por fallecimiento y reembolso de gastos de sepelio presentada por la reclamante; b) con fecha 26 de enero de 2021 denegaron la solicitud por considerar que los hechos no se encontraban </w:t>
      </w:r>
      <w:r w:rsidRPr="008B73A8">
        <w:rPr>
          <w:lang w:val="es-PE"/>
        </w:rPr>
        <w:t xml:space="preserve">dentro de los supuestos de cobertura del SOAT, al no ser considerado un accidente de tránsito; c) la reclamante presentó una solicitud adicional con fecha 07 de junio de 2021, adjuntando la carpeta fiscal que detalla los hechos del accidente, la que evidencia que el señor Javier falleció producto del aplastamiento de su vehículo; solicitud que fue contestada mediante comunicación de fecha 14 de junio de 2021 reafirmando su posición de rechazo, toda vez que el accidente se produjo cuando el señor Javier se encontraba cambiando la llanta del vehículo, es decir, no se encontraba transitando en la vía de uso público; d) el siniestro ocurrió debido a un desafortunado descuido del señor Javier, al no tomar las precauciones para hacer el cambio de la llanta, motivando que sea aplastado por su propio vehículo, lo que no califica como un accidente de tránsito, de conformidad con la definición contenida en el reglamento del SOAT, e) esta posición se ve respaldada con los fundamentos que utilizó la Sala de Protección al Consumidor en la Resolución </w:t>
      </w:r>
      <w:proofErr w:type="spellStart"/>
      <w:r w:rsidRPr="008B73A8">
        <w:rPr>
          <w:lang w:val="es-PE"/>
        </w:rPr>
        <w:t>Nº</w:t>
      </w:r>
      <w:proofErr w:type="spellEnd"/>
      <w:r w:rsidRPr="008B73A8">
        <w:rPr>
          <w:lang w:val="es-PE"/>
        </w:rPr>
        <w:t xml:space="preserve"> 1003-2021/SPC-INDECOPI, de fecha 05 de mayo de 2021, en un caso similar al presente, en el que señaló que el siniestro “</w:t>
      </w:r>
      <w:r w:rsidRPr="008B73A8">
        <w:rPr>
          <w:i/>
          <w:iCs/>
          <w:lang w:val="es-PE"/>
        </w:rPr>
        <w:t>se generó no como consecuencia de una circulación o colisión de vehículos, en la que  participó la unidad antes descrita, sino en el marco de una reparación dada por la víctima, en pleno ejercicio de sus labores, que por un evento súbito e imprevisto, derivó en su deceso”;</w:t>
      </w:r>
      <w:r w:rsidRPr="008B73A8">
        <w:rPr>
          <w:lang w:val="es-PE"/>
        </w:rPr>
        <w:t xml:space="preserve"> añadiendo que </w:t>
      </w:r>
      <w:r w:rsidRPr="008B73A8">
        <w:rPr>
          <w:i/>
          <w:iCs/>
          <w:lang w:val="es-PE"/>
        </w:rPr>
        <w:t xml:space="preserve">“admitir lo contrario, implicaría aceptar que cualquier incidente en el que esté involucrado una unidad vehicular que tenga contratado el SOAT, obligaría a las empresas aseguradoras a otorgar las coberturas contratadas por los propietarios de los vehículos, siendo que tal situación desnaturaliza la finalidad del seguro. En efecto, la finalidad del SOAT es en principio cubrir a las personas víctimas de un accidente de tránsito, sean ocupantes o no del vehículo, que generen daños efectivos a la integridad física de los que intervienen en el incidente, pero no respecto de actos que por ley son calificados como enteramente extraños a la circulación del vehículo, de modo que no puede, por estos, generarse responsabilidad a las aseguradoras”; </w:t>
      </w:r>
      <w:r w:rsidRPr="008B73A8">
        <w:rPr>
          <w:lang w:val="es-PE"/>
        </w:rPr>
        <w:t xml:space="preserve">f) que el hecho que se haya considerado al señor Javier en la lista de “fallecidos no pagados publicación en web IS- </w:t>
      </w:r>
      <w:proofErr w:type="spellStart"/>
      <w:r w:rsidRPr="008B73A8">
        <w:rPr>
          <w:lang w:val="es-PE"/>
        </w:rPr>
        <w:t>Soat</w:t>
      </w:r>
      <w:proofErr w:type="spellEnd"/>
      <w:r w:rsidRPr="008B73A8">
        <w:rPr>
          <w:lang w:val="es-PE"/>
        </w:rPr>
        <w:t>” dicha lista tiene la finalidad de cumplir con lo establecido en las normas del SOAT, que exige publicar y difundir la toma de conocimiento del siniestro hasta la fecha de prescripción del mismo; lo que no genera un derecho a favor de la reclamante.</w:t>
      </w:r>
    </w:p>
    <w:p w:rsidRPr="008B73A8" w:rsidR="008B73A8" w:rsidP="008B73A8" w:rsidRDefault="008B73A8" w14:paraId="148843B6" w14:textId="77777777">
      <w:pPr>
        <w:jc w:val="both"/>
        <w:rPr>
          <w:lang w:val="es-PE"/>
        </w:rPr>
      </w:pPr>
    </w:p>
    <w:p w:rsidRPr="008B73A8" w:rsidR="008B73A8" w:rsidP="008B73A8" w:rsidRDefault="008B73A8" w14:paraId="4A9A5670" w14:textId="77777777">
      <w:pPr>
        <w:jc w:val="both"/>
        <w:rPr>
          <w:lang w:val="es-PE"/>
        </w:rPr>
      </w:pPr>
      <w:r w:rsidRPr="008B73A8">
        <w:rPr>
          <w:lang w:val="es-PE"/>
        </w:rPr>
        <w:t>Que, a la fecha, el estado del proceso permite que este colegiado pueda expedir su pronunciamiento sobre el caso sometido a su conocimiento, atendiendo a la documentación obrante en el expediente y a lo sustentado por las partes;</w:t>
      </w:r>
    </w:p>
    <w:p w:rsidRPr="008B73A8" w:rsidR="008B73A8" w:rsidP="008B73A8" w:rsidRDefault="008B73A8" w14:paraId="1DF2F5CF" w14:textId="77777777">
      <w:pPr>
        <w:jc w:val="both"/>
        <w:rPr>
          <w:lang w:val="es-PE"/>
        </w:rPr>
      </w:pPr>
    </w:p>
    <w:p w:rsidRPr="008B73A8" w:rsidR="008B73A8" w:rsidP="008B73A8" w:rsidRDefault="008B73A8" w14:paraId="0CCCC7FD" w14:textId="77777777">
      <w:pPr>
        <w:jc w:val="both"/>
        <w:outlineLvl w:val="0"/>
        <w:rPr>
          <w:lang w:val="es-PE"/>
        </w:rPr>
      </w:pPr>
      <w:r w:rsidRPr="008B73A8">
        <w:rPr>
          <w:rStyle w:val="Textoennegrita"/>
          <w:lang w:val="es-PE"/>
        </w:rPr>
        <w:t>Considerando:</w:t>
      </w:r>
    </w:p>
    <w:p w:rsidRPr="008B73A8" w:rsidR="008B73A8" w:rsidP="008B73A8" w:rsidRDefault="008B73A8" w14:paraId="2720FAD2" w14:textId="77777777">
      <w:pPr>
        <w:jc w:val="both"/>
        <w:rPr>
          <w:lang w:val="es-PE"/>
        </w:rPr>
      </w:pPr>
    </w:p>
    <w:p w:rsidRPr="008B73A8" w:rsidR="008B73A8" w:rsidP="008B73A8" w:rsidRDefault="008B73A8" w14:paraId="37430FD3" w14:textId="77777777">
      <w:pPr>
        <w:jc w:val="both"/>
        <w:rPr>
          <w:lang w:val="es-PE"/>
        </w:rPr>
      </w:pPr>
      <w:r w:rsidRPr="008B73A8">
        <w:rPr>
          <w:b/>
          <w:u w:val="single"/>
          <w:lang w:val="es-PE"/>
        </w:rPr>
        <w:t>Primero</w:t>
      </w:r>
      <w:r w:rsidRPr="008B73A8">
        <w:rPr>
          <w:b/>
          <w:lang w:val="es-PE"/>
        </w:rPr>
        <w:t xml:space="preserve">: </w:t>
      </w:r>
      <w:r w:rsidRPr="008B73A8">
        <w:rPr>
          <w:lang w:val="es-PE"/>
        </w:rPr>
        <w:t>Conforme a su reglamento, la</w:t>
      </w:r>
      <w:r w:rsidRPr="008B73A8">
        <w:rPr>
          <w:b/>
          <w:bCs/>
          <w:lang w:val="es-PE"/>
        </w:rPr>
        <w:t xml:space="preserve"> </w:t>
      </w:r>
      <w:r w:rsidRPr="008B73A8">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8B73A8" w:rsidR="008B73A8" w:rsidP="008B73A8" w:rsidRDefault="008B73A8" w14:paraId="22C2DAB6" w14:textId="77777777">
      <w:pPr>
        <w:jc w:val="both"/>
        <w:rPr>
          <w:rStyle w:val="Textoennegrita"/>
          <w:b w:val="0"/>
        </w:rPr>
      </w:pPr>
    </w:p>
    <w:p w:rsidRPr="00B42C94" w:rsidR="008B73A8" w:rsidP="008B73A8" w:rsidRDefault="008B73A8" w14:paraId="284D2F6B" w14:textId="77777777">
      <w:pPr>
        <w:jc w:val="both"/>
        <w:rPr>
          <w:rStyle w:val="Textoennegrita"/>
          <w:b w:val="0"/>
          <w:bCs w:val="0"/>
          <w:lang w:val="es-PE"/>
        </w:rPr>
      </w:pPr>
      <w:r w:rsidRPr="008B73A8">
        <w:rPr>
          <w:rStyle w:val="Textoennegrita"/>
          <w:u w:val="single"/>
          <w:lang w:val="es-PE"/>
        </w:rPr>
        <w:t>Segundo</w:t>
      </w:r>
      <w:r w:rsidRPr="008B73A8">
        <w:rPr>
          <w:rStyle w:val="Textoennegrita"/>
          <w:lang w:val="es-PE"/>
        </w:rPr>
        <w:t xml:space="preserve">: </w:t>
      </w:r>
      <w:r w:rsidRPr="008B73A8">
        <w:rPr>
          <w:lang w:val="es-PE"/>
        </w:rPr>
        <w:t xml:space="preserve">Asimismo, </w:t>
      </w:r>
      <w:proofErr w:type="gramStart"/>
      <w:r w:rsidRPr="008B73A8">
        <w:rPr>
          <w:lang w:val="es-PE"/>
        </w:rPr>
        <w:t>de acuerdo a</w:t>
      </w:r>
      <w:proofErr w:type="gramEnd"/>
      <w:r w:rsidRPr="008B73A8">
        <w:rPr>
          <w:lang w:val="es-PE"/>
        </w:rPr>
        <w:t xml:space="preserve"> </w:t>
      </w:r>
      <w:r w:rsidRPr="00B42C94">
        <w:rPr>
          <w:rStyle w:val="Textoennegrita"/>
          <w:b w:val="0"/>
          <w:bCs w:val="0"/>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w:t>
      </w:r>
      <w:r w:rsidRPr="00B42C94">
        <w:rPr>
          <w:rStyle w:val="Textoennegrita"/>
          <w:b w:val="0"/>
          <w:bCs w:val="0"/>
          <w:lang w:val="es-PE"/>
        </w:rPr>
        <w:t>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8B73A8" w:rsidR="008B73A8" w:rsidP="008B73A8" w:rsidRDefault="008B73A8" w14:paraId="3420D14C" w14:textId="77777777">
      <w:pPr>
        <w:jc w:val="both"/>
        <w:rPr>
          <w:rStyle w:val="Textoennegrita"/>
          <w:b w:val="0"/>
          <w:lang w:val="es-PE"/>
        </w:rPr>
      </w:pPr>
    </w:p>
    <w:p w:rsidRPr="008B73A8" w:rsidR="008B73A8" w:rsidP="008B73A8" w:rsidRDefault="008B73A8" w14:paraId="6A0A17A4" w14:textId="77777777">
      <w:pPr>
        <w:jc w:val="both"/>
      </w:pPr>
      <w:r w:rsidRPr="008B73A8">
        <w:rPr>
          <w:rStyle w:val="Textoennegrita"/>
          <w:u w:val="single"/>
          <w:lang w:val="es-PE"/>
        </w:rPr>
        <w:t>Tercero</w:t>
      </w:r>
      <w:r w:rsidRPr="008B73A8">
        <w:rPr>
          <w:rStyle w:val="Textoennegrita"/>
          <w:lang w:val="es-PE"/>
        </w:rPr>
        <w:t>:</w:t>
      </w:r>
      <w:r w:rsidRPr="008B73A8">
        <w:rPr>
          <w:lang w:val="es-PE"/>
        </w:rPr>
        <w:t xml:space="preserve"> Que, de acuerdo a la Ley Nro. </w:t>
      </w:r>
      <w:r w:rsidRPr="008B73A8">
        <w:t xml:space="preserve">29946 – Ley del Contrato de Seguro, norma legal vigente con ocasión de la celebración del contrato al cual se contrae el presente caso, </w:t>
      </w:r>
      <w:r w:rsidRPr="008B73A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B73A8" w:rsidR="008B73A8" w:rsidP="008B73A8" w:rsidRDefault="008B73A8" w14:paraId="2039CFEA" w14:textId="77777777">
      <w:pPr>
        <w:jc w:val="both"/>
        <w:rPr>
          <w:b/>
          <w:u w:val="single"/>
          <w:lang w:val="es-PE"/>
        </w:rPr>
      </w:pPr>
    </w:p>
    <w:p w:rsidRPr="008B73A8" w:rsidR="008B73A8" w:rsidP="008B73A8" w:rsidRDefault="008B73A8" w14:paraId="64E9F59C" w14:textId="77777777">
      <w:pPr>
        <w:jc w:val="both"/>
        <w:rPr>
          <w:lang w:val="es-PE"/>
        </w:rPr>
      </w:pPr>
      <w:r w:rsidRPr="008B73A8">
        <w:rPr>
          <w:b/>
          <w:u w:val="single"/>
          <w:lang w:val="es-PE"/>
        </w:rPr>
        <w:t>Cuarto</w:t>
      </w:r>
      <w:r w:rsidRPr="008B73A8">
        <w:rPr>
          <w:b/>
          <w:lang w:val="es-PE"/>
        </w:rPr>
        <w:t>:</w:t>
      </w:r>
      <w:r w:rsidRPr="008B73A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8B73A8" w:rsidR="008B73A8" w:rsidP="008B73A8" w:rsidRDefault="008B73A8" w14:paraId="7E8044F3" w14:textId="77777777">
      <w:pPr>
        <w:jc w:val="both"/>
        <w:rPr>
          <w:rStyle w:val="Textoennegrita"/>
          <w:b w:val="0"/>
        </w:rPr>
      </w:pPr>
    </w:p>
    <w:p w:rsidRPr="008B73A8" w:rsidR="008B73A8" w:rsidP="008B73A8" w:rsidRDefault="008B73A8" w14:paraId="19E211F8" w14:textId="77777777">
      <w:pPr>
        <w:jc w:val="both"/>
      </w:pPr>
      <w:r w:rsidRPr="008B73A8">
        <w:rPr>
          <w:rStyle w:val="Textoennegrita"/>
          <w:u w:val="single"/>
          <w:lang w:val="es-PE"/>
        </w:rPr>
        <w:t>Quinto</w:t>
      </w:r>
      <w:r w:rsidRPr="008B73A8">
        <w:rPr>
          <w:rStyle w:val="Textoennegrita"/>
          <w:lang w:val="es-PE"/>
        </w:rPr>
        <w:t xml:space="preserve">: </w:t>
      </w:r>
      <w:r w:rsidRPr="00B42C94">
        <w:rPr>
          <w:rStyle w:val="Textoennegrita"/>
          <w:b w:val="0"/>
          <w:bCs w:val="0"/>
          <w:lang w:val="es-PE"/>
        </w:rPr>
        <w:t>Que, conforme a un elemental criterio jurídico, recogido en el</w:t>
      </w:r>
      <w:r w:rsidRPr="008B73A8">
        <w:rPr>
          <w:rStyle w:val="Textoennegrita"/>
          <w:lang w:val="es-PE"/>
        </w:rPr>
        <w:t xml:space="preserve"> </w:t>
      </w:r>
      <w:r w:rsidRPr="008B73A8">
        <w:rPr>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8B73A8" w:rsidR="008B73A8" w:rsidP="008B73A8" w:rsidRDefault="008B73A8" w14:paraId="10D81BF5" w14:textId="77777777">
      <w:pPr>
        <w:tabs>
          <w:tab w:val="left" w:pos="2160"/>
        </w:tabs>
        <w:jc w:val="both"/>
      </w:pPr>
    </w:p>
    <w:p w:rsidRPr="008B73A8" w:rsidR="008B73A8" w:rsidP="008B73A8" w:rsidRDefault="008B73A8" w14:paraId="4DB536B5" w14:textId="3E2E0299">
      <w:pPr>
        <w:tabs>
          <w:tab w:val="left" w:pos="2160"/>
        </w:tabs>
        <w:jc w:val="both"/>
        <w:rPr>
          <w:lang w:val="es-PE"/>
        </w:rPr>
      </w:pPr>
      <w:r w:rsidRPr="3322F01F" w:rsidR="008B73A8">
        <w:rPr>
          <w:b w:val="1"/>
          <w:bCs w:val="1"/>
          <w:u w:val="single"/>
        </w:rPr>
        <w:t>Sexto</w:t>
      </w:r>
      <w:r w:rsidRPr="3322F01F" w:rsidR="008B73A8">
        <w:rPr>
          <w:b w:val="1"/>
          <w:bCs w:val="1"/>
        </w:rPr>
        <w:t>:</w:t>
      </w:r>
      <w:r w:rsidRPr="3322F01F" w:rsidR="008B73A8">
        <w:rPr>
          <w:b w:val="1"/>
          <w:bCs w:val="1"/>
          <w:lang w:val="es-PE"/>
        </w:rPr>
        <w:t xml:space="preserve"> </w:t>
      </w:r>
      <w:r w:rsidRPr="3322F01F" w:rsidR="008B73A8">
        <w:rPr>
          <w:lang w:val="es-PE"/>
        </w:rPr>
        <w:t xml:space="preserve">Sobre la base de los términos contenidos en la reclamación y en la absolución de </w:t>
      </w:r>
      <w:r w:rsidRPr="3322F01F" w:rsidR="008B73A8">
        <w:rPr>
          <w:lang w:val="es-PE"/>
        </w:rPr>
        <w:t>la misma</w:t>
      </w:r>
      <w:r w:rsidRPr="3322F01F" w:rsidR="008B73A8">
        <w:rPr>
          <w:lang w:val="es-PE"/>
        </w:rPr>
        <w:t xml:space="preserve">, la cuestión controvertida de fondo radica en determinar si el rechazo de cobertura comunicado por </w:t>
      </w:r>
      <w:r w:rsidRPr="3322F01F" w:rsidR="4073E6E3">
        <w:rPr>
          <w:lang w:val="es-PE"/>
        </w:rPr>
        <w:t>........................</w:t>
      </w:r>
      <w:r w:rsidRPr="3322F01F" w:rsidR="008B73A8">
        <w:rPr>
          <w:lang w:val="es-PE"/>
        </w:rPr>
        <w:t xml:space="preserve"> es legítimo o no; dicho rechazo se sustenta en que el evento dañoso ocurrido el 4 de enero de 2021 no califica como un accidente de tránsito conforme a la normativa del SOAT y, por lo tanto, carece de cobertura del seguro obligatorio de accidentes de tránsito.</w:t>
      </w:r>
    </w:p>
    <w:p w:rsidRPr="008B73A8" w:rsidR="008B73A8" w:rsidP="008B73A8" w:rsidRDefault="008B73A8" w14:paraId="3C009A24" w14:textId="77777777">
      <w:pPr>
        <w:tabs>
          <w:tab w:val="left" w:pos="2160"/>
        </w:tabs>
        <w:jc w:val="both"/>
        <w:rPr>
          <w:lang w:val="es-PE"/>
        </w:rPr>
      </w:pPr>
    </w:p>
    <w:p w:rsidRPr="008B73A8" w:rsidR="008B73A8" w:rsidP="008B73A8" w:rsidRDefault="008B73A8" w14:paraId="7E262F7D" w14:textId="77777777">
      <w:pPr>
        <w:tabs>
          <w:tab w:val="left" w:pos="2160"/>
        </w:tabs>
        <w:jc w:val="both"/>
        <w:rPr>
          <w:lang w:val="es-PE"/>
        </w:rPr>
      </w:pPr>
    </w:p>
    <w:p w:rsidRPr="008B73A8" w:rsidR="008B73A8" w:rsidP="008B73A8" w:rsidRDefault="008B73A8" w14:paraId="19F8DB81" w14:textId="77777777">
      <w:pPr>
        <w:tabs>
          <w:tab w:val="left" w:pos="709"/>
          <w:tab w:val="left" w:pos="2160"/>
        </w:tabs>
        <w:ind w:left="705" w:hanging="705"/>
        <w:jc w:val="both"/>
        <w:rPr>
          <w:lang w:val="es-PE"/>
        </w:rPr>
      </w:pPr>
      <w:r w:rsidRPr="008B73A8">
        <w:rPr>
          <w:lang w:val="es-PE"/>
        </w:rPr>
        <w:t>6.1.</w:t>
      </w:r>
      <w:r w:rsidRPr="008B73A8">
        <w:rPr>
          <w:lang w:val="es-PE"/>
        </w:rPr>
        <w:tab/>
      </w:r>
      <w:r w:rsidRPr="008B73A8">
        <w:rPr>
          <w:lang w:val="es-PE"/>
        </w:rPr>
        <w:t>Este colegiado destaca, en primer lugar, las definiciones normativas contenidas en el propio Reglamento Nacional de Responsabilidad Civil y Seguros Obligatorios por Accidentes de Tránsito – SOAT (Decreto Supremo Nro. 024-2002-MTC):</w:t>
      </w:r>
    </w:p>
    <w:p w:rsidRPr="008B73A8" w:rsidR="008B73A8" w:rsidP="008B73A8" w:rsidRDefault="008B73A8" w14:paraId="7B099889" w14:textId="77777777">
      <w:pPr>
        <w:tabs>
          <w:tab w:val="left" w:pos="2386"/>
        </w:tabs>
        <w:jc w:val="both"/>
        <w:outlineLvl w:val="0"/>
        <w:rPr>
          <w:lang w:val="es-PE"/>
        </w:rPr>
      </w:pPr>
    </w:p>
    <w:p w:rsidRPr="008B73A8" w:rsidR="008B73A8" w:rsidP="008B73A8" w:rsidRDefault="008B73A8" w14:paraId="3A2DB435" w14:textId="77777777">
      <w:pPr>
        <w:ind w:left="1440"/>
        <w:jc w:val="both"/>
        <w:rPr>
          <w:color w:val="333333"/>
        </w:rPr>
      </w:pPr>
      <w:r w:rsidRPr="008B73A8">
        <w:rPr>
          <w:b/>
          <w:bCs/>
          <w:i/>
          <w:iCs/>
          <w:color w:val="333333"/>
          <w:shd w:val="clear" w:color="auto" w:fill="FFFFFF"/>
        </w:rPr>
        <w:t>“Artículo 5.- </w:t>
      </w:r>
      <w:r w:rsidRPr="008B73A8">
        <w:rPr>
          <w:i/>
          <w:iCs/>
          <w:color w:val="333333"/>
          <w:shd w:val="clear" w:color="auto" w:fill="FFFFFF"/>
        </w:rPr>
        <w:t>Para los fines del presente Reglamento se entenderá por:</w:t>
      </w:r>
      <w:r w:rsidRPr="008B73A8">
        <w:rPr>
          <w:i/>
          <w:iCs/>
          <w:color w:val="333333"/>
          <w:shd w:val="clear" w:color="auto" w:fill="FFFFFF"/>
        </w:rPr>
        <w:br/>
      </w:r>
      <w:r w:rsidRPr="008B73A8">
        <w:rPr>
          <w:i/>
          <w:iCs/>
          <w:color w:val="333333"/>
          <w:shd w:val="clear" w:color="auto" w:fill="FFFFFF"/>
        </w:rPr>
        <w:t xml:space="preserve">a) </w:t>
      </w:r>
      <w:r w:rsidRPr="008B73A8">
        <w:rPr>
          <w:b/>
          <w:bCs/>
          <w:i/>
          <w:iCs/>
          <w:color w:val="333333"/>
          <w:shd w:val="clear" w:color="auto" w:fill="FFFFFF"/>
        </w:rPr>
        <w:t xml:space="preserve">Accidente de </w:t>
      </w:r>
      <w:proofErr w:type="gramStart"/>
      <w:r w:rsidRPr="008B73A8">
        <w:rPr>
          <w:b/>
          <w:bCs/>
          <w:i/>
          <w:iCs/>
          <w:color w:val="333333"/>
          <w:shd w:val="clear" w:color="auto" w:fill="FFFFFF"/>
        </w:rPr>
        <w:t>Tránsito.-</w:t>
      </w:r>
      <w:proofErr w:type="gramEnd"/>
      <w:r w:rsidRPr="008B73A8">
        <w:rPr>
          <w:b/>
          <w:bCs/>
          <w:i/>
          <w:iCs/>
          <w:color w:val="333333"/>
          <w:shd w:val="clear" w:color="auto" w:fill="FFFFFF"/>
        </w:rPr>
        <w:t> </w:t>
      </w:r>
      <w:r w:rsidRPr="008B73A8">
        <w:rPr>
          <w:i/>
          <w:iCs/>
          <w:color w:val="333333"/>
          <w:shd w:val="clear" w:color="auto" w:fill="FFFFFF"/>
        </w:rPr>
        <w:t xml:space="preserve">Evento súbito, imprevisto y violento (incluyendo incendio y acto terrorista) en el que participa un vehículo automotor en marcha </w:t>
      </w:r>
      <w:r w:rsidRPr="008B73A8">
        <w:rPr>
          <w:b/>
          <w:bCs/>
          <w:i/>
          <w:iCs/>
          <w:color w:val="333333"/>
          <w:u w:val="single"/>
          <w:shd w:val="clear" w:color="auto" w:fill="FFFFFF"/>
        </w:rPr>
        <w:t>o en reposo (detenido o estacionado)</w:t>
      </w:r>
      <w:r w:rsidRPr="008B73A8">
        <w:rPr>
          <w:i/>
          <w:iCs/>
          <w:color w:val="333333"/>
          <w:shd w:val="clear" w:color="auto" w:fill="FFFFFF"/>
        </w:rPr>
        <w:t xml:space="preserve"> en la vía de uso público, </w:t>
      </w:r>
      <w:r w:rsidRPr="008B73A8">
        <w:rPr>
          <w:i/>
          <w:iCs/>
          <w:color w:val="333333"/>
        </w:rPr>
        <w:t>causando</w:t>
      </w:r>
      <w:r w:rsidRPr="008B73A8">
        <w:rPr>
          <w:i/>
          <w:iCs/>
          <w:color w:val="333333"/>
          <w:shd w:val="clear" w:color="auto" w:fill="FFFFFF"/>
        </w:rPr>
        <w:t xml:space="preserve"> daño a las personas, sean ocupantes o terceros no ocupantes de vehículo automotor, que pueda ser determinado de una manera cierta.”</w:t>
      </w:r>
      <w:r w:rsidRPr="008B73A8">
        <w:rPr>
          <w:color w:val="333333"/>
          <w:shd w:val="clear" w:color="auto" w:fill="FFFFFF"/>
        </w:rPr>
        <w:t xml:space="preserve">  El subrayado y resalado es nuestro, recogiendo el énfasis destacado por la parte reclamante.</w:t>
      </w:r>
    </w:p>
    <w:p w:rsidRPr="008B73A8" w:rsidR="008B73A8" w:rsidP="008B73A8" w:rsidRDefault="008B73A8" w14:paraId="06673996" w14:textId="77777777">
      <w:pPr>
        <w:ind w:left="709"/>
        <w:jc w:val="both"/>
        <w:rPr>
          <w:lang w:val="es-PE" w:eastAsia="es-PE"/>
        </w:rPr>
      </w:pPr>
    </w:p>
    <w:p w:rsidRPr="008B73A8" w:rsidR="008B73A8" w:rsidP="008B73A8" w:rsidRDefault="008B73A8" w14:paraId="4118EB49" w14:textId="77777777">
      <w:pPr>
        <w:ind w:left="709"/>
        <w:jc w:val="both"/>
        <w:rPr>
          <w:lang w:val="es-PE" w:eastAsia="es-PE"/>
        </w:rPr>
      </w:pPr>
      <w:r w:rsidRPr="008B73A8">
        <w:rPr>
          <w:lang w:val="es-PE" w:eastAsia="es-PE"/>
        </w:rPr>
        <w:t xml:space="preserve">Es bajo esta definición que la parte reclamante considera que deba cubrirse el lamentable fallecimiento del asegurado, toda vez que estamos ante un daño producido por un vehículo estacionado, siendo que en su opinión dicho daño se deriva de un “accidente de tránsito”, tal y como está dada la definición de accidente de tránsito en la normativa del SOAT; y, en opinión de la aseguradora, dicho daño no se deriva de un “accidente de tránsito” conforme a las normas que rigen el SOAT. </w:t>
      </w:r>
    </w:p>
    <w:p w:rsidRPr="008B73A8" w:rsidR="008B73A8" w:rsidP="008B73A8" w:rsidRDefault="008B73A8" w14:paraId="74072768" w14:textId="77777777">
      <w:pPr>
        <w:ind w:left="709"/>
        <w:jc w:val="both"/>
        <w:rPr>
          <w:lang w:val="es-PE" w:eastAsia="es-PE"/>
        </w:rPr>
      </w:pPr>
    </w:p>
    <w:p w:rsidRPr="008B73A8" w:rsidR="008B73A8" w:rsidP="008B73A8" w:rsidRDefault="008B73A8" w14:paraId="517FC375" w14:textId="77777777">
      <w:pPr>
        <w:tabs>
          <w:tab w:val="left" w:pos="709"/>
          <w:tab w:val="left" w:pos="2160"/>
        </w:tabs>
        <w:ind w:left="705" w:hanging="705"/>
        <w:jc w:val="both"/>
        <w:rPr>
          <w:lang w:val="es-PE" w:eastAsia="es-PE"/>
        </w:rPr>
      </w:pPr>
      <w:r w:rsidRPr="008B73A8">
        <w:rPr>
          <w:lang w:val="es-PE" w:eastAsia="es-PE"/>
        </w:rPr>
        <w:t xml:space="preserve">6.2. </w:t>
      </w:r>
      <w:r w:rsidRPr="008B73A8">
        <w:rPr>
          <w:lang w:val="es-PE" w:eastAsia="es-PE"/>
        </w:rPr>
        <w:tab/>
      </w:r>
      <w:r w:rsidRPr="008B73A8">
        <w:rPr>
          <w:lang w:val="es-PE" w:eastAsia="es-PE"/>
        </w:rPr>
        <w:t xml:space="preserve">Es relevante mencionar que dicha definición de accidente fue modificada en el año 2013 por el Decreto Supremo 015-2013-MTC; siendo que antes de dicho cambio no se incluía la precisión sobre lo que debía entenderse como </w:t>
      </w:r>
      <w:proofErr w:type="gramStart"/>
      <w:r w:rsidRPr="008B73A8">
        <w:rPr>
          <w:lang w:val="es-PE" w:eastAsia="es-PE"/>
        </w:rPr>
        <w:t xml:space="preserve">vehículo  </w:t>
      </w:r>
      <w:r w:rsidRPr="008B73A8">
        <w:rPr>
          <w:b/>
          <w:bCs/>
          <w:u w:val="single"/>
          <w:lang w:val="es-PE" w:eastAsia="es-PE"/>
        </w:rPr>
        <w:t>“</w:t>
      </w:r>
      <w:proofErr w:type="gramEnd"/>
      <w:r w:rsidRPr="008B73A8">
        <w:rPr>
          <w:b/>
          <w:bCs/>
          <w:u w:val="single"/>
          <w:lang w:val="es-PE" w:eastAsia="es-PE"/>
        </w:rPr>
        <w:t>en reposo</w:t>
      </w:r>
      <w:r w:rsidRPr="008B73A8">
        <w:rPr>
          <w:lang w:val="es-PE" w:eastAsia="es-PE"/>
        </w:rPr>
        <w:t xml:space="preserve">”. </w:t>
      </w:r>
    </w:p>
    <w:p w:rsidRPr="008B73A8" w:rsidR="008B73A8" w:rsidP="008B73A8" w:rsidRDefault="008B73A8" w14:paraId="2D7A30F4" w14:textId="77777777">
      <w:pPr>
        <w:ind w:left="709"/>
        <w:jc w:val="both"/>
        <w:rPr>
          <w:lang w:val="es-PE" w:eastAsia="es-PE"/>
        </w:rPr>
      </w:pPr>
    </w:p>
    <w:p w:rsidRPr="008B73A8" w:rsidR="008B73A8" w:rsidP="008B73A8" w:rsidRDefault="008B73A8" w14:paraId="43B4C520" w14:textId="77777777">
      <w:pPr>
        <w:ind w:left="709"/>
        <w:jc w:val="both"/>
        <w:rPr>
          <w:lang w:eastAsia="es-PE"/>
        </w:rPr>
      </w:pPr>
      <w:r w:rsidRPr="008B73A8">
        <w:rPr>
          <w:lang w:eastAsia="es-PE"/>
        </w:rPr>
        <w:t>En efecto, antes de dicha modificación la definición de accidente de tránsito solo señalaba lo siguiente:</w:t>
      </w:r>
    </w:p>
    <w:p w:rsidRPr="008B73A8" w:rsidR="008B73A8" w:rsidP="008B73A8" w:rsidRDefault="008B73A8" w14:paraId="08FB3738" w14:textId="77777777">
      <w:pPr>
        <w:ind w:left="709"/>
        <w:jc w:val="both"/>
        <w:rPr>
          <w:lang w:eastAsia="es-PE"/>
        </w:rPr>
      </w:pPr>
    </w:p>
    <w:p w:rsidRPr="008B73A8" w:rsidR="008B73A8" w:rsidP="008B73A8" w:rsidRDefault="008B73A8" w14:paraId="2882039C" w14:textId="77777777">
      <w:pPr>
        <w:ind w:left="1440"/>
        <w:jc w:val="both"/>
        <w:rPr>
          <w:lang w:eastAsia="es-PE"/>
        </w:rPr>
      </w:pPr>
      <w:r w:rsidRPr="008B73A8">
        <w:rPr>
          <w:color w:val="333333"/>
        </w:rPr>
        <w:t>“</w:t>
      </w:r>
      <w:r w:rsidRPr="008B73A8">
        <w:rPr>
          <w:i/>
          <w:iCs/>
          <w:color w:val="333333"/>
        </w:rPr>
        <w:t xml:space="preserve">Accidente de </w:t>
      </w:r>
      <w:proofErr w:type="gramStart"/>
      <w:r w:rsidRPr="008B73A8">
        <w:rPr>
          <w:i/>
          <w:iCs/>
          <w:color w:val="333333"/>
        </w:rPr>
        <w:t>Tránsito.-</w:t>
      </w:r>
      <w:proofErr w:type="gramEnd"/>
      <w:r w:rsidRPr="008B73A8">
        <w:rPr>
          <w:i/>
          <w:iCs/>
          <w:color w:val="333333"/>
        </w:rPr>
        <w:t xml:space="preserve"> Evento súbito, imprevisto y violento (incluyendo incendio y acto terrorista) en el que participa un vehículo automotor en marcha </w:t>
      </w:r>
      <w:r w:rsidRPr="008B73A8">
        <w:rPr>
          <w:b/>
          <w:bCs/>
          <w:i/>
          <w:iCs/>
          <w:color w:val="333333"/>
          <w:u w:val="single"/>
        </w:rPr>
        <w:t>o en reposo</w:t>
      </w:r>
      <w:r w:rsidRPr="008B73A8">
        <w:rPr>
          <w:i/>
          <w:iCs/>
          <w:color w:val="333333"/>
        </w:rPr>
        <w:t xml:space="preserve"> en la vía de uso público, causando daño a las personas, sean ocupantes o terceros no ocupantes de vehículo automotor, que pueda ser determinado de una manera cierta”</w:t>
      </w:r>
      <w:r w:rsidRPr="008B73A8">
        <w:rPr>
          <w:color w:val="333333"/>
        </w:rPr>
        <w:t>. El resaltado y subrayado es nuestro.</w:t>
      </w:r>
    </w:p>
    <w:p w:rsidRPr="008B73A8" w:rsidR="008B73A8" w:rsidP="008B73A8" w:rsidRDefault="008B73A8" w14:paraId="1ED14E37" w14:textId="77777777">
      <w:pPr>
        <w:ind w:left="709"/>
        <w:jc w:val="both"/>
        <w:rPr>
          <w:lang w:val="es-PE" w:eastAsia="es-PE"/>
        </w:rPr>
      </w:pPr>
    </w:p>
    <w:p w:rsidRPr="008B73A8" w:rsidR="008B73A8" w:rsidP="008B73A8" w:rsidRDefault="008B73A8" w14:paraId="5EB265F3" w14:textId="77777777">
      <w:pPr>
        <w:ind w:left="709"/>
        <w:jc w:val="both"/>
        <w:rPr>
          <w:lang w:eastAsia="es-PE"/>
        </w:rPr>
      </w:pPr>
      <w:r w:rsidRPr="008B73A8">
        <w:rPr>
          <w:lang w:val="es-PE" w:eastAsia="es-PE"/>
        </w:rPr>
        <w:t xml:space="preserve">Tal y como se establece en la parte considerativa de dicho decreto supremo del año 2013, dicha inclusión (detenido o estacionado) se hizo </w:t>
      </w:r>
      <w:r w:rsidRPr="008B73A8">
        <w:rPr>
          <w:i/>
          <w:iCs/>
          <w:lang w:val="es-PE" w:eastAsia="es-PE"/>
        </w:rPr>
        <w:t>“a efectos de dejar claramente establecidas las responsabilidades que se deriven de la ocurrencia de los accidentes de tránsito, en base a la cual las compañías aseguradoras deberán otorgar las coberturas correspondientes”</w:t>
      </w:r>
      <w:r w:rsidRPr="008B73A8">
        <w:rPr>
          <w:lang w:val="es-PE" w:eastAsia="es-PE"/>
        </w:rPr>
        <w:t xml:space="preserve">, recogiendo </w:t>
      </w:r>
      <w:r w:rsidRPr="008B73A8">
        <w:rPr>
          <w:lang w:eastAsia="es-PE"/>
        </w:rPr>
        <w:t xml:space="preserve">el Informe </w:t>
      </w:r>
      <w:proofErr w:type="spellStart"/>
      <w:r w:rsidRPr="008B73A8">
        <w:rPr>
          <w:lang w:eastAsia="es-PE"/>
        </w:rPr>
        <w:t>Nº</w:t>
      </w:r>
      <w:proofErr w:type="spellEnd"/>
      <w:r w:rsidRPr="008B73A8">
        <w:rPr>
          <w:lang w:eastAsia="es-PE"/>
        </w:rPr>
        <w:t xml:space="preserve"> 021-2013-MTC/15 la Dirección General de Transporte Terrestre, elaborado en atención a las recomendaciones contenidas en el Informe Defensorial </w:t>
      </w:r>
      <w:proofErr w:type="spellStart"/>
      <w:r w:rsidRPr="008B73A8">
        <w:rPr>
          <w:lang w:eastAsia="es-PE"/>
        </w:rPr>
        <w:t>Nº</w:t>
      </w:r>
      <w:proofErr w:type="spellEnd"/>
      <w:r w:rsidRPr="008B73A8">
        <w:rPr>
          <w:lang w:eastAsia="es-PE"/>
        </w:rPr>
        <w:t xml:space="preserve"> 159 denominado “Balance del Seguro Obligatorio de Accidentes de Tránsito: Propuestas para una atención adecuada a las víctimas”.</w:t>
      </w:r>
    </w:p>
    <w:p w:rsidRPr="008B73A8" w:rsidR="008B73A8" w:rsidP="008B73A8" w:rsidRDefault="008B73A8" w14:paraId="7CFE1089" w14:textId="77777777">
      <w:pPr>
        <w:ind w:left="709"/>
        <w:jc w:val="both"/>
        <w:rPr>
          <w:lang w:eastAsia="es-PE"/>
        </w:rPr>
      </w:pPr>
    </w:p>
    <w:p w:rsidRPr="008B73A8" w:rsidR="008B73A8" w:rsidP="008B73A8" w:rsidRDefault="008B73A8" w14:paraId="39CD623D" w14:textId="77777777">
      <w:pPr>
        <w:tabs>
          <w:tab w:val="left" w:pos="709"/>
          <w:tab w:val="left" w:pos="2160"/>
        </w:tabs>
        <w:ind w:left="705" w:hanging="705"/>
        <w:jc w:val="both"/>
        <w:rPr>
          <w:lang w:eastAsia="es-PE"/>
        </w:rPr>
      </w:pPr>
      <w:r w:rsidRPr="3322F01F" w:rsidR="008B73A8">
        <w:rPr>
          <w:lang w:eastAsia="es-PE"/>
        </w:rPr>
        <w:t>6.3.</w:t>
      </w:r>
      <w:r>
        <w:tab/>
      </w:r>
      <w:r w:rsidRPr="3322F01F" w:rsidR="008B73A8">
        <w:rPr>
          <w:lang w:eastAsia="es-PE"/>
        </w:rPr>
        <w:t xml:space="preserve">A mayor </w:t>
      </w:r>
      <w:r w:rsidRPr="3322F01F" w:rsidR="008B73A8">
        <w:rPr>
          <w:lang w:val="es-PE" w:eastAsia="es-PE"/>
        </w:rPr>
        <w:t>abundamiento</w:t>
      </w:r>
      <w:r w:rsidRPr="3322F01F" w:rsidR="008B73A8">
        <w:rPr>
          <w:lang w:eastAsia="es-PE"/>
        </w:rPr>
        <w:t>, sobre los motivos que llevaron a dicha modificación, en la exposición de motivos del indicado decreto supremo, se menciona lo siguiente:</w:t>
      </w:r>
    </w:p>
    <w:p w:rsidR="3322F01F" w:rsidP="3322F01F" w:rsidRDefault="3322F01F" w14:paraId="2376D25D" w14:textId="075701D9">
      <w:pPr>
        <w:tabs>
          <w:tab w:val="left" w:leader="none" w:pos="709"/>
          <w:tab w:val="left" w:leader="none" w:pos="2160"/>
        </w:tabs>
        <w:ind w:left="705" w:hanging="705"/>
        <w:jc w:val="both"/>
        <w:rPr>
          <w:lang w:eastAsia="es-PE"/>
        </w:rPr>
      </w:pPr>
    </w:p>
    <w:p w:rsidRPr="008B73A8" w:rsidR="008B73A8" w:rsidP="008B73A8" w:rsidRDefault="008B73A8" w14:paraId="173E8B6A" w14:textId="3A15D14E">
      <w:pPr>
        <w:ind w:left="709"/>
        <w:jc w:val="both"/>
        <w:rPr>
          <w:lang w:eastAsia="es-PE"/>
        </w:rPr>
      </w:pPr>
      <w:r w:rsidR="008B73A8">
        <w:drawing>
          <wp:inline wp14:editId="1A692554" wp14:anchorId="0B9C6F1F">
            <wp:extent cx="4968934" cy="2049013"/>
            <wp:effectExtent l="0" t="0" r="0" b="0"/>
            <wp:docPr id="2" name="Imagen 2" descr="Interfaz de usuario gráfica, Texto, Aplicación, Word&#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2" descr="Interfaz de usuario gráfica, Texto, Aplicación, Word&#10;&#10;Descripción generada automáticamente"/>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a:ext>
                      </a:extLst>
                    </a:blip>
                    <a:srcRect l="34970" t="36980" r="33136" b="39691"/>
                    <a:stretch>
                      <a:fillRect/>
                    </a:stretch>
                  </pic:blipFill>
                  <pic:spPr bwMode="auto">
                    <a:xfrm rot="0">
                      <a:off x="0" y="0"/>
                      <a:ext cx="4968934" cy="2049013"/>
                    </a:xfrm>
                    <a:prstGeom prst="rect">
                      <a:avLst/>
                    </a:prstGeom>
                    <a:noFill/>
                    <a:ln>
                      <a:noFill/>
                    </a:ln>
                  </pic:spPr>
                </pic:pic>
              </a:graphicData>
            </a:graphic>
          </wp:inline>
        </w:drawing>
      </w:r>
    </w:p>
    <w:p w:rsidRPr="008B73A8" w:rsidR="008B73A8" w:rsidP="008B73A8" w:rsidRDefault="008B73A8" w14:paraId="55771F66" w14:textId="77777777">
      <w:pPr>
        <w:ind w:left="709"/>
        <w:jc w:val="both"/>
        <w:rPr>
          <w:lang w:eastAsia="es-PE"/>
        </w:rPr>
      </w:pPr>
    </w:p>
    <w:p w:rsidRPr="008B73A8" w:rsidR="008B73A8" w:rsidP="008B73A8" w:rsidRDefault="008B73A8" w14:paraId="55FC673E" w14:textId="77777777">
      <w:pPr>
        <w:ind w:left="709"/>
        <w:jc w:val="both"/>
        <w:rPr>
          <w:lang w:val="es-PE" w:eastAsia="es-PE"/>
        </w:rPr>
      </w:pPr>
      <w:r w:rsidRPr="008B73A8">
        <w:rPr>
          <w:lang w:val="es-PE" w:eastAsia="es-PE"/>
        </w:rPr>
        <w:t xml:space="preserve">De donde se aprecia, que el objeto de considerar que un vehículo en reposo podía ser entendido como un vehículo estacionado o detenido, tuvo como objeto evitar un conflicto de responsabilidades entre aseguradoras cuando nos encontramos ante un accidente producido entre dos vehículos: uno detenido o estacionado y otro en movimiento, de modo tal que fueran ambas responsables respecto de los ocupantes de sus respectivos vehículos, pues cuando no existía dicha precisión, podía entenderse que si se producía un accidente entre un vehículo detenido y otro en movimiento, sería la aseguradora del vehículo en movimiento la que debería cubrir a </w:t>
      </w:r>
      <w:r w:rsidRPr="008B73A8">
        <w:rPr>
          <w:lang w:val="es-PE" w:eastAsia="es-PE"/>
        </w:rPr>
        <w:t>ambos vehículos, situación que se aclara bajo dicha precisión; y, es entonces que cada aseguradora resulta responsable del vehículo involucrado en el accidente.</w:t>
      </w:r>
    </w:p>
    <w:p w:rsidRPr="008B73A8" w:rsidR="008B73A8" w:rsidP="008B73A8" w:rsidRDefault="008B73A8" w14:paraId="4F119189" w14:textId="77777777">
      <w:pPr>
        <w:ind w:left="709"/>
        <w:jc w:val="both"/>
        <w:rPr>
          <w:lang w:val="es-PE" w:eastAsia="es-PE"/>
        </w:rPr>
      </w:pPr>
    </w:p>
    <w:p w:rsidRPr="008B73A8" w:rsidR="008B73A8" w:rsidP="008B73A8" w:rsidRDefault="008B73A8" w14:paraId="700910B4" w14:textId="77777777">
      <w:pPr>
        <w:tabs>
          <w:tab w:val="left" w:pos="709"/>
          <w:tab w:val="left" w:pos="2160"/>
        </w:tabs>
        <w:ind w:left="705" w:hanging="705"/>
        <w:jc w:val="both"/>
        <w:rPr>
          <w:lang w:val="es-PE" w:eastAsia="es-PE"/>
        </w:rPr>
      </w:pPr>
      <w:r w:rsidRPr="008B73A8">
        <w:rPr>
          <w:lang w:val="es-PE" w:eastAsia="es-PE"/>
        </w:rPr>
        <w:t xml:space="preserve">6.4. </w:t>
      </w:r>
      <w:r w:rsidRPr="008B73A8">
        <w:rPr>
          <w:lang w:val="es-PE" w:eastAsia="es-PE"/>
        </w:rPr>
        <w:tab/>
      </w:r>
      <w:r w:rsidRPr="008B73A8">
        <w:rPr>
          <w:lang w:val="es-PE" w:eastAsia="es-PE"/>
        </w:rPr>
        <w:t xml:space="preserve">En otras palabras, la modificación introducida no buscó incluir cualquier daño que genere un vehículo estacionado, pues de lo contrario, si una persona se fractura un dedo o mano al cerrar la puerta o el capot de un vehículo (por el solo hecho que ello se produce en la vía pública), estaríamos ante un “accidente de tránsito”, sino que lo buscó fue delimitar la responsabilidad entre aseguradoras cuando el accidente se produce entre un vehículo en movimiento y un vehículo detenido o estacionado (en la vía pública). Interpretar lo contrario, desnaturalizaría lo que normalmente se entiende por accidente “de tránsito” y el espíritu del SOAT, pudiendo llevar a situaciones no deseables en las que se pretende pasar cualquier accidente como uno causado por un vehículo estacionado, sin que intervenga adicionalmente otro vehículo en movimiento, buscando una cobertura no debida del SOAT. Es claro que ese no es el caso del lamentable accidente producido por el vehículo materia de reclamo, donde  estamos ante un lamentable accidente real y cierto causado por un vehículo estacionado, siendo respetable -aun cuando no se comparta- la opinión de la reclamante; no obstante, dicho accidente no corresponde a uno </w:t>
      </w:r>
      <w:r w:rsidRPr="008B73A8">
        <w:rPr>
          <w:i/>
          <w:iCs/>
          <w:lang w:val="es-PE" w:eastAsia="es-PE"/>
        </w:rPr>
        <w:t>“de tránsito”</w:t>
      </w:r>
      <w:r w:rsidRPr="008B73A8">
        <w:rPr>
          <w:lang w:val="es-PE" w:eastAsia="es-PE"/>
        </w:rPr>
        <w:t xml:space="preserve"> no solo conforme a lo que normalmente se entiende por accidente de tránsito, sino conforme a  la ratio </w:t>
      </w:r>
      <w:proofErr w:type="spellStart"/>
      <w:r w:rsidRPr="008B73A8">
        <w:rPr>
          <w:lang w:val="es-PE" w:eastAsia="es-PE"/>
        </w:rPr>
        <w:t>legis</w:t>
      </w:r>
      <w:proofErr w:type="spellEnd"/>
      <w:r w:rsidRPr="008B73A8">
        <w:rPr>
          <w:lang w:val="es-PE" w:eastAsia="es-PE"/>
        </w:rPr>
        <w:t xml:space="preserve"> de las normas del SOAT y a la interpretación sistemática de las normas, pues no participó otro vehículo en movimiento. </w:t>
      </w:r>
    </w:p>
    <w:p w:rsidRPr="008B73A8" w:rsidR="008B73A8" w:rsidP="008B73A8" w:rsidRDefault="008B73A8" w14:paraId="26D2C4B9" w14:textId="77777777">
      <w:pPr>
        <w:ind w:left="709"/>
        <w:jc w:val="both"/>
        <w:rPr>
          <w:lang w:val="es-PE" w:eastAsia="es-PE"/>
        </w:rPr>
      </w:pPr>
    </w:p>
    <w:p w:rsidRPr="008B73A8" w:rsidR="008B73A8" w:rsidP="008B73A8" w:rsidRDefault="008B73A8" w14:paraId="7ED1C671" w14:textId="77777777">
      <w:pPr>
        <w:ind w:left="709"/>
        <w:jc w:val="both"/>
        <w:rPr>
          <w:lang w:val="es-PE" w:eastAsia="es-PE"/>
        </w:rPr>
      </w:pPr>
      <w:r w:rsidRPr="008B73A8">
        <w:rPr>
          <w:lang w:val="es-PE" w:eastAsia="es-PE"/>
        </w:rPr>
        <w:t xml:space="preserve">En efecto, las normas deben ser interpretadas en su conjunto, teniendo en cuenta las demás disposiciones contenidas en el reglamento del SOAT. </w:t>
      </w:r>
    </w:p>
    <w:p w:rsidRPr="008B73A8" w:rsidR="008B73A8" w:rsidP="008B73A8" w:rsidRDefault="008B73A8" w14:paraId="50B6EA11" w14:textId="77777777">
      <w:pPr>
        <w:ind w:left="709"/>
        <w:jc w:val="both"/>
        <w:rPr>
          <w:lang w:val="es-PE" w:eastAsia="es-PE"/>
        </w:rPr>
      </w:pPr>
    </w:p>
    <w:p w:rsidRPr="008B73A8" w:rsidR="008B73A8" w:rsidP="008B73A8" w:rsidRDefault="008B73A8" w14:paraId="143E6253" w14:textId="77777777">
      <w:pPr>
        <w:ind w:left="709"/>
        <w:jc w:val="both"/>
        <w:rPr>
          <w:lang w:val="es-PE" w:eastAsia="es-PE"/>
        </w:rPr>
      </w:pPr>
      <w:r w:rsidRPr="008B73A8">
        <w:rPr>
          <w:lang w:val="es-PE" w:eastAsia="es-PE"/>
        </w:rPr>
        <w:t>Sobre el particular, debe tenerse presente el artículo 37 del Reglamento del SOAT, que establece lo siguiente:</w:t>
      </w:r>
    </w:p>
    <w:p w:rsidRPr="008B73A8" w:rsidR="008B73A8" w:rsidP="008B73A8" w:rsidRDefault="008B73A8" w14:paraId="384EBCF4" w14:textId="77777777">
      <w:pPr>
        <w:ind w:left="709"/>
        <w:jc w:val="both"/>
        <w:rPr>
          <w:lang w:val="es-PE" w:eastAsia="es-PE"/>
        </w:rPr>
      </w:pPr>
    </w:p>
    <w:p w:rsidRPr="008B73A8" w:rsidR="008B73A8" w:rsidP="008B73A8" w:rsidRDefault="008B73A8" w14:paraId="3FB3BC53" w14:textId="77777777">
      <w:pPr>
        <w:ind w:left="1440"/>
        <w:jc w:val="both"/>
        <w:rPr>
          <w:i/>
          <w:iCs/>
          <w:color w:val="333333"/>
          <w:shd w:val="clear" w:color="auto" w:fill="FFFFFF"/>
        </w:rPr>
      </w:pPr>
      <w:r w:rsidRPr="008B73A8">
        <w:rPr>
          <w:b/>
          <w:bCs/>
          <w:i/>
          <w:iCs/>
          <w:color w:val="333333"/>
          <w:shd w:val="clear" w:color="auto" w:fill="FFFFFF"/>
        </w:rPr>
        <w:t>“Artículo 37.- </w:t>
      </w:r>
      <w:r w:rsidRPr="008B73A8">
        <w:rPr>
          <w:i/>
          <w:iCs/>
          <w:color w:val="333333"/>
          <w:shd w:val="clear" w:color="auto" w:fill="FFFFFF"/>
        </w:rPr>
        <w:t>Quedan excluidos del Seguro Obligatorio de Accidentes de Tránsito las coberturas por muerte y lesiones corporales en los siguientes casos:</w:t>
      </w:r>
    </w:p>
    <w:p w:rsidRPr="008B73A8" w:rsidR="008B73A8" w:rsidP="008B73A8" w:rsidRDefault="008B73A8" w14:paraId="6D4C9444" w14:textId="77777777">
      <w:pPr>
        <w:ind w:left="1440"/>
        <w:jc w:val="both"/>
        <w:rPr>
          <w:i/>
          <w:iCs/>
          <w:color w:val="333333"/>
          <w:shd w:val="clear" w:color="auto" w:fill="FFFFFF"/>
        </w:rPr>
      </w:pPr>
      <w:r w:rsidRPr="008B73A8">
        <w:rPr>
          <w:i/>
          <w:iCs/>
          <w:color w:val="333333"/>
          <w:shd w:val="clear" w:color="auto" w:fill="FFFFFF"/>
        </w:rPr>
        <w:t>a) Los causados en carreras de automóviles y otras competencias de vehículos motorizados;</w:t>
      </w:r>
    </w:p>
    <w:p w:rsidRPr="008B73A8" w:rsidR="008B73A8" w:rsidP="008B73A8" w:rsidRDefault="008B73A8" w14:paraId="2DE0E5EC" w14:textId="77777777">
      <w:pPr>
        <w:ind w:left="1440"/>
        <w:jc w:val="both"/>
        <w:rPr>
          <w:i/>
          <w:iCs/>
          <w:color w:val="333333"/>
          <w:shd w:val="clear" w:color="auto" w:fill="FFFFFF"/>
        </w:rPr>
      </w:pPr>
      <w:r w:rsidRPr="008B73A8">
        <w:rPr>
          <w:i/>
          <w:iCs/>
          <w:color w:val="333333"/>
          <w:shd w:val="clear" w:color="auto" w:fill="FFFFFF"/>
        </w:rPr>
        <w:t>b) Los ocurridos fuera del territorio nacional;</w:t>
      </w:r>
    </w:p>
    <w:p w:rsidRPr="008B73A8" w:rsidR="008B73A8" w:rsidP="008B73A8" w:rsidRDefault="008B73A8" w14:paraId="27E153E5" w14:textId="77777777">
      <w:pPr>
        <w:ind w:left="1440"/>
        <w:jc w:val="both"/>
        <w:rPr>
          <w:i/>
          <w:iCs/>
          <w:color w:val="333333"/>
          <w:shd w:val="clear" w:color="auto" w:fill="FFFFFF"/>
        </w:rPr>
      </w:pPr>
      <w:r w:rsidRPr="008B73A8">
        <w:rPr>
          <w:i/>
          <w:iCs/>
          <w:color w:val="333333"/>
          <w:shd w:val="clear" w:color="auto" w:fill="FFFFFF"/>
        </w:rPr>
        <w:t>c) Los ocurridos en lugares no abiertos al tránsito público;</w:t>
      </w:r>
    </w:p>
    <w:p w:rsidRPr="008B73A8" w:rsidR="008B73A8" w:rsidP="008B73A8" w:rsidRDefault="008B73A8" w14:paraId="0A5C44C6" w14:textId="77777777">
      <w:pPr>
        <w:ind w:left="1440"/>
        <w:jc w:val="both"/>
        <w:rPr>
          <w:b/>
          <w:bCs/>
          <w:i/>
          <w:iCs/>
          <w:color w:val="333333"/>
          <w:shd w:val="clear" w:color="auto" w:fill="FFFFFF"/>
        </w:rPr>
      </w:pPr>
      <w:r w:rsidRPr="008B73A8">
        <w:rPr>
          <w:b/>
          <w:bCs/>
          <w:i/>
          <w:iCs/>
          <w:color w:val="333333"/>
          <w:shd w:val="clear" w:color="auto" w:fill="FFFFFF"/>
        </w:rPr>
        <w:t>d) Los ocurridos como consecuencia de guerras, sismos u otros casos fortuitos enteramente extraños a la circulación del vehículo;</w:t>
      </w:r>
    </w:p>
    <w:p w:rsidRPr="008B73A8" w:rsidR="008B73A8" w:rsidP="008B73A8" w:rsidRDefault="008B73A8" w14:paraId="10C70579" w14:textId="77777777">
      <w:pPr>
        <w:ind w:left="1440"/>
        <w:jc w:val="both"/>
        <w:rPr>
          <w:i/>
          <w:iCs/>
          <w:color w:val="333333"/>
        </w:rPr>
      </w:pPr>
      <w:r w:rsidRPr="008B73A8">
        <w:rPr>
          <w:i/>
          <w:iCs/>
          <w:color w:val="333333"/>
          <w:shd w:val="clear" w:color="auto" w:fill="FFFFFF"/>
        </w:rPr>
        <w:t xml:space="preserve">e) El suicidio y la comisión de lesiones </w:t>
      </w:r>
      <w:proofErr w:type="spellStart"/>
      <w:r w:rsidRPr="008B73A8">
        <w:rPr>
          <w:i/>
          <w:iCs/>
          <w:color w:val="333333"/>
          <w:shd w:val="clear" w:color="auto" w:fill="FFFFFF"/>
        </w:rPr>
        <w:t>autoinferidas</w:t>
      </w:r>
      <w:proofErr w:type="spellEnd"/>
      <w:r w:rsidRPr="008B73A8">
        <w:rPr>
          <w:i/>
          <w:iCs/>
          <w:color w:val="333333"/>
          <w:shd w:val="clear" w:color="auto" w:fill="FFFFFF"/>
        </w:rPr>
        <w:t xml:space="preserve"> utilizando el vehículo automotor asegurado</w:t>
      </w:r>
      <w:proofErr w:type="gramStart"/>
      <w:r w:rsidRPr="008B73A8">
        <w:rPr>
          <w:b/>
          <w:bCs/>
          <w:i/>
          <w:iCs/>
          <w:color w:val="333333"/>
          <w:shd w:val="clear" w:color="auto" w:fill="FFFFFF"/>
        </w:rPr>
        <w:t>” </w:t>
      </w:r>
      <w:r w:rsidRPr="008B73A8">
        <w:rPr>
          <w:i/>
          <w:iCs/>
          <w:color w:val="333333"/>
          <w:shd w:val="clear" w:color="auto" w:fill="FFFFFF"/>
        </w:rPr>
        <w:t>.</w:t>
      </w:r>
      <w:proofErr w:type="gramEnd"/>
      <w:r w:rsidRPr="008B73A8">
        <w:rPr>
          <w:i/>
          <w:iCs/>
          <w:color w:val="333333"/>
          <w:shd w:val="clear" w:color="auto" w:fill="FFFFFF"/>
        </w:rPr>
        <w:t xml:space="preserve"> El resaltado es nuestro.</w:t>
      </w:r>
    </w:p>
    <w:p w:rsidRPr="008B73A8" w:rsidR="008B73A8" w:rsidP="008B73A8" w:rsidRDefault="008B73A8" w14:paraId="3E29A682" w14:textId="77777777">
      <w:pPr>
        <w:ind w:left="709"/>
        <w:jc w:val="both"/>
        <w:rPr>
          <w:lang w:val="es-PE" w:eastAsia="es-PE"/>
        </w:rPr>
      </w:pPr>
    </w:p>
    <w:p w:rsidRPr="008B73A8" w:rsidR="008B73A8" w:rsidP="008B73A8" w:rsidRDefault="008B73A8" w14:paraId="5EE5A1DD" w14:textId="77777777">
      <w:pPr>
        <w:ind w:left="709"/>
        <w:jc w:val="both"/>
        <w:rPr>
          <w:lang w:val="es-PE" w:eastAsia="es-PE"/>
        </w:rPr>
      </w:pPr>
      <w:r w:rsidRPr="008B73A8">
        <w:rPr>
          <w:lang w:val="es-PE" w:eastAsia="es-PE"/>
        </w:rPr>
        <w:t xml:space="preserve">En este caso, el que una persona se introduzca debajo de un vehículo automotor es un evento extraño a la circulación del vehículo. </w:t>
      </w:r>
    </w:p>
    <w:p w:rsidRPr="008B73A8" w:rsidR="008B73A8" w:rsidP="008B73A8" w:rsidRDefault="008B73A8" w14:paraId="2A7F96EB" w14:textId="77777777">
      <w:pPr>
        <w:ind w:left="709"/>
        <w:jc w:val="both"/>
        <w:rPr>
          <w:lang w:val="es-PE" w:eastAsia="es-PE"/>
        </w:rPr>
      </w:pPr>
    </w:p>
    <w:p w:rsidRPr="008B73A8" w:rsidR="008B73A8" w:rsidP="008B73A8" w:rsidRDefault="008B73A8" w14:paraId="7BCD83F8" w14:textId="77777777">
      <w:pPr>
        <w:ind w:left="709"/>
        <w:jc w:val="both"/>
        <w:rPr>
          <w:lang w:val="es-PE" w:eastAsia="es-PE"/>
        </w:rPr>
      </w:pPr>
      <w:r w:rsidRPr="008B73A8">
        <w:rPr>
          <w:lang w:val="es-PE" w:eastAsia="es-PE"/>
        </w:rPr>
        <w:t xml:space="preserve">Conforme a lo expuesto, este colegiado considera que dicha disposición debe leerse en forma sistemática con las demás normas que rigen el SOAT, y teniendo en consideración la </w:t>
      </w:r>
      <w:r w:rsidRPr="008B73A8">
        <w:rPr>
          <w:i/>
          <w:iCs/>
          <w:lang w:val="es-PE" w:eastAsia="es-PE"/>
        </w:rPr>
        <w:t xml:space="preserve">“ratio </w:t>
      </w:r>
      <w:proofErr w:type="spellStart"/>
      <w:r w:rsidRPr="008B73A8">
        <w:rPr>
          <w:i/>
          <w:iCs/>
          <w:lang w:val="es-PE" w:eastAsia="es-PE"/>
        </w:rPr>
        <w:t>legis</w:t>
      </w:r>
      <w:proofErr w:type="spellEnd"/>
      <w:r w:rsidRPr="008B73A8">
        <w:rPr>
          <w:i/>
          <w:iCs/>
          <w:lang w:val="es-PE" w:eastAsia="es-PE"/>
        </w:rPr>
        <w:t>”</w:t>
      </w:r>
      <w:r w:rsidRPr="008B73A8">
        <w:rPr>
          <w:lang w:val="es-PE" w:eastAsia="es-PE"/>
        </w:rPr>
        <w:t xml:space="preserve"> de la modificación de la definición de accidente de tránsito; y, en consecuencia, el SOAT del vehículo detenido o estacionado (en reposo) cubrirá a las víctimas ocupantes del vehículo, cuando este sufrió un accidente </w:t>
      </w:r>
      <w:r w:rsidRPr="008B73A8">
        <w:rPr>
          <w:lang w:val="es-PE" w:eastAsia="es-PE"/>
        </w:rPr>
        <w:t>en el que intervino un vehículo en movimiento, ya que de lo contrario estaríamos ante un caso enteramente extraño a la circulación del vehículo, situación que no ocurrió en el caso que nos ocupa.</w:t>
      </w:r>
    </w:p>
    <w:p w:rsidRPr="008B73A8" w:rsidR="008B73A8" w:rsidP="008B73A8" w:rsidRDefault="008B73A8" w14:paraId="164CAFB1" w14:textId="77777777">
      <w:pPr>
        <w:ind w:left="709"/>
        <w:jc w:val="both"/>
        <w:rPr>
          <w:lang w:val="es-PE" w:eastAsia="es-PE"/>
        </w:rPr>
      </w:pPr>
    </w:p>
    <w:p w:rsidRPr="008B73A8" w:rsidR="008B73A8" w:rsidP="008B73A8" w:rsidRDefault="008B73A8" w14:paraId="16FCD0AD" w14:textId="77777777">
      <w:pPr>
        <w:ind w:left="705" w:hanging="705"/>
        <w:jc w:val="both"/>
        <w:rPr>
          <w:lang w:val="es-MX"/>
        </w:rPr>
      </w:pPr>
      <w:r w:rsidRPr="008B73A8">
        <w:rPr>
          <w:lang w:val="es-MX"/>
        </w:rPr>
        <w:t>6.5.</w:t>
      </w:r>
      <w:r w:rsidRPr="008B73A8">
        <w:rPr>
          <w:lang w:val="es-MX"/>
        </w:rPr>
        <w:tab/>
      </w:r>
      <w:r w:rsidRPr="008B73A8">
        <w:rPr>
          <w:lang w:val="es-MX"/>
        </w:rPr>
        <w:t xml:space="preserve">En lo que respecta al precedente del Tribunal de Indecopi invocado por la aseguradora, el mismo no constituye un precedente de observancia obligatoria, siendo que además hace referencia a una situación un poco distinta a la que nos ocupa; sin perjuicio de lo cual este colegiado ha tomado en cuenta que el mismo también se refiere al artículo 37 del reglamento del SOAT. </w:t>
      </w:r>
    </w:p>
    <w:p w:rsidRPr="008B73A8" w:rsidR="008B73A8" w:rsidP="008B73A8" w:rsidRDefault="008B73A8" w14:paraId="7BDE393D" w14:textId="77777777">
      <w:pPr>
        <w:ind w:left="705" w:hanging="705"/>
        <w:jc w:val="both"/>
        <w:rPr>
          <w:lang w:val="es-MX"/>
        </w:rPr>
      </w:pPr>
    </w:p>
    <w:p w:rsidRPr="008B73A8" w:rsidR="008B73A8" w:rsidP="008B73A8" w:rsidRDefault="008B73A8" w14:paraId="1746C270" w14:textId="77777777">
      <w:pPr>
        <w:jc w:val="both"/>
        <w:rPr>
          <w:lang w:val="es-MX"/>
        </w:rPr>
      </w:pPr>
      <w:r w:rsidRPr="008B73A8">
        <w:rPr>
          <w:lang w:val="es-MX"/>
        </w:rPr>
        <w:t xml:space="preserve">Por las consideraciones expuestas este colegiado concluye que el lamentable accidente sufrido por el cónyuge de la </w:t>
      </w:r>
      <w:proofErr w:type="gramStart"/>
      <w:r w:rsidRPr="008B73A8">
        <w:rPr>
          <w:lang w:val="es-MX"/>
        </w:rPr>
        <w:t>reclamante,</w:t>
      </w:r>
      <w:proofErr w:type="gramEnd"/>
      <w:r w:rsidRPr="008B73A8">
        <w:rPr>
          <w:lang w:val="es-MX"/>
        </w:rPr>
        <w:t xml:space="preserve"> no constituye un accidente de tránsito cubierto por el SOAT; y, en consecuencia, el rechazo invocado por la aseguradora resulta legítimo.</w:t>
      </w:r>
    </w:p>
    <w:p w:rsidRPr="008B73A8" w:rsidR="008B73A8" w:rsidP="008B73A8" w:rsidRDefault="008B73A8" w14:paraId="109DFE1C" w14:textId="77777777">
      <w:pPr>
        <w:jc w:val="both"/>
      </w:pPr>
    </w:p>
    <w:p w:rsidRPr="008B73A8" w:rsidR="008B73A8" w:rsidP="008B73A8" w:rsidRDefault="008B73A8" w14:paraId="182A2D39" w14:textId="77777777">
      <w:pPr>
        <w:tabs>
          <w:tab w:val="left" w:pos="2386"/>
        </w:tabs>
        <w:jc w:val="both"/>
        <w:outlineLvl w:val="0"/>
        <w:rPr>
          <w:b/>
        </w:rPr>
      </w:pPr>
      <w:r w:rsidRPr="008B73A8">
        <w:rPr>
          <w:b/>
          <w:lang w:val="es-PE"/>
        </w:rPr>
        <w:t xml:space="preserve">Atendiendo a lo expresado, este colegiado </w:t>
      </w:r>
      <w:r w:rsidRPr="008B73A8">
        <w:rPr>
          <w:b/>
        </w:rPr>
        <w:t>concluye su apreciación razonada y conjunta al amparo de lo establecido en su Reglamento, por lo que</w:t>
      </w:r>
      <w:r w:rsidRPr="008B73A8">
        <w:rPr>
          <w:b/>
          <w:lang w:val="es-PE"/>
        </w:rPr>
        <w:t xml:space="preserve"> resuelve:</w:t>
      </w:r>
    </w:p>
    <w:p w:rsidRPr="008B73A8" w:rsidR="008B73A8" w:rsidP="008B73A8" w:rsidRDefault="008B73A8" w14:paraId="2515AE43" w14:textId="77777777">
      <w:pPr>
        <w:jc w:val="both"/>
        <w:rPr>
          <w:rFonts w:eastAsia="Arial Unicode MS"/>
        </w:rPr>
      </w:pPr>
    </w:p>
    <w:p w:rsidRPr="008B73A8" w:rsidR="008B73A8" w:rsidP="008B73A8" w:rsidRDefault="008B73A8" w14:paraId="4BCB0FEA" w14:textId="397AE9DC">
      <w:pPr>
        <w:jc w:val="both"/>
      </w:pPr>
      <w:r w:rsidRPr="3322F01F" w:rsidR="008B73A8">
        <w:rPr>
          <w:rFonts w:eastAsia="Arial Unicode MS"/>
          <w:lang w:val="es-PE"/>
        </w:rPr>
        <w:t xml:space="preserve">Declarar </w:t>
      </w:r>
      <w:r w:rsidRPr="3322F01F" w:rsidR="008B73A8">
        <w:rPr>
          <w:rFonts w:eastAsia="Arial Unicode MS"/>
          <w:b w:val="1"/>
          <w:bCs w:val="1"/>
          <w:lang w:val="es-PE"/>
        </w:rPr>
        <w:t>INFUNDADA</w:t>
      </w:r>
      <w:r w:rsidRPr="3322F01F" w:rsidR="008B73A8">
        <w:rPr>
          <w:rFonts w:eastAsia="Arial Unicode MS"/>
          <w:lang w:val="es-PE"/>
        </w:rPr>
        <w:t xml:space="preserve"> la reclamación interpuesta por </w:t>
      </w:r>
      <w:r w:rsidRPr="3322F01F" w:rsidR="008B73A8">
        <w:rPr>
          <w:lang w:val="es-PE"/>
        </w:rPr>
        <w:t xml:space="preserve">doña </w:t>
      </w:r>
      <w:r w:rsidRPr="3322F01F" w:rsidR="2284F873">
        <w:rPr>
          <w:lang w:val="es-PE"/>
        </w:rPr>
        <w:t>.....................................................................</w:t>
      </w:r>
      <w:r w:rsidRPr="3322F01F" w:rsidR="008B73A8">
        <w:rPr>
          <w:lang w:val="es-PE"/>
        </w:rPr>
        <w:t xml:space="preserve"> </w:t>
      </w:r>
      <w:r w:rsidRPr="3322F01F" w:rsidR="008B73A8">
        <w:rPr>
          <w:lang w:val="es-PE"/>
        </w:rPr>
        <w:t xml:space="preserve">contra </w:t>
      </w:r>
      <w:r w:rsidRPr="3322F01F" w:rsidR="4073E6E3">
        <w:rPr>
          <w:lang w:val="es-PE"/>
        </w:rPr>
        <w:t>........................</w:t>
      </w:r>
      <w:r w:rsidRPr="3322F01F" w:rsidR="008B73A8">
        <w:rPr>
          <w:lang w:val="es-PE"/>
        </w:rPr>
        <w:t xml:space="preserve">, </w:t>
      </w:r>
      <w:r w:rsidR="008B73A8">
        <w:rPr/>
        <w:t>dejando a salvo el derecho de la reclamante a recurrir a las instancias que considere pertinentes.</w:t>
      </w:r>
    </w:p>
    <w:p w:rsidRPr="008B73A8" w:rsidR="00666DF6" w:rsidP="000178DD" w:rsidRDefault="00666DF6" w14:paraId="3E6BE5D1" w14:textId="77777777">
      <w:pPr>
        <w:jc w:val="both"/>
        <w:rPr>
          <w:bCs/>
        </w:rPr>
      </w:pPr>
    </w:p>
    <w:p w:rsidRPr="008B73A8" w:rsidR="001631D6" w:rsidP="000D2B3D" w:rsidRDefault="00F15FBA" w14:paraId="48C7895B" w14:textId="4CC9E1C3">
      <w:pPr>
        <w:jc w:val="right"/>
        <w:outlineLvl w:val="0"/>
        <w:rPr>
          <w:lang w:val="es-PE"/>
        </w:rPr>
      </w:pPr>
      <w:r w:rsidRPr="008B73A8">
        <w:rPr>
          <w:lang w:val="es-PE"/>
        </w:rPr>
        <w:t xml:space="preserve">Lima, </w:t>
      </w:r>
      <w:r w:rsidRPr="008B73A8" w:rsidR="000614E5">
        <w:t>15</w:t>
      </w:r>
      <w:r w:rsidRPr="008B73A8" w:rsidR="0098224D">
        <w:t xml:space="preserve"> </w:t>
      </w:r>
      <w:r w:rsidRPr="008B73A8">
        <w:rPr>
          <w:lang w:val="es-PE"/>
        </w:rPr>
        <w:t>de</w:t>
      </w:r>
      <w:r w:rsidRPr="008B73A8" w:rsidR="00F816A3">
        <w:rPr>
          <w:lang w:val="es-PE"/>
        </w:rPr>
        <w:t xml:space="preserve"> </w:t>
      </w:r>
      <w:r w:rsidRPr="008B73A8" w:rsidR="000614E5">
        <w:rPr>
          <w:lang w:val="es-PE"/>
        </w:rPr>
        <w:t>agosto</w:t>
      </w:r>
      <w:r w:rsidRPr="008B73A8" w:rsidR="001631D6">
        <w:rPr>
          <w:lang w:val="es-PE"/>
        </w:rPr>
        <w:t xml:space="preserve"> </w:t>
      </w:r>
      <w:r w:rsidRPr="008B73A8">
        <w:rPr>
          <w:lang w:val="es-PE"/>
        </w:rPr>
        <w:t>de 20</w:t>
      </w:r>
      <w:r w:rsidRPr="008B73A8" w:rsidR="001631D6">
        <w:rPr>
          <w:lang w:val="es-PE"/>
        </w:rPr>
        <w:t>2</w:t>
      </w:r>
      <w:r w:rsidRPr="008B73A8" w:rsidR="00444D29">
        <w:rPr>
          <w:lang w:val="es-PE"/>
        </w:rPr>
        <w:t>2</w:t>
      </w:r>
    </w:p>
    <w:p w:rsidRPr="008B73A8" w:rsidR="00F202DC" w:rsidP="001631D6" w:rsidRDefault="00F202DC" w14:paraId="55EA6443" w14:textId="77777777">
      <w:pPr>
        <w:jc w:val="both"/>
      </w:pPr>
    </w:p>
    <w:p w:rsidRPr="008B73A8" w:rsidR="001631D6" w:rsidP="001631D6" w:rsidRDefault="001631D6" w14:paraId="54F717D9" w14:textId="77777777">
      <w:pPr>
        <w:jc w:val="both"/>
        <w:rPr>
          <w:b/>
          <w:bCs/>
          <w:i/>
          <w:iCs/>
          <w:lang w:val="es-ES_tradnl"/>
        </w:rPr>
      </w:pPr>
      <w:r w:rsidRPr="008B73A8">
        <w:rPr>
          <w:b/>
          <w:bCs/>
          <w:i/>
          <w:iCs/>
          <w:lang w:val="es-ES_tradnl"/>
        </w:rPr>
        <w:t>La Secretaría Técnica certifica que la presente resolución cuenta con el voto de los vocales cuyos nombres figuran en el presente documento.</w:t>
      </w:r>
    </w:p>
    <w:p w:rsidRPr="008B73A8" w:rsidR="001631D6" w:rsidP="001631D6" w:rsidRDefault="001631D6" w14:paraId="024CA4C1" w14:textId="77777777">
      <w:pPr>
        <w:jc w:val="both"/>
        <w:rPr>
          <w:b/>
          <w:bCs/>
          <w:lang w:val="es-ES_tradnl"/>
        </w:rPr>
      </w:pPr>
    </w:p>
    <w:p w:rsidRPr="008B73A8" w:rsidR="003E6BA6" w:rsidP="003E6BA6" w:rsidRDefault="0096094A" w14:paraId="7E9839D4" w14:textId="0E0E06BB">
      <w:pPr>
        <w:spacing w:line="360" w:lineRule="auto"/>
        <w:jc w:val="center"/>
        <w:rPr>
          <w:b/>
          <w:bCs/>
        </w:rPr>
      </w:pPr>
      <w:r w:rsidRPr="008B73A8">
        <w:rPr>
          <w:b/>
          <w:bCs/>
        </w:rPr>
        <w:t xml:space="preserve">Marco Antonio Ortega Piana </w:t>
      </w:r>
      <w:r w:rsidRPr="008B73A8" w:rsidR="003E6BA6">
        <w:rPr>
          <w:b/>
          <w:bCs/>
        </w:rPr>
        <w:t xml:space="preserve">– </w:t>
      </w:r>
      <w:proofErr w:type="gramStart"/>
      <w:r w:rsidRPr="008B73A8" w:rsidR="003E6BA6">
        <w:rPr>
          <w:b/>
          <w:bCs/>
        </w:rPr>
        <w:t>Presidente</w:t>
      </w:r>
      <w:proofErr w:type="gramEnd"/>
    </w:p>
    <w:p w:rsidRPr="008B73A8" w:rsidR="0096094A" w:rsidP="0096094A" w:rsidRDefault="0096094A" w14:paraId="3458C0C0" w14:textId="6E7C8E64">
      <w:pPr>
        <w:spacing w:line="360" w:lineRule="auto"/>
        <w:jc w:val="center"/>
        <w:rPr>
          <w:b/>
          <w:bCs/>
        </w:rPr>
      </w:pPr>
      <w:r w:rsidRPr="008B73A8">
        <w:rPr>
          <w:b/>
          <w:bCs/>
        </w:rPr>
        <w:t>María Eugenia Valdez Fernández Baca– Vocal</w:t>
      </w:r>
    </w:p>
    <w:p w:rsidRPr="008B73A8" w:rsidR="001631D6" w:rsidP="001631D6" w:rsidRDefault="001631D6" w14:paraId="515933D0" w14:textId="575B7E12">
      <w:pPr>
        <w:spacing w:line="360" w:lineRule="auto"/>
        <w:jc w:val="center"/>
        <w:rPr>
          <w:b/>
          <w:bCs/>
        </w:rPr>
      </w:pPr>
      <w:r w:rsidRPr="008B73A8">
        <w:rPr>
          <w:b/>
          <w:bCs/>
        </w:rPr>
        <w:t xml:space="preserve">Rolando Eyzaguirre </w:t>
      </w:r>
      <w:proofErr w:type="spellStart"/>
      <w:r w:rsidRPr="008B73A8">
        <w:rPr>
          <w:b/>
          <w:bCs/>
        </w:rPr>
        <w:t>Maccan</w:t>
      </w:r>
      <w:proofErr w:type="spellEnd"/>
      <w:r w:rsidRPr="008B73A8">
        <w:rPr>
          <w:b/>
          <w:bCs/>
        </w:rPr>
        <w:t xml:space="preserve"> – </w:t>
      </w:r>
      <w:r w:rsidRPr="008B73A8" w:rsidR="003E6BA6">
        <w:rPr>
          <w:b/>
          <w:bCs/>
        </w:rPr>
        <w:t>Vocal</w:t>
      </w:r>
    </w:p>
    <w:p w:rsidRPr="008B73A8" w:rsidR="00517989" w:rsidP="00AB70B7" w:rsidRDefault="00AB70B7" w14:paraId="164CAA9F" w14:textId="01A81F40">
      <w:pPr>
        <w:spacing w:line="360" w:lineRule="auto"/>
        <w:jc w:val="center"/>
        <w:rPr>
          <w:b/>
          <w:bCs/>
        </w:rPr>
      </w:pPr>
      <w:r w:rsidRPr="008B73A8">
        <w:rPr>
          <w:b/>
          <w:bCs/>
        </w:rPr>
        <w:t>Gonzalo Abad del Busto - Vocal</w:t>
      </w:r>
    </w:p>
    <w:p w:rsidRPr="000C3FF2" w:rsidR="00865247" w:rsidRDefault="00865247" w14:paraId="0F6CCBAC" w14:textId="77777777"/>
    <w:sectPr w:rsidRPr="000C3FF2" w:rsidR="00865247"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1586" w:rsidP="005F148C" w:rsidRDefault="002A1586" w14:paraId="492CB72C" w14:textId="77777777">
      <w:r>
        <w:separator/>
      </w:r>
    </w:p>
  </w:endnote>
  <w:endnote w:type="continuationSeparator" w:id="0">
    <w:p w:rsidR="002A1586" w:rsidP="005F148C" w:rsidRDefault="002A1586" w14:paraId="524AC29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1586" w:rsidP="005F148C" w:rsidRDefault="002A1586" w14:paraId="6FC16B20" w14:textId="77777777">
      <w:r>
        <w:separator/>
      </w:r>
    </w:p>
  </w:footnote>
  <w:footnote w:type="continuationSeparator" w:id="0">
    <w:p w:rsidR="002A1586" w:rsidP="005F148C" w:rsidRDefault="002A1586" w14:paraId="74621B9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1950"/>
    <w:multiLevelType w:val="hybridMultilevel"/>
    <w:tmpl w:val="D3980BAE"/>
    <w:lvl w:ilvl="0" w:tplc="068680D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B3D63C4"/>
    <w:multiLevelType w:val="hybridMultilevel"/>
    <w:tmpl w:val="50AA1434"/>
    <w:lvl w:ilvl="0" w:tplc="9BA6A668">
      <w:start w:val="1"/>
      <w:numFmt w:val="upp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4" w15:restartNumberingAfterBreak="0">
    <w:nsid w:val="1DF165D7"/>
    <w:multiLevelType w:val="hybridMultilevel"/>
    <w:tmpl w:val="AC6C3122"/>
    <w:lvl w:ilvl="0" w:tplc="5A82C45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0911D3A"/>
    <w:multiLevelType w:val="hybridMultilevel"/>
    <w:tmpl w:val="EF7E6968"/>
    <w:lvl w:ilvl="0" w:tplc="CA141C8E">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6" w15:restartNumberingAfterBreak="0">
    <w:nsid w:val="2EBF05B2"/>
    <w:multiLevelType w:val="hybridMultilevel"/>
    <w:tmpl w:val="6B005752"/>
    <w:lvl w:ilvl="0" w:tplc="05C46A3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2972AE"/>
    <w:multiLevelType w:val="hybridMultilevel"/>
    <w:tmpl w:val="A9C0C48A"/>
    <w:lvl w:ilvl="0" w:tplc="FD82040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0801BB"/>
    <w:multiLevelType w:val="multilevel"/>
    <w:tmpl w:val="3C34E69C"/>
    <w:lvl w:ilvl="0">
      <w:start w:val="2"/>
      <w:numFmt w:val="decimal"/>
      <w:lvlText w:val="%1."/>
      <w:lvlJc w:val="left"/>
      <w:pPr>
        <w:ind w:left="394" w:hanging="394"/>
      </w:pPr>
    </w:lvl>
    <w:lvl w:ilvl="1">
      <w:start w:val="6"/>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407C1DA0"/>
    <w:multiLevelType w:val="hybridMultilevel"/>
    <w:tmpl w:val="78389EEC"/>
    <w:lvl w:ilvl="0" w:tplc="3D24E39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66435543"/>
    <w:multiLevelType w:val="hybridMultilevel"/>
    <w:tmpl w:val="91725656"/>
    <w:lvl w:ilvl="0" w:tplc="F8DEE57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3154FE1"/>
    <w:multiLevelType w:val="multilevel"/>
    <w:tmpl w:val="79149046"/>
    <w:lvl w:ilvl="0">
      <w:start w:val="2"/>
      <w:numFmt w:val="decimal"/>
      <w:lvlText w:val="%1."/>
      <w:lvlJc w:val="left"/>
      <w:pPr>
        <w:ind w:left="394" w:hanging="394"/>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24929927">
    <w:abstractNumId w:val="0"/>
  </w:num>
  <w:num w:numId="2" w16cid:durableId="1745030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57680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7484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56918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96177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3949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229083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72603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9230313">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7256375">
    <w:abstractNumId w:val="9"/>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71340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197732">
    <w:abstractNumId w:val="11"/>
  </w:num>
  <w:num w:numId="14" w16cid:durableId="14109568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3283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178DD"/>
    <w:rsid w:val="00020318"/>
    <w:rsid w:val="00022570"/>
    <w:rsid w:val="00030177"/>
    <w:rsid w:val="000320F1"/>
    <w:rsid w:val="00032526"/>
    <w:rsid w:val="00035CCC"/>
    <w:rsid w:val="00040340"/>
    <w:rsid w:val="00045078"/>
    <w:rsid w:val="000614E5"/>
    <w:rsid w:val="00065A3F"/>
    <w:rsid w:val="0007045A"/>
    <w:rsid w:val="00084E51"/>
    <w:rsid w:val="00085CDE"/>
    <w:rsid w:val="0009325F"/>
    <w:rsid w:val="00094DDA"/>
    <w:rsid w:val="00095A31"/>
    <w:rsid w:val="00095C90"/>
    <w:rsid w:val="00097799"/>
    <w:rsid w:val="000B23C9"/>
    <w:rsid w:val="000B4405"/>
    <w:rsid w:val="000C2B88"/>
    <w:rsid w:val="000C3FF2"/>
    <w:rsid w:val="000C5892"/>
    <w:rsid w:val="000D2700"/>
    <w:rsid w:val="000D2B3D"/>
    <w:rsid w:val="000D484B"/>
    <w:rsid w:val="000E135D"/>
    <w:rsid w:val="000E1883"/>
    <w:rsid w:val="000E52A2"/>
    <w:rsid w:val="000F1AF1"/>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869E1"/>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5343"/>
    <w:rsid w:val="00246359"/>
    <w:rsid w:val="00251FD7"/>
    <w:rsid w:val="002561BB"/>
    <w:rsid w:val="00261869"/>
    <w:rsid w:val="00265628"/>
    <w:rsid w:val="00265B6F"/>
    <w:rsid w:val="002738EE"/>
    <w:rsid w:val="00281026"/>
    <w:rsid w:val="00282A40"/>
    <w:rsid w:val="0029429C"/>
    <w:rsid w:val="0029622B"/>
    <w:rsid w:val="002A1586"/>
    <w:rsid w:val="002A2188"/>
    <w:rsid w:val="002A777D"/>
    <w:rsid w:val="002B14D5"/>
    <w:rsid w:val="002C236D"/>
    <w:rsid w:val="002C79AF"/>
    <w:rsid w:val="002D5EC2"/>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37BE5"/>
    <w:rsid w:val="00342735"/>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C60E9"/>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5BD7"/>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376B6"/>
    <w:rsid w:val="00555946"/>
    <w:rsid w:val="00567EEF"/>
    <w:rsid w:val="0057352D"/>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68EF"/>
    <w:rsid w:val="00647AEE"/>
    <w:rsid w:val="00651449"/>
    <w:rsid w:val="006629E7"/>
    <w:rsid w:val="00664636"/>
    <w:rsid w:val="00666DF6"/>
    <w:rsid w:val="00674D09"/>
    <w:rsid w:val="00677A2F"/>
    <w:rsid w:val="00677CA9"/>
    <w:rsid w:val="00677FBF"/>
    <w:rsid w:val="00683B04"/>
    <w:rsid w:val="006846C3"/>
    <w:rsid w:val="0069382D"/>
    <w:rsid w:val="00696FE5"/>
    <w:rsid w:val="006A0F1A"/>
    <w:rsid w:val="006A1077"/>
    <w:rsid w:val="006A12DF"/>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51367"/>
    <w:rsid w:val="00760892"/>
    <w:rsid w:val="0076125A"/>
    <w:rsid w:val="007642FB"/>
    <w:rsid w:val="0077512D"/>
    <w:rsid w:val="00776208"/>
    <w:rsid w:val="00782489"/>
    <w:rsid w:val="00782CC3"/>
    <w:rsid w:val="00784209"/>
    <w:rsid w:val="00784E88"/>
    <w:rsid w:val="007855C9"/>
    <w:rsid w:val="00792E2A"/>
    <w:rsid w:val="00793365"/>
    <w:rsid w:val="00793836"/>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2A8"/>
    <w:rsid w:val="00856856"/>
    <w:rsid w:val="0085722D"/>
    <w:rsid w:val="00861615"/>
    <w:rsid w:val="00861C92"/>
    <w:rsid w:val="0086290F"/>
    <w:rsid w:val="00864800"/>
    <w:rsid w:val="00864D07"/>
    <w:rsid w:val="00865247"/>
    <w:rsid w:val="00865B73"/>
    <w:rsid w:val="00873142"/>
    <w:rsid w:val="00892A1F"/>
    <w:rsid w:val="008930FB"/>
    <w:rsid w:val="00895FF5"/>
    <w:rsid w:val="008A1DAB"/>
    <w:rsid w:val="008A67AB"/>
    <w:rsid w:val="008B467B"/>
    <w:rsid w:val="008B73A8"/>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C7A53"/>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048"/>
    <w:rsid w:val="00A5329C"/>
    <w:rsid w:val="00A54A78"/>
    <w:rsid w:val="00A57082"/>
    <w:rsid w:val="00A57D26"/>
    <w:rsid w:val="00A653A1"/>
    <w:rsid w:val="00A662BF"/>
    <w:rsid w:val="00A663A2"/>
    <w:rsid w:val="00A725CF"/>
    <w:rsid w:val="00A73FB8"/>
    <w:rsid w:val="00A74FD1"/>
    <w:rsid w:val="00A80BAD"/>
    <w:rsid w:val="00A906A7"/>
    <w:rsid w:val="00A936B3"/>
    <w:rsid w:val="00AA165A"/>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B01FE0"/>
    <w:rsid w:val="00B04114"/>
    <w:rsid w:val="00B21DF2"/>
    <w:rsid w:val="00B42C94"/>
    <w:rsid w:val="00B44E44"/>
    <w:rsid w:val="00B45EC6"/>
    <w:rsid w:val="00B51C10"/>
    <w:rsid w:val="00B52FDA"/>
    <w:rsid w:val="00B60E25"/>
    <w:rsid w:val="00B63FA5"/>
    <w:rsid w:val="00B66209"/>
    <w:rsid w:val="00B70CD2"/>
    <w:rsid w:val="00B72836"/>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0991"/>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D6358"/>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0B14"/>
    <w:rsid w:val="00D86E87"/>
    <w:rsid w:val="00D9006E"/>
    <w:rsid w:val="00D9156C"/>
    <w:rsid w:val="00D942CE"/>
    <w:rsid w:val="00DA1964"/>
    <w:rsid w:val="00DA3032"/>
    <w:rsid w:val="00DA3423"/>
    <w:rsid w:val="00DA387E"/>
    <w:rsid w:val="00DB1A50"/>
    <w:rsid w:val="00DB43CB"/>
    <w:rsid w:val="00DB639F"/>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42BD6"/>
    <w:rsid w:val="00E50B36"/>
    <w:rsid w:val="00E66B4A"/>
    <w:rsid w:val="00E7182A"/>
    <w:rsid w:val="00E908BC"/>
    <w:rsid w:val="00E909CE"/>
    <w:rsid w:val="00E92620"/>
    <w:rsid w:val="00E958A9"/>
    <w:rsid w:val="00EA1DB3"/>
    <w:rsid w:val="00EA39EC"/>
    <w:rsid w:val="00EA6281"/>
    <w:rsid w:val="00EC2694"/>
    <w:rsid w:val="00ED1A64"/>
    <w:rsid w:val="00ED26AB"/>
    <w:rsid w:val="00ED3185"/>
    <w:rsid w:val="00ED7470"/>
    <w:rsid w:val="00ED77D2"/>
    <w:rsid w:val="00EE47FF"/>
    <w:rsid w:val="00EE5E73"/>
    <w:rsid w:val="00EE720B"/>
    <w:rsid w:val="00EF4FF0"/>
    <w:rsid w:val="00EF6FC2"/>
    <w:rsid w:val="00F029DD"/>
    <w:rsid w:val="00F04E45"/>
    <w:rsid w:val="00F05167"/>
    <w:rsid w:val="00F05BCB"/>
    <w:rsid w:val="00F1075C"/>
    <w:rsid w:val="00F113A1"/>
    <w:rsid w:val="00F15FBA"/>
    <w:rsid w:val="00F202DC"/>
    <w:rsid w:val="00F258C7"/>
    <w:rsid w:val="00F26323"/>
    <w:rsid w:val="00F3616C"/>
    <w:rsid w:val="00F37890"/>
    <w:rsid w:val="00F42DC6"/>
    <w:rsid w:val="00F443E1"/>
    <w:rsid w:val="00F46085"/>
    <w:rsid w:val="00F465F7"/>
    <w:rsid w:val="00F46707"/>
    <w:rsid w:val="00F47501"/>
    <w:rsid w:val="00F476FC"/>
    <w:rsid w:val="00F54F4B"/>
    <w:rsid w:val="00F63579"/>
    <w:rsid w:val="00F6424C"/>
    <w:rsid w:val="00F6573B"/>
    <w:rsid w:val="00F67CC5"/>
    <w:rsid w:val="00F71D17"/>
    <w:rsid w:val="00F741D5"/>
    <w:rsid w:val="00F816A3"/>
    <w:rsid w:val="00F8185B"/>
    <w:rsid w:val="00F96FDD"/>
    <w:rsid w:val="00F97A17"/>
    <w:rsid w:val="00FB4A79"/>
    <w:rsid w:val="00FC273E"/>
    <w:rsid w:val="00FD1ACE"/>
    <w:rsid w:val="00FD73E0"/>
    <w:rsid w:val="00FE3F91"/>
    <w:rsid w:val="00FE77D7"/>
    <w:rsid w:val="00FF25AC"/>
    <w:rsid w:val="2284F873"/>
    <w:rsid w:val="2C5554ED"/>
    <w:rsid w:val="2DCB2C7C"/>
    <w:rsid w:val="3032F4B3"/>
    <w:rsid w:val="3322F01F"/>
    <w:rsid w:val="33330013"/>
    <w:rsid w:val="3424B72E"/>
    <w:rsid w:val="4073E6E3"/>
    <w:rsid w:val="5F94811E"/>
    <w:rsid w:val="65D17E13"/>
    <w:rsid w:val="65E9586F"/>
    <w:rsid w:val="71891441"/>
    <w:rsid w:val="7EA9E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5993245">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180239227">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40650030">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677465110">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49895802">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12013936">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551919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57F17FF-EF46-4506-9E51-946A83D2B98D}"/>
</file>

<file path=customXml/itemProps3.xml><?xml version="1.0" encoding="utf-8"?>
<ds:datastoreItem xmlns:ds="http://schemas.openxmlformats.org/officeDocument/2006/customXml" ds:itemID="{199D867B-8164-4D2C-8F19-F3CB8305B342}"/>
</file>

<file path=customXml/itemProps4.xml><?xml version="1.0" encoding="utf-8"?>
<ds:datastoreItem xmlns:ds="http://schemas.openxmlformats.org/officeDocument/2006/customXml" ds:itemID="{71DB5C92-3BE3-4A6A-BF48-E170958A95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440</cp:revision>
  <cp:lastPrinted>2022-08-16T15:02:00Z</cp:lastPrinted>
  <dcterms:created xsi:type="dcterms:W3CDTF">2020-12-18T20:09:00Z</dcterms:created>
  <dcterms:modified xsi:type="dcterms:W3CDTF">2025-04-23T17:01:31Z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