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EE361AC" w:rsidR="00707C99" w:rsidRPr="00FE73F3" w:rsidRDefault="00201C0D" w:rsidP="00272F4F">
      <w:pPr>
        <w:spacing w:after="0" w:line="240" w:lineRule="auto"/>
        <w:jc w:val="center"/>
        <w:rPr>
          <w:rFonts w:ascii="Times New Roman" w:hAnsi="Times New Roman" w:cs="Times New Roman"/>
          <w:b/>
          <w:sz w:val="24"/>
          <w:szCs w:val="24"/>
          <w:lang w:val="es-PE" w:eastAsia="ar-SA"/>
        </w:rPr>
      </w:pPr>
      <w:r w:rsidRPr="00FE73F3">
        <w:rPr>
          <w:rFonts w:ascii="Times New Roman" w:hAnsi="Times New Roman" w:cs="Times New Roman"/>
          <w:b/>
          <w:sz w:val="24"/>
          <w:szCs w:val="24"/>
          <w:lang w:val="es-PE" w:eastAsia="ar-SA"/>
        </w:rPr>
        <w:t xml:space="preserve">RESOLUCIÓN DE RECURSO IMPUGNATIVO </w:t>
      </w:r>
      <w:r w:rsidR="00707C99" w:rsidRPr="00FE73F3">
        <w:rPr>
          <w:rFonts w:ascii="Times New Roman" w:hAnsi="Times New Roman" w:cs="Times New Roman"/>
          <w:b/>
          <w:sz w:val="24"/>
          <w:szCs w:val="24"/>
          <w:lang w:val="es-PE" w:eastAsia="ar-SA"/>
        </w:rPr>
        <w:t xml:space="preserve">N° </w:t>
      </w:r>
      <w:r w:rsidR="00C671F5" w:rsidRPr="00FE73F3">
        <w:rPr>
          <w:rFonts w:ascii="Times New Roman" w:hAnsi="Times New Roman" w:cs="Times New Roman"/>
          <w:b/>
          <w:sz w:val="24"/>
          <w:szCs w:val="24"/>
          <w:lang w:val="es-PE" w:eastAsia="ar-SA"/>
        </w:rPr>
        <w:t>0</w:t>
      </w:r>
      <w:r w:rsidR="00231C58" w:rsidRPr="00FE73F3">
        <w:rPr>
          <w:rFonts w:ascii="Times New Roman" w:hAnsi="Times New Roman" w:cs="Times New Roman"/>
          <w:b/>
          <w:sz w:val="24"/>
          <w:szCs w:val="24"/>
          <w:lang w:val="es-PE" w:eastAsia="ar-SA"/>
        </w:rPr>
        <w:t>0</w:t>
      </w:r>
      <w:r w:rsidR="005D5F88">
        <w:rPr>
          <w:rFonts w:ascii="Times New Roman" w:hAnsi="Times New Roman" w:cs="Times New Roman"/>
          <w:b/>
          <w:sz w:val="24"/>
          <w:szCs w:val="24"/>
          <w:lang w:val="es-PE" w:eastAsia="ar-SA"/>
        </w:rPr>
        <w:t>2</w:t>
      </w:r>
      <w:r w:rsidR="00C671F5" w:rsidRPr="00FE73F3">
        <w:rPr>
          <w:rFonts w:ascii="Times New Roman" w:hAnsi="Times New Roman" w:cs="Times New Roman"/>
          <w:b/>
          <w:sz w:val="24"/>
          <w:szCs w:val="24"/>
          <w:lang w:val="es-PE" w:eastAsia="ar-SA"/>
        </w:rPr>
        <w:t>/2</w:t>
      </w:r>
      <w:r w:rsidR="00AB7BFE" w:rsidRPr="00FE73F3">
        <w:rPr>
          <w:rFonts w:ascii="Times New Roman" w:hAnsi="Times New Roman" w:cs="Times New Roman"/>
          <w:b/>
          <w:sz w:val="24"/>
          <w:szCs w:val="24"/>
          <w:lang w:val="es-PE" w:eastAsia="ar-SA"/>
        </w:rPr>
        <w:t>3</w:t>
      </w:r>
    </w:p>
    <w:p w14:paraId="428240E5" w14:textId="06F06948" w:rsidR="00707C99" w:rsidRPr="00FE73F3" w:rsidRDefault="00707C99"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61FF32F4" w14:textId="77777777" w:rsidR="00FE73F3" w:rsidRPr="00FE73F3" w:rsidRDefault="00FE73F3" w:rsidP="00F713A4">
      <w:pPr>
        <w:suppressAutoHyphens/>
        <w:spacing w:after="0" w:line="240" w:lineRule="auto"/>
        <w:rPr>
          <w:rFonts w:ascii="Times New Roman" w:eastAsia="Times New Roman" w:hAnsi="Times New Roman" w:cs="Times New Roman"/>
          <w:b/>
          <w:bCs/>
          <w:sz w:val="24"/>
          <w:szCs w:val="24"/>
          <w:lang w:val="es-MX" w:eastAsia="ar-SA"/>
        </w:rPr>
      </w:pPr>
    </w:p>
    <w:p w14:paraId="55ACD453" w14:textId="77777777" w:rsidR="0012166D" w:rsidRPr="0012166D" w:rsidRDefault="0012166D" w:rsidP="0012166D">
      <w:pPr>
        <w:spacing w:after="0" w:line="240" w:lineRule="auto"/>
        <w:jc w:val="both"/>
        <w:rPr>
          <w:rFonts w:ascii="Times New Roman" w:hAnsi="Times New Roman" w:cs="Times New Roman"/>
          <w:sz w:val="24"/>
          <w:szCs w:val="24"/>
          <w:lang w:val="es-PE"/>
        </w:rPr>
      </w:pPr>
      <w:r w:rsidRPr="0012166D">
        <w:rPr>
          <w:rFonts w:ascii="Times New Roman" w:hAnsi="Times New Roman" w:cs="Times New Roman"/>
          <w:b/>
          <w:sz w:val="24"/>
          <w:szCs w:val="24"/>
          <w:lang w:val="es-PE"/>
        </w:rPr>
        <w:t xml:space="preserve">Vistos: </w:t>
      </w:r>
    </w:p>
    <w:p w14:paraId="625A5556" w14:textId="77777777" w:rsidR="0012166D" w:rsidRPr="0012166D" w:rsidRDefault="0012166D" w:rsidP="0012166D">
      <w:pPr>
        <w:spacing w:after="0" w:line="240" w:lineRule="auto"/>
        <w:jc w:val="both"/>
        <w:rPr>
          <w:rFonts w:ascii="Times New Roman" w:hAnsi="Times New Roman" w:cs="Times New Roman"/>
          <w:sz w:val="24"/>
          <w:szCs w:val="24"/>
          <w:lang w:val="es-PE"/>
        </w:rPr>
      </w:pPr>
    </w:p>
    <w:p w14:paraId="3E889CA8" w14:textId="77777777" w:rsidR="0012166D" w:rsidRDefault="0012166D" w:rsidP="0012166D">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Pr>
          <w:rFonts w:ascii="Times New Roman" w:hAnsi="Times New Roman"/>
          <w:sz w:val="24"/>
        </w:rPr>
        <w:t xml:space="preserve">El Recurso de Impugnación presentado el 20 de enero de 2023 por ………………… (en adelante, la aseguradora) respecto de la Resolución Nro. 002/23, de fecha 16 de enero de 2023, emitida por esta Defensoría del Asegurado (DEFASEG), que declaró FUNDADA la reclamación interpuesta por …………………  (en adelante, el asegurado) con relación al siniestro ocurrido el 12 de junio de 2022, al vehículo asegurado de Placa de Rodaje …………………, de acuerdo con las Condiciones Generales y Particulares de la Póliza de Seguro Vehicular N° ………………… (en adelante, la Póliza);</w:t>
      </w:r>
    </w:p>
    <w:p w14:paraId="19EEBFC3" w14:textId="77777777" w:rsidR="0012166D" w:rsidRDefault="0012166D" w:rsidP="0012166D">
      <w:pPr>
        <w:spacing w:after="0" w:line="240" w:lineRule="auto"/>
        <w:jc w:val="both"/>
        <w:rPr>
          <w:rFonts w:ascii="Times New Roman" w:hAnsi="Times New Roman" w:cs="Times New Roman"/>
          <w:sz w:val="24"/>
          <w:szCs w:val="24"/>
          <w:lang w:val="es-PE"/>
        </w:rPr>
      </w:pPr>
    </w:p>
    <w:p w14:paraId="773F5070" w14:textId="77777777" w:rsidR="0012166D" w:rsidRPr="0012166D" w:rsidRDefault="0012166D" w:rsidP="0012166D">
      <w:pPr>
        <w:spacing w:after="0" w:line="240" w:lineRule="auto"/>
        <w:jc w:val="both"/>
        <w:rPr>
          <w:rFonts w:ascii="Times New Roman" w:hAnsi="Times New Roman" w:cs="Times New Roman"/>
          <w:i/>
          <w:iCs/>
          <w:sz w:val="24"/>
          <w:szCs w:val="24"/>
          <w:lang w:val="es-PE"/>
        </w:rPr>
      </w:pPr>
      <w:r>
        <w:rPr>
          <w:rFonts w:ascii="Times New Roman" w:hAnsi="Times New Roman"/>
          <w:sz w:val="24"/>
        </w:rPr>
        <w:t xml:space="preserve">Que el señalado Recurso Impugnativo se fundamenta resumidamente en lo siguiente: 1) el asegurado contaba con su licencia en estado “…………………” al momento del siniestro, por lo cual no puede hablarse sobre una presunta falta de cobertura de Seguro Vehicular, toda vez que la aseguradora ha actuado en todo momento de conformidad con las cláusulas establecidas en la Póliza; 2) el asegurado debió prever con anticipación las dificultades para obtener una licencia, con la finalidad de mantenerla vigente, y como consecuencia también la cobertura de su seguro; 3) los contratos son obligatorios para las partes en cuanto se haya expresado en ellos, según lo preceptúa el artículo 1361 del Código Civil, por tanto, no existe justificación alguna para que se aparten de lo convenido, salvo que se pruebe que no existe coincidencia entre lo expresado en el contrato y la voluntad común de los contratantes;</w:t>
      </w:r>
    </w:p>
    <w:p w14:paraId="52FDC628" w14:textId="77777777" w:rsidR="0012166D" w:rsidRPr="0012166D" w:rsidRDefault="0012166D" w:rsidP="0012166D">
      <w:pPr>
        <w:spacing w:after="0" w:line="240" w:lineRule="auto"/>
        <w:jc w:val="both"/>
        <w:rPr>
          <w:rFonts w:ascii="Times New Roman" w:hAnsi="Times New Roman" w:cs="Times New Roman"/>
          <w:sz w:val="24"/>
          <w:szCs w:val="24"/>
          <w:lang w:val="es-PE"/>
        </w:rPr>
      </w:pPr>
    </w:p>
    <w:p w14:paraId="6CA7D4E7"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sz w:val="24"/>
          <w:szCs w:val="24"/>
          <w:lang w:val="es-PE"/>
        </w:rPr>
        <w:t>Que, habiéndose corrido traslado a la asegurada del referido Recurso impugnatorio, mediante comunicación del 27 de enero de 2023, presentó su escrito de absolución, manifestando lo siguiente: 1) su licencia venció a inicios de la pandemia global COVID – 19, por lo que, dadas las condiciones propias de dicha pandemia, no pudo prevenir el vencimiento de su licencia; 2) dado el transcurrir de la pandemia y a que la atención presencial en distintas dependencias estatales se ha reanudado, ya cuenta con su licencia debidamente renovada</w:t>
      </w:r>
    </w:p>
    <w:p w14:paraId="7D9FA317"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sz w:val="24"/>
          <w:szCs w:val="24"/>
          <w:lang w:val="es-PE"/>
        </w:rPr>
        <w:t>Que, atendiendo a lo expuesto, esta Defensoría resuelve finalmente lo siguiente:</w:t>
      </w:r>
    </w:p>
    <w:p w14:paraId="7040AF40"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b/>
          <w:sz w:val="24"/>
          <w:szCs w:val="24"/>
          <w:lang w:val="es-PE"/>
        </w:rPr>
        <w:t>PRIMERO:</w:t>
      </w:r>
      <w:r w:rsidRPr="0012166D">
        <w:rPr>
          <w:rFonts w:ascii="Times New Roman" w:hAnsi="Times New Roman" w:cs="Times New Roman"/>
          <w:sz w:val="24"/>
          <w:szCs w:val="24"/>
          <w:lang w:val="es-PE"/>
        </w:rPr>
        <w:t xml:space="preserve"> Que el artículo 10 (Procedimiento) del Reglamento de la DEFASEG (</w:t>
      </w:r>
      <w:hyperlink r:id="rId8" w:history="1">
        <w:r w:rsidRPr="0012166D">
          <w:rPr>
            <w:rStyle w:val="Hipervnculo"/>
            <w:rFonts w:ascii="Times New Roman" w:hAnsi="Times New Roman" w:cs="Times New Roman"/>
            <w:sz w:val="24"/>
            <w:szCs w:val="24"/>
            <w:lang w:val="es-PE"/>
          </w:rPr>
          <w:t>http://www.defaseg.com.pe/reglamento</w:t>
        </w:r>
      </w:hyperlink>
      <w:r w:rsidRPr="0012166D">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w:t>
      </w:r>
      <w:r w:rsidRPr="0012166D">
        <w:rPr>
          <w:rFonts w:ascii="Times New Roman" w:hAnsi="Times New Roman" w:cs="Times New Roman"/>
          <w:sz w:val="24"/>
          <w:szCs w:val="24"/>
          <w:lang w:val="es-PE"/>
        </w:rPr>
        <w:br/>
        <w:t>-razonablemente- la razón de su desacuerdo, destacando el vicio o error en que se habría incurrido y que permitiría fundamentar que lo resuelto no se ajusta a derecho ni a los correspondientes actuados.</w:t>
      </w:r>
    </w:p>
    <w:p w14:paraId="7C901ADD"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b/>
          <w:sz w:val="24"/>
          <w:szCs w:val="24"/>
          <w:lang w:val="es-PE"/>
        </w:rPr>
        <w:t>SEGUNDO:</w:t>
      </w:r>
      <w:r w:rsidRPr="0012166D">
        <w:rPr>
          <w:rFonts w:ascii="Times New Roman" w:hAnsi="Times New Roman" w:cs="Times New Roman"/>
          <w:sz w:val="24"/>
          <w:szCs w:val="24"/>
          <w:lang w:val="es-PE"/>
        </w:rPr>
        <w:t xml:space="preserve"> Que, de la lectura del Recurso Impugnativo interpuesto se aprecia que la aseguradora insiste en todos los puntos ya expresados con ocasión de presentar su escrito de descargos a la reclamación, argumentos que ya fueron debidamente analizados en los Considerandos, Sexto, Sétimo, Octavo y Noveno de la Resolución recurrida, siendo que, a juicio de este colegiado, el contenido del señalado recurso impugnativo evidencia la disconformidad de este último con el sentido de lo resuelto. En consecuencia, el Recurso </w:t>
      </w:r>
      <w:r w:rsidRPr="0012166D">
        <w:rPr>
          <w:rFonts w:ascii="Times New Roman" w:hAnsi="Times New Roman" w:cs="Times New Roman"/>
          <w:sz w:val="24"/>
          <w:szCs w:val="24"/>
          <w:lang w:val="es-PE"/>
        </w:rPr>
        <w:lastRenderedPageBreak/>
        <w:t xml:space="preserve">Impugnativo interpuesto puede ser categorizado, por su contenido mismo, como una solicitud de revisión general, sustentado en el muy respetable criterio de la aseguradora; sin embargo, dicho criterio no es compartido por este colegiado. Por ello, este Colegiado considera que la aseguradora no ha aportado argumento o medio probatorio alguno que le permita </w:t>
      </w:r>
      <w:r w:rsidRPr="0012166D">
        <w:rPr>
          <w:rFonts w:ascii="Times New Roman" w:hAnsi="Times New Roman" w:cs="Times New Roman"/>
          <w:sz w:val="24"/>
          <w:szCs w:val="24"/>
          <w:lang w:val="es-PE"/>
        </w:rPr>
        <w:br/>
        <w:t>-objetivamente- apreciar que habría incurrido efectivamente en un error o vicio al momento de resolver.</w:t>
      </w:r>
    </w:p>
    <w:p w14:paraId="3F6390CA"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sz w:val="24"/>
          <w:szCs w:val="24"/>
          <w:lang w:val="es-PE"/>
        </w:rPr>
        <w:t>Que, sin perjuicio de lo señalado, debemos agregar que el artículo 1356° del Código Civil consagra la primacía de la voluntad contractual; no obstante, esta se debe enmarcar dentro de los preceptos legales imperativos que la vinculen, tal como señala -a la letra- la referida norma legal. En ese sentido, el Decreto Supremo N° 011-2022-MTC extendió la vigencia de las licencias de conducir, como consecuencia del contexto sanitario vivido por nuestro país, siendo que -a la fecha del siniestro- la licencia del asegurado se encontraba vigente, merced a lo dispuesto en el referido Decreto Supremo. Así pues, desconocer la referida norma legal resultaría la vulneración de los límites legales y constitucionales de la autonomía de la voluntad, conforme lo prescribe el Código Civil y la Constitución Política.</w:t>
      </w:r>
    </w:p>
    <w:p w14:paraId="69B65CA3"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sz w:val="24"/>
          <w:szCs w:val="24"/>
          <w:lang w:val="es-PE"/>
        </w:rPr>
        <w:t>Que, por consiguiente, este colegiado reitera su análisis contenido en la resolución recurrida.</w:t>
      </w:r>
    </w:p>
    <w:p w14:paraId="140CCF74" w14:textId="77777777" w:rsidR="0012166D" w:rsidRPr="0012166D" w:rsidRDefault="0012166D" w:rsidP="0012166D">
      <w:pPr>
        <w:spacing w:line="240" w:lineRule="auto"/>
        <w:jc w:val="both"/>
        <w:rPr>
          <w:rFonts w:ascii="Times New Roman" w:hAnsi="Times New Roman" w:cs="Times New Roman"/>
          <w:sz w:val="24"/>
          <w:szCs w:val="24"/>
          <w:lang w:val="es-PE"/>
        </w:rPr>
      </w:pPr>
      <w:r w:rsidRPr="0012166D">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4A7F60BE" w14:textId="77777777" w:rsidR="0012166D" w:rsidRPr="0012166D" w:rsidRDefault="0012166D" w:rsidP="0012166D">
      <w:pPr>
        <w:spacing w:line="240" w:lineRule="auto"/>
        <w:jc w:val="both"/>
        <w:rPr>
          <w:rFonts w:ascii="Times New Roman" w:hAnsi="Times New Roman" w:cs="Times New Roman"/>
          <w:b/>
          <w:sz w:val="24"/>
          <w:szCs w:val="24"/>
          <w:lang w:val="es-PE"/>
        </w:rPr>
      </w:pPr>
      <w:r w:rsidRPr="0012166D">
        <w:rPr>
          <w:rFonts w:ascii="Times New Roman" w:hAnsi="Times New Roman" w:cs="Times New Roman"/>
          <w:b/>
          <w:sz w:val="24"/>
          <w:szCs w:val="24"/>
          <w:lang w:val="es-PE"/>
        </w:rPr>
        <w:t xml:space="preserve">RESUELVE: </w:t>
      </w:r>
    </w:p>
    <w:p w14:paraId="13AF3D6E" w14:textId="77777777" w:rsidR="0012166D" w:rsidRPr="0012166D" w:rsidRDefault="0012166D" w:rsidP="0012166D">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Impugnativo interpuesto y, por consiguiente, ratificar la Resolución N° 002/23 que declaró FUNDADA la reclamación interpuesta contra …………………, dejando a salvo el derecho de esta de acudir a otras instancias que considere pertinente,</w:t>
      </w:r>
    </w:p>
    <w:p w14:paraId="2269147E" w14:textId="77777777" w:rsidR="00231C58" w:rsidRPr="00FE73F3" w:rsidRDefault="00231C58"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41CDD175" w:rsidR="00077B6F" w:rsidRPr="00FE73F3"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FE73F3">
        <w:rPr>
          <w:rFonts w:ascii="Times New Roman" w:eastAsia="Arial Unicode MS" w:hAnsi="Times New Roman" w:cs="Times New Roman"/>
          <w:sz w:val="24"/>
          <w:szCs w:val="24"/>
          <w:lang w:val="es-PE" w:eastAsia="ar-SA"/>
        </w:rPr>
        <w:t xml:space="preserve">Lima, </w:t>
      </w:r>
      <w:r w:rsidR="00FE73F3" w:rsidRPr="00FE73F3">
        <w:rPr>
          <w:rFonts w:ascii="Times New Roman" w:eastAsia="Arial Unicode MS" w:hAnsi="Times New Roman" w:cs="Times New Roman"/>
          <w:sz w:val="24"/>
          <w:szCs w:val="24"/>
          <w:lang w:val="es-PE" w:eastAsia="ar-SA"/>
        </w:rPr>
        <w:t>0</w:t>
      </w:r>
      <w:r w:rsidR="00F713A4">
        <w:rPr>
          <w:rFonts w:ascii="Times New Roman" w:eastAsia="Arial Unicode MS" w:hAnsi="Times New Roman" w:cs="Times New Roman"/>
          <w:sz w:val="24"/>
          <w:szCs w:val="24"/>
          <w:lang w:val="es-PE" w:eastAsia="ar-SA"/>
        </w:rPr>
        <w:t>7</w:t>
      </w:r>
      <w:r w:rsidR="00707C99" w:rsidRPr="00FE73F3">
        <w:rPr>
          <w:rFonts w:ascii="Times New Roman" w:eastAsia="Arial Unicode MS" w:hAnsi="Times New Roman" w:cs="Times New Roman"/>
          <w:sz w:val="24"/>
          <w:szCs w:val="24"/>
          <w:lang w:val="es-PE" w:eastAsia="ar-SA"/>
        </w:rPr>
        <w:t xml:space="preserve"> de </w:t>
      </w:r>
      <w:r w:rsidR="00FE73F3" w:rsidRPr="00FE73F3">
        <w:rPr>
          <w:rFonts w:ascii="Times New Roman" w:eastAsia="Arial Unicode MS" w:hAnsi="Times New Roman" w:cs="Times New Roman"/>
          <w:sz w:val="24"/>
          <w:szCs w:val="24"/>
          <w:lang w:val="es-PE" w:eastAsia="ar-SA"/>
        </w:rPr>
        <w:t>febrero</w:t>
      </w:r>
      <w:r w:rsidR="00F06498" w:rsidRPr="00FE73F3">
        <w:rPr>
          <w:rFonts w:ascii="Times New Roman" w:eastAsia="Arial Unicode MS" w:hAnsi="Times New Roman" w:cs="Times New Roman"/>
          <w:sz w:val="24"/>
          <w:szCs w:val="24"/>
          <w:lang w:val="es-PE" w:eastAsia="ar-SA"/>
        </w:rPr>
        <w:t xml:space="preserve"> de 202</w:t>
      </w:r>
      <w:r w:rsidR="006A356A">
        <w:rPr>
          <w:rFonts w:ascii="Times New Roman" w:eastAsia="Arial Unicode MS" w:hAnsi="Times New Roman" w:cs="Times New Roman"/>
          <w:sz w:val="24"/>
          <w:szCs w:val="24"/>
          <w:lang w:val="es-PE" w:eastAsia="ar-SA"/>
        </w:rPr>
        <w:t>3</w:t>
      </w:r>
    </w:p>
    <w:p w14:paraId="486C3F46" w14:textId="3443E45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FE73F3"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FE73F3" w:rsidRDefault="00C671F5" w:rsidP="00C671F5">
      <w:pPr>
        <w:spacing w:after="0" w:line="240" w:lineRule="auto"/>
        <w:jc w:val="both"/>
        <w:rPr>
          <w:rFonts w:ascii="Times New Roman" w:hAnsi="Times New Roman" w:cs="Times New Roman"/>
          <w:b/>
          <w:bCs/>
          <w:i/>
          <w:iCs/>
          <w:sz w:val="24"/>
          <w:szCs w:val="24"/>
          <w:lang w:val="es-PE"/>
        </w:rPr>
      </w:pPr>
      <w:r w:rsidRPr="00FE73F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FE73F3"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1A555F" w:rsidRDefault="001A555F" w:rsidP="001A555F">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María Eugenia Valdez Fernández Baca - Presidente</w:t>
      </w:r>
    </w:p>
    <w:p w14:paraId="7CE41ADF" w14:textId="0E336E74" w:rsidR="00C671F5" w:rsidRDefault="00231C58"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Rolando Eyzaguirre Maccan </w:t>
      </w:r>
      <w:r w:rsidR="00C671F5" w:rsidRPr="00FE73F3">
        <w:rPr>
          <w:rFonts w:ascii="Times New Roman" w:hAnsi="Times New Roman" w:cs="Times New Roman"/>
          <w:b/>
          <w:bCs/>
          <w:sz w:val="24"/>
          <w:szCs w:val="24"/>
          <w:lang w:val="es-PE"/>
        </w:rPr>
        <w:t>– Vocal</w:t>
      </w:r>
    </w:p>
    <w:p w14:paraId="55E7D9D7" w14:textId="45BE2008" w:rsidR="00C671F5" w:rsidRPr="00FE73F3" w:rsidRDefault="00007C03"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Omar Alfaro Villanueva </w:t>
      </w:r>
      <w:r w:rsidR="00C671F5" w:rsidRPr="00FE73F3">
        <w:rPr>
          <w:rFonts w:ascii="Times New Roman" w:hAnsi="Times New Roman" w:cs="Times New Roman"/>
          <w:b/>
          <w:bCs/>
          <w:sz w:val="24"/>
          <w:szCs w:val="24"/>
          <w:lang w:val="es-PE"/>
        </w:rPr>
        <w:t>– Vocal</w:t>
      </w:r>
    </w:p>
    <w:p w14:paraId="3A9CFE9F" w14:textId="4DFF4426" w:rsidR="00C671F5" w:rsidRPr="00FE73F3" w:rsidRDefault="00C671F5" w:rsidP="00C671F5">
      <w:pPr>
        <w:spacing w:after="0" w:line="360" w:lineRule="auto"/>
        <w:jc w:val="center"/>
        <w:rPr>
          <w:rFonts w:ascii="Times New Roman" w:hAnsi="Times New Roman" w:cs="Times New Roman"/>
          <w:sz w:val="24"/>
          <w:szCs w:val="24"/>
          <w:lang w:val="es-PE"/>
        </w:rPr>
      </w:pPr>
      <w:r w:rsidRPr="00FE73F3">
        <w:rPr>
          <w:rFonts w:ascii="Times New Roman" w:hAnsi="Times New Roman" w:cs="Times New Roman"/>
          <w:b/>
          <w:bCs/>
          <w:sz w:val="24"/>
          <w:szCs w:val="24"/>
          <w:lang w:val="es-PE"/>
        </w:rPr>
        <w:t xml:space="preserve">Gonzalo Abad del Busto </w:t>
      </w:r>
      <w:r w:rsidR="00231C58" w:rsidRPr="00FE73F3">
        <w:rPr>
          <w:rFonts w:ascii="Times New Roman" w:hAnsi="Times New Roman" w:cs="Times New Roman"/>
          <w:b/>
          <w:bCs/>
          <w:sz w:val="24"/>
          <w:szCs w:val="24"/>
          <w:lang w:val="es-PE"/>
        </w:rPr>
        <w:t xml:space="preserve">– </w:t>
      </w:r>
      <w:r w:rsidRPr="00FE73F3">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F6F34" w14:textId="77777777" w:rsidR="00BA7DAC" w:rsidRDefault="00BA7DAC" w:rsidP="00784355">
      <w:pPr>
        <w:spacing w:after="0" w:line="240" w:lineRule="auto"/>
      </w:pPr>
      <w:r>
        <w:separator/>
      </w:r>
    </w:p>
  </w:endnote>
  <w:endnote w:type="continuationSeparator" w:id="0">
    <w:p w14:paraId="7D84384F" w14:textId="77777777" w:rsidR="00BA7DAC" w:rsidRDefault="00BA7DA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Content>
      <w:sdt>
        <w:sdtPr>
          <w:id w:val="-1769616900"/>
          <w:docPartObj>
            <w:docPartGallery w:val="Page Numbers (Top of Page)"/>
            <w:docPartUnique/>
          </w:docPartObj>
        </w:sdt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B9DAC" w14:textId="77777777" w:rsidR="00BA7DAC" w:rsidRDefault="00BA7DAC" w:rsidP="00784355">
      <w:pPr>
        <w:spacing w:after="0" w:line="240" w:lineRule="auto"/>
      </w:pPr>
      <w:r>
        <w:separator/>
      </w:r>
    </w:p>
  </w:footnote>
  <w:footnote w:type="continuationSeparator" w:id="0">
    <w:p w14:paraId="76044769" w14:textId="77777777" w:rsidR="00BA7DAC" w:rsidRDefault="00BA7DA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166D"/>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28B8"/>
    <w:rsid w:val="0026162A"/>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356A"/>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5C61"/>
    <w:rsid w:val="008D6DDF"/>
    <w:rsid w:val="008E18AE"/>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A7DAC"/>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7536938-5050-454C-9536-AB2728043B05}"/>
</file>

<file path=customXml/itemProps3.xml><?xml version="1.0" encoding="utf-8"?>
<ds:datastoreItem xmlns:ds="http://schemas.openxmlformats.org/officeDocument/2006/customXml" ds:itemID="{F3CE07E6-88C9-4CB3-9FF6-F0BA9C87792C}"/>
</file>

<file path=customXml/itemProps4.xml><?xml version="1.0" encoding="utf-8"?>
<ds:datastoreItem xmlns:ds="http://schemas.openxmlformats.org/officeDocument/2006/customXml" ds:itemID="{950FE57A-7D7C-4ADC-B129-D3222A56DBDC}"/>
</file>

<file path=docProps/app.xml><?xml version="1.0" encoding="utf-8"?>
<Properties xmlns="http://schemas.openxmlformats.org/officeDocument/2006/extended-properties" xmlns:vt="http://schemas.openxmlformats.org/officeDocument/2006/docPropsVTypes">
  <Template>Normal</Template>
  <TotalTime>94</TotalTime>
  <Pages>2</Pages>
  <Words>861</Words>
  <Characters>4740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20</cp:revision>
  <cp:lastPrinted>2023-02-14T22:36:00Z</cp:lastPrinted>
  <dcterms:created xsi:type="dcterms:W3CDTF">2020-12-18T20:17:00Z</dcterms:created>
  <dcterms:modified xsi:type="dcterms:W3CDTF">2023-02-14T22:36:00Z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