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65FCC5C7" w:rsidR="00707C99" w:rsidRPr="00FE73F3" w:rsidRDefault="00201C0D" w:rsidP="00272F4F">
      <w:pPr>
        <w:spacing w:after="0" w:line="240" w:lineRule="auto"/>
        <w:jc w:val="center"/>
        <w:rPr>
          <w:rFonts w:ascii="Times New Roman" w:hAnsi="Times New Roman" w:cs="Times New Roman"/>
          <w:b/>
          <w:sz w:val="24"/>
          <w:szCs w:val="24"/>
          <w:lang w:val="es-PE" w:eastAsia="ar-SA"/>
        </w:rPr>
      </w:pPr>
      <w:r w:rsidRPr="00FE73F3">
        <w:rPr>
          <w:rFonts w:ascii="Times New Roman" w:hAnsi="Times New Roman" w:cs="Times New Roman"/>
          <w:b/>
          <w:sz w:val="24"/>
          <w:szCs w:val="24"/>
          <w:lang w:val="es-PE" w:eastAsia="ar-SA"/>
        </w:rPr>
        <w:t xml:space="preserve">RESOLUCIÓN DE RECURSO IMPUGNATIVO </w:t>
      </w:r>
      <w:proofErr w:type="spellStart"/>
      <w:r w:rsidR="00707C99" w:rsidRPr="00FE73F3">
        <w:rPr>
          <w:rFonts w:ascii="Times New Roman" w:hAnsi="Times New Roman" w:cs="Times New Roman"/>
          <w:b/>
          <w:sz w:val="24"/>
          <w:szCs w:val="24"/>
          <w:lang w:val="es-PE" w:eastAsia="ar-SA"/>
        </w:rPr>
        <w:t>N°</w:t>
      </w:r>
      <w:proofErr w:type="spellEnd"/>
      <w:r w:rsidR="00707C99" w:rsidRPr="00FE73F3">
        <w:rPr>
          <w:rFonts w:ascii="Times New Roman" w:hAnsi="Times New Roman" w:cs="Times New Roman"/>
          <w:b/>
          <w:sz w:val="24"/>
          <w:szCs w:val="24"/>
          <w:lang w:val="es-PE" w:eastAsia="ar-SA"/>
        </w:rPr>
        <w:t xml:space="preserve"> </w:t>
      </w:r>
      <w:r w:rsidR="00C671F5" w:rsidRPr="00FE73F3">
        <w:rPr>
          <w:rFonts w:ascii="Times New Roman" w:hAnsi="Times New Roman" w:cs="Times New Roman"/>
          <w:b/>
          <w:sz w:val="24"/>
          <w:szCs w:val="24"/>
          <w:lang w:val="es-PE" w:eastAsia="ar-SA"/>
        </w:rPr>
        <w:t>0</w:t>
      </w:r>
      <w:r w:rsidR="00231C58" w:rsidRPr="00FE73F3">
        <w:rPr>
          <w:rFonts w:ascii="Times New Roman" w:hAnsi="Times New Roman" w:cs="Times New Roman"/>
          <w:b/>
          <w:sz w:val="24"/>
          <w:szCs w:val="24"/>
          <w:lang w:val="es-PE" w:eastAsia="ar-SA"/>
        </w:rPr>
        <w:t>0</w:t>
      </w:r>
      <w:r w:rsidR="00C8227D">
        <w:rPr>
          <w:rFonts w:ascii="Times New Roman" w:hAnsi="Times New Roman" w:cs="Times New Roman"/>
          <w:b/>
          <w:sz w:val="24"/>
          <w:szCs w:val="24"/>
          <w:lang w:val="es-PE" w:eastAsia="ar-SA"/>
        </w:rPr>
        <w:t>3</w:t>
      </w:r>
      <w:r w:rsidR="00C671F5" w:rsidRPr="00FE73F3">
        <w:rPr>
          <w:rFonts w:ascii="Times New Roman" w:hAnsi="Times New Roman" w:cs="Times New Roman"/>
          <w:b/>
          <w:sz w:val="24"/>
          <w:szCs w:val="24"/>
          <w:lang w:val="es-PE" w:eastAsia="ar-SA"/>
        </w:rPr>
        <w:t>/2</w:t>
      </w:r>
      <w:r w:rsidR="00AB7BFE" w:rsidRPr="00FE73F3">
        <w:rPr>
          <w:rFonts w:ascii="Times New Roman" w:hAnsi="Times New Roman" w:cs="Times New Roman"/>
          <w:b/>
          <w:sz w:val="24"/>
          <w:szCs w:val="24"/>
          <w:lang w:val="es-PE" w:eastAsia="ar-SA"/>
        </w:rPr>
        <w:t>3</w:t>
      </w:r>
    </w:p>
    <w:p w14:paraId="428240E5" w14:textId="06F06948" w:rsidR="00707C99" w:rsidRPr="00FE73F3" w:rsidRDefault="00707C99" w:rsidP="00272F4F">
      <w:pPr>
        <w:suppressAutoHyphens/>
        <w:spacing w:after="0" w:line="240" w:lineRule="auto"/>
        <w:jc w:val="center"/>
        <w:rPr>
          <w:rFonts w:ascii="Times New Roman" w:eastAsia="Times New Roman" w:hAnsi="Times New Roman" w:cs="Times New Roman"/>
          <w:b/>
          <w:bCs/>
          <w:sz w:val="24"/>
          <w:szCs w:val="24"/>
          <w:lang w:val="es-PE" w:eastAsia="ar-SA"/>
        </w:rPr>
      </w:pPr>
    </w:p>
    <w:p w14:paraId="5C05F322" w14:textId="77777777" w:rsidR="00541534" w:rsidRPr="00541534" w:rsidRDefault="00541534" w:rsidP="00541534">
      <w:pPr>
        <w:spacing w:after="0" w:line="240" w:lineRule="auto"/>
        <w:jc w:val="both"/>
        <w:rPr>
          <w:rFonts w:ascii="Times New Roman" w:hAnsi="Times New Roman" w:cs="Times New Roman"/>
          <w:sz w:val="24"/>
          <w:szCs w:val="24"/>
          <w:lang w:val="es-PE"/>
        </w:rPr>
      </w:pPr>
      <w:r w:rsidRPr="00541534">
        <w:rPr>
          <w:rFonts w:ascii="Times New Roman" w:hAnsi="Times New Roman" w:cs="Times New Roman"/>
          <w:b/>
          <w:sz w:val="24"/>
          <w:szCs w:val="24"/>
          <w:lang w:val="es-PE"/>
        </w:rPr>
        <w:t xml:space="preserve">Vistos: </w:t>
      </w:r>
    </w:p>
    <w:p w14:paraId="6B4D33A5" w14:textId="77777777" w:rsidR="00541534" w:rsidRPr="00541534" w:rsidRDefault="00541534" w:rsidP="00541534">
      <w:pPr>
        <w:spacing w:after="0" w:line="240" w:lineRule="auto"/>
        <w:jc w:val="both"/>
        <w:rPr>
          <w:rFonts w:ascii="Times New Roman" w:hAnsi="Times New Roman" w:cs="Times New Roman"/>
          <w:sz w:val="24"/>
          <w:szCs w:val="24"/>
          <w:lang w:val="es-PE"/>
        </w:rPr>
      </w:pPr>
    </w:p>
    <w:p w14:paraId="0BC3280C" w14:textId="77777777" w:rsidR="00541534" w:rsidRPr="00541534" w:rsidRDefault="00541534" w:rsidP="00541534">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02 de diciembre de 2022 por Estrella De Guadalupe Núñez Del Prado Sandoval (en adelante, la asegurada) respecto de la Resolución Nro. 230/22, notificada el 28 de noviembre de 2022, emitida por esta Defensoría del Asegurado (DEFASEG), que declaró INFUNDADA la reclamación interpuesta contra ………………… (en adelante, la aseguradora) con relación a su solicitud de ampliación de cobertura del seguro de hogar, contrato mediante Póliza N° ………………… (en adelante, la Póliza).</w:t>
      </w:r>
    </w:p>
    <w:p w14:paraId="58E40570" w14:textId="77777777" w:rsidR="00541534" w:rsidRPr="00541534" w:rsidRDefault="00541534" w:rsidP="00541534">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14:paraId="3EB1728E" w14:textId="77777777" w:rsidR="00541534" w:rsidRPr="00541534" w:rsidRDefault="00541534" w:rsidP="00541534">
      <w:pPr>
        <w:spacing w:after="0"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según la Ley del Contrato de Seguro, las condiciones especiales prevalecen sobre las condiciones particulares y éstas prevalecen sobre las generales, así como las cláusulas manuscritas o mecanografiadas predominan sobre las impresas; 2) las condiciones especiales de la póliza N° ………………… disponen que la asegurada debe demostrar la pre-existencia de los bienes afectados en el siniestro, a través de comprobantes de pago y/o constancia visual, siendo que tal obligación fue efectivamente cumplida y que no se conservaron los bienes objeto del siniestro sobre la base de un estándar de razonabilidad respecto a la salubridad.</w:t>
      </w:r>
    </w:p>
    <w:p w14:paraId="38847566" w14:textId="77777777" w:rsidR="00541534" w:rsidRPr="00541534" w:rsidRDefault="00541534" w:rsidP="00541534">
      <w:pPr>
        <w:spacing w:after="0" w:line="240" w:lineRule="auto"/>
        <w:jc w:val="both"/>
        <w:rPr>
          <w:rFonts w:ascii="Times New Roman" w:hAnsi="Times New Roman" w:cs="Times New Roman"/>
          <w:sz w:val="24"/>
          <w:szCs w:val="24"/>
          <w:lang w:val="es-PE"/>
        </w:rPr>
      </w:pPr>
    </w:p>
    <w:p w14:paraId="4C988C4A" w14:textId="77777777" w:rsidR="00541534" w:rsidRPr="00541534" w:rsidRDefault="00541534" w:rsidP="00541534">
      <w:pPr>
        <w:spacing w:line="240" w:lineRule="auto"/>
        <w:jc w:val="both"/>
        <w:rPr>
          <w:rFonts w:ascii="Times New Roman" w:hAnsi="Times New Roman" w:cs="Times New Roman"/>
          <w:sz w:val="24"/>
          <w:szCs w:val="24"/>
          <w:lang w:val="es-PE"/>
        </w:rPr>
      </w:pPr>
      <w:r>
        <w:rPr>
          <w:rFonts w:ascii="Times New Roman" w:hAnsi="Times New Roman"/>
          <w:sz w:val="24"/>
        </w:rPr>
        <w:t xml:space="preserve">Que, habiéndose corrido traslado a la aseguradora del referido Recurso impugnatorio, mediante comunicación del 13 de diciembre de 2022, presentó su escrito de absolución, manifestando lo siguiente: 1) la póliza N° ………………… no se encontraba vigente a la fecha del siniestro, ya que esta había sido cancelada mucho tiempo antes del siniestro, siendo que la que se encontraba vigente al momento del siniestro y que, además, se ha venido considerando a lo largo del presente procedimiento es la Póliza; 2) sin perjuicio de lo señalado anteriormente, los argumentos de la asegurada resultan -también- incorrectos, ya que la cláusula general versa sobre el deber de conservar los bienes dañados en un siniestro, mientras que -por otro lado- la condición especial citada versa sobre la forma de acreditar la preexistencia de los bienes; es decir, ambas cláusulas citadas regulan temas distintos. </w:t>
      </w:r>
    </w:p>
    <w:p w14:paraId="134AE29B"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Que, atendiendo a lo expuesto, esta Defensoría resuelve finalmente lo siguiente:</w:t>
      </w:r>
    </w:p>
    <w:p w14:paraId="3AE4011E"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b/>
          <w:sz w:val="24"/>
          <w:szCs w:val="24"/>
          <w:lang w:val="es-PE"/>
        </w:rPr>
        <w:t>PRIMERO:</w:t>
      </w:r>
      <w:r w:rsidRPr="00541534">
        <w:rPr>
          <w:rFonts w:ascii="Times New Roman" w:hAnsi="Times New Roman" w:cs="Times New Roman"/>
          <w:sz w:val="24"/>
          <w:szCs w:val="24"/>
          <w:lang w:val="es-PE"/>
        </w:rPr>
        <w:t xml:space="preserve"> Que el artículo 10 (Procedimiento) del Reglamento de la DEFASEG (</w:t>
      </w:r>
      <w:r w:rsidR="00321B4C">
        <w:rPr>
          <w:rFonts w:ascii="Times New Roman" w:hAnsi="Times New Roman"/>
          <w:sz w:val="24"/>
        </w:rPr>
        <w:fldChar w:fldCharType="begin"/>
      </w:r>
      <w:r w:rsidR="00321B4C" w:rsidRPr="00797191">
        <w:rPr>
          <w:rFonts w:ascii="Times New Roman" w:hAnsi="Times New Roman"/>
          <w:sz w:val="24"/>
          <w:lang w:val="es-PE"/>
        </w:rPr>
        <w:instrText>HYPERLINK "http://www.defaseg.com.pe/reglamento"</w:instrText>
      </w:r>
      <w:r w:rsidR="00321B4C">
        <w:rPr>
          <w:rFonts w:ascii="Times New Roman" w:hAnsi="Times New Roman"/>
          <w:sz w:val="24"/>
        </w:rPr>
        <w:fldChar w:fldCharType="separate"/>
      </w:r>
      <w:r w:rsidRPr="00541534">
        <w:rPr>
          <w:rStyle w:val="Hipervnculo"/>
          <w:rFonts w:ascii="Times New Roman" w:hAnsi="Times New Roman" w:cs="Times New Roman"/>
          <w:sz w:val="24"/>
          <w:szCs w:val="24"/>
          <w:lang w:val="es-PE"/>
        </w:rPr>
        <w:t>http://www.defaseg.com.pe/reglamento</w:t>
      </w:r>
      <w:r w:rsidR="00321B4C">
        <w:rPr>
          <w:rStyle w:val="Hipervnculo"/>
          <w:rFonts w:ascii="Times New Roman" w:hAnsi="Times New Roman" w:cs="Times New Roman"/>
          <w:sz w:val="24"/>
          <w:szCs w:val="24"/>
          <w:lang w:val="es-PE"/>
        </w:rPr>
        <w:fldChar w:fldCharType="end"/>
      </w:r>
      <w:r w:rsidRPr="00541534">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w:t>
      </w:r>
      <w:r w:rsidRPr="00541534">
        <w:rPr>
          <w:rFonts w:ascii="Times New Roman" w:hAnsi="Times New Roman" w:cs="Times New Roman"/>
          <w:sz w:val="24"/>
          <w:szCs w:val="24"/>
          <w:lang w:val="es-PE"/>
        </w:rPr>
        <w:br/>
        <w:t>-razonablemente- la razón de su desacuerdo, destacando el vicio o error en que se habría incurrido y que permitiría fundamentar que lo resuelto no se ajusta a derecho ni a los correspondientes actuados.</w:t>
      </w:r>
    </w:p>
    <w:p w14:paraId="580BA733"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b/>
          <w:sz w:val="24"/>
          <w:szCs w:val="24"/>
          <w:lang w:val="es-PE"/>
        </w:rPr>
        <w:t>SEGUNDO:</w:t>
      </w:r>
      <w:r w:rsidRPr="00541534">
        <w:rPr>
          <w:rFonts w:ascii="Times New Roman" w:hAnsi="Times New Roman" w:cs="Times New Roman"/>
          <w:sz w:val="24"/>
          <w:szCs w:val="24"/>
          <w:lang w:val="es-PE"/>
        </w:rPr>
        <w:t xml:space="preserve"> Que, de la lectura del Recurso Impugnativo interpuesto, resulta necesario precisar que, sin perjuicio de la discusión respecto de la vigencia de las pólizas, lo cierto es que no existe discusión respecto de que (en ambas) el Condicionado General dispone lo siguiente:</w:t>
      </w:r>
    </w:p>
    <w:p w14:paraId="521A3E6C" w14:textId="77777777" w:rsidR="00541534" w:rsidRPr="00541534" w:rsidRDefault="00541534" w:rsidP="00541534">
      <w:pPr>
        <w:spacing w:after="0" w:line="240" w:lineRule="auto"/>
        <w:ind w:left="1418"/>
        <w:jc w:val="both"/>
        <w:rPr>
          <w:rFonts w:ascii="Times New Roman" w:hAnsi="Times New Roman" w:cs="Times New Roman"/>
          <w:b/>
          <w:bCs/>
          <w:sz w:val="24"/>
          <w:szCs w:val="24"/>
          <w:lang w:val="es-PE"/>
        </w:rPr>
      </w:pPr>
      <w:r w:rsidRPr="00541534">
        <w:rPr>
          <w:rFonts w:ascii="Times New Roman" w:hAnsi="Times New Roman" w:cs="Times New Roman"/>
          <w:sz w:val="24"/>
          <w:szCs w:val="24"/>
          <w:lang w:val="es-PE"/>
        </w:rPr>
        <w:t>“</w:t>
      </w:r>
      <w:r w:rsidRPr="00541534">
        <w:rPr>
          <w:rFonts w:ascii="Times New Roman" w:hAnsi="Times New Roman" w:cs="Times New Roman"/>
          <w:b/>
          <w:bCs/>
          <w:sz w:val="24"/>
          <w:szCs w:val="24"/>
          <w:lang w:val="es-PE"/>
        </w:rPr>
        <w:t>5. DEBERES A SU CARGO (CARGAS Y OBLIGACIONES)</w:t>
      </w:r>
    </w:p>
    <w:p w14:paraId="53D9887B" w14:textId="77777777" w:rsidR="00541534" w:rsidRPr="00541534" w:rsidRDefault="00541534" w:rsidP="00541534">
      <w:pPr>
        <w:spacing w:after="0" w:line="240" w:lineRule="auto"/>
        <w:ind w:left="1418"/>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lastRenderedPageBreak/>
        <w:t>Tenga en cuenta que USTED deberá:</w:t>
      </w:r>
    </w:p>
    <w:p w14:paraId="5B55A8F4" w14:textId="77777777" w:rsidR="00541534" w:rsidRPr="00541534" w:rsidRDefault="00541534" w:rsidP="00541534">
      <w:pPr>
        <w:spacing w:after="0" w:line="240" w:lineRule="auto"/>
        <w:ind w:left="1418"/>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w:t>
      </w:r>
    </w:p>
    <w:p w14:paraId="003F836B" w14:textId="77777777" w:rsidR="00541534" w:rsidRPr="00541534" w:rsidRDefault="00541534" w:rsidP="00541534">
      <w:pPr>
        <w:spacing w:after="0" w:line="240" w:lineRule="auto"/>
        <w:ind w:left="1418"/>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c) Tomar las medidas necesarias para conservar el INMUEBLE y/o BIENES asegurados que hayan sido dañados en las mismas condiciones en que quedaron al momento de la ocurrencia del siniestro. No podrá borrar, modificar, ni permitir borrar o modificar, sin la autorización policial correspondiente, las huellas o el escenario del delito; excepto cuando cuente con nuestra autorización para actuar de manera distinta.</w:t>
      </w:r>
    </w:p>
    <w:p w14:paraId="1FA14D21" w14:textId="77777777" w:rsidR="00541534" w:rsidRPr="00541534" w:rsidRDefault="00541534" w:rsidP="00541534">
      <w:pPr>
        <w:spacing w:after="0" w:line="240" w:lineRule="auto"/>
        <w:ind w:left="1418"/>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w:t>
      </w:r>
    </w:p>
    <w:p w14:paraId="0A18B9BE" w14:textId="77777777" w:rsidR="00541534" w:rsidRPr="00541534" w:rsidRDefault="00541534" w:rsidP="00541534">
      <w:pPr>
        <w:spacing w:after="0" w:line="240" w:lineRule="auto"/>
        <w:ind w:left="1418"/>
        <w:jc w:val="both"/>
        <w:rPr>
          <w:rFonts w:ascii="Times New Roman" w:hAnsi="Times New Roman" w:cs="Times New Roman"/>
          <w:sz w:val="24"/>
          <w:szCs w:val="24"/>
          <w:lang w:val="es-PE"/>
        </w:rPr>
      </w:pPr>
    </w:p>
    <w:p w14:paraId="719A6C36"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En ese sentido, resulta incontrovertible la existencia de una obligación contractual que, según el Condicionado General, obliga a la asegurada a conservar los bienes que hayan sido dañados como consecuencia de la ocurrencia de un siniestro.</w:t>
      </w:r>
    </w:p>
    <w:p w14:paraId="4C364AAE"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Que, por otro lado, la asegurada señala que existe una condición especial del Condicionado Particular que ampararía su decisión de desechar los bienes afectados por el siniestro en atención a un estándar de razonabilidad. En ese sentido, la asegurada recurre a lo dispuesto en el Condicionado Particular:</w:t>
      </w:r>
    </w:p>
    <w:p w14:paraId="59DBC0D0" w14:textId="77777777" w:rsidR="00541534" w:rsidRPr="00541534" w:rsidRDefault="00541534" w:rsidP="00541534">
      <w:pPr>
        <w:spacing w:line="240" w:lineRule="auto"/>
        <w:ind w:left="1418"/>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 xml:space="preserve">“El ASEGURADO deberá presentar una relación detallada, a ser actualizada mínimo cada dos años, de los bienes cuyo valor unitario excedan los S/ 5,000. En caso de siniestro, esta relación de bienes es el sustento de la </w:t>
      </w:r>
      <w:proofErr w:type="spellStart"/>
      <w:r w:rsidRPr="00541534">
        <w:rPr>
          <w:rFonts w:ascii="Times New Roman" w:hAnsi="Times New Roman" w:cs="Times New Roman"/>
          <w:sz w:val="24"/>
          <w:szCs w:val="24"/>
          <w:lang w:val="es-PE"/>
        </w:rPr>
        <w:t>pre-existencia</w:t>
      </w:r>
      <w:proofErr w:type="spellEnd"/>
      <w:r w:rsidRPr="00541534">
        <w:rPr>
          <w:rFonts w:ascii="Times New Roman" w:hAnsi="Times New Roman" w:cs="Times New Roman"/>
          <w:sz w:val="24"/>
          <w:szCs w:val="24"/>
          <w:lang w:val="es-PE"/>
        </w:rPr>
        <w:t xml:space="preserve"> de cada bien declarado. En caso de no cumplir con lo anterior o para bienes afectados no incluidos en la relación presentada, USTED deberá demostrarnos la </w:t>
      </w:r>
      <w:proofErr w:type="spellStart"/>
      <w:r w:rsidRPr="00541534">
        <w:rPr>
          <w:rFonts w:ascii="Times New Roman" w:hAnsi="Times New Roman" w:cs="Times New Roman"/>
          <w:sz w:val="24"/>
          <w:szCs w:val="24"/>
          <w:lang w:val="es-PE"/>
        </w:rPr>
        <w:t>pre-existencia</w:t>
      </w:r>
      <w:proofErr w:type="spellEnd"/>
      <w:r w:rsidRPr="00541534">
        <w:rPr>
          <w:rFonts w:ascii="Times New Roman" w:hAnsi="Times New Roman" w:cs="Times New Roman"/>
          <w:sz w:val="24"/>
          <w:szCs w:val="24"/>
          <w:lang w:val="es-PE"/>
        </w:rPr>
        <w:t xml:space="preserve"> de los bienes afectados en el siniestro, a través de comprobantes de pago y/o constancia visual (fotografías, video, manuales de uso o similares) en donde se muestre el artículo en el interior del Inmueble asegurado o a la persona usando dicho artículo.”</w:t>
      </w:r>
    </w:p>
    <w:p w14:paraId="5E80CFF7"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 xml:space="preserve">Como vemos, la cláusula citada del Condicionado Particular regula la obligación de la asegurada de acreditar la </w:t>
      </w:r>
      <w:proofErr w:type="spellStart"/>
      <w:r w:rsidRPr="00541534">
        <w:rPr>
          <w:rFonts w:ascii="Times New Roman" w:hAnsi="Times New Roman" w:cs="Times New Roman"/>
          <w:sz w:val="24"/>
          <w:szCs w:val="24"/>
          <w:lang w:val="es-PE"/>
        </w:rPr>
        <w:t>pre-existencia</w:t>
      </w:r>
      <w:proofErr w:type="spellEnd"/>
      <w:r w:rsidRPr="00541534">
        <w:rPr>
          <w:rFonts w:ascii="Times New Roman" w:hAnsi="Times New Roman" w:cs="Times New Roman"/>
          <w:sz w:val="24"/>
          <w:szCs w:val="24"/>
          <w:lang w:val="es-PE"/>
        </w:rPr>
        <w:t xml:space="preserve"> de los bienes objeto de cobertura. En ese sentido, dicha cláusula dispone que, de no existir una relación detallada y actualizada de los bienes, la asegurada debe presentar comprobantes de pago y/o constancias visuales que permitan apreciar el bien al interior del inmueble asegurado o, en todo caso, a la persona usando dicho bien. Como vemos, la finalidad de dicha cláusula reside en la necesidad de que la asegurada demuestre la </w:t>
      </w:r>
      <w:proofErr w:type="spellStart"/>
      <w:r w:rsidRPr="00541534">
        <w:rPr>
          <w:rFonts w:ascii="Times New Roman" w:hAnsi="Times New Roman" w:cs="Times New Roman"/>
          <w:sz w:val="24"/>
          <w:szCs w:val="24"/>
          <w:lang w:val="es-PE"/>
        </w:rPr>
        <w:t>pre-existencia</w:t>
      </w:r>
      <w:proofErr w:type="spellEnd"/>
      <w:r w:rsidRPr="00541534">
        <w:rPr>
          <w:rFonts w:ascii="Times New Roman" w:hAnsi="Times New Roman" w:cs="Times New Roman"/>
          <w:sz w:val="24"/>
          <w:szCs w:val="24"/>
          <w:lang w:val="es-PE"/>
        </w:rPr>
        <w:t xml:space="preserve"> del bien frente a un posible siniestro.</w:t>
      </w:r>
    </w:p>
    <w:p w14:paraId="0EB71FDC"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 xml:space="preserve">Como hemos analizado, la condición especial del Condicionado Particular citada por la asegurada, que versa sobre su obligación de demostrar la </w:t>
      </w:r>
      <w:proofErr w:type="spellStart"/>
      <w:r w:rsidRPr="00541534">
        <w:rPr>
          <w:rFonts w:ascii="Times New Roman" w:hAnsi="Times New Roman" w:cs="Times New Roman"/>
          <w:sz w:val="24"/>
          <w:szCs w:val="24"/>
          <w:lang w:val="es-PE"/>
        </w:rPr>
        <w:t>pre-existencia</w:t>
      </w:r>
      <w:proofErr w:type="spellEnd"/>
      <w:r w:rsidRPr="00541534">
        <w:rPr>
          <w:rFonts w:ascii="Times New Roman" w:hAnsi="Times New Roman" w:cs="Times New Roman"/>
          <w:sz w:val="24"/>
          <w:szCs w:val="24"/>
          <w:lang w:val="es-PE"/>
        </w:rPr>
        <w:t xml:space="preserve"> de los bienes objeto de cobertura, no guarda relación con su obligación de conservar los bienes luego del siniestro, tal como si regula el Condicionado General. Atendiendo a lo expuesto, no es posible alegar que nos encontremos ante el supuesto de hecho contemplado en el numeral SEXTO del artículo IV de la Ley del Contrato de Seguro, puesto que la disposición citada por la asegurada versa sobre un supuesto distinto que la obligación de conservación del bien regulada en el Condicionado General. En buena cuenta, no existe necesidad de aplicar la regla de interpretación citada en la Ley del Contrato de Seguro por la sencilla razón de que ambas cláusulas regulan supuestos de hecho distintos entre sí.</w:t>
      </w:r>
    </w:p>
    <w:p w14:paraId="224DE855"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 xml:space="preserve">En el presente caso, se advierte que la asegurada desechó los bienes presuntamente dañados como consecuencia del siniestro. Por ello, la cláusula aplicable es la correspondiente al inciso </w:t>
      </w:r>
      <w:r w:rsidRPr="00541534">
        <w:rPr>
          <w:rFonts w:ascii="Times New Roman" w:hAnsi="Times New Roman" w:cs="Times New Roman"/>
          <w:sz w:val="24"/>
          <w:szCs w:val="24"/>
          <w:lang w:val="es-PE"/>
        </w:rPr>
        <w:lastRenderedPageBreak/>
        <w:t xml:space="preserve">c) de la cláusula 5° del Condicionado General, siendo que es la cláusula </w:t>
      </w:r>
      <w:proofErr w:type="spellStart"/>
      <w:r w:rsidRPr="00541534">
        <w:rPr>
          <w:rFonts w:ascii="Times New Roman" w:hAnsi="Times New Roman" w:cs="Times New Roman"/>
          <w:sz w:val="24"/>
          <w:szCs w:val="24"/>
          <w:lang w:val="es-PE"/>
        </w:rPr>
        <w:t>especifica</w:t>
      </w:r>
      <w:proofErr w:type="spellEnd"/>
      <w:r w:rsidRPr="00541534">
        <w:rPr>
          <w:rFonts w:ascii="Times New Roman" w:hAnsi="Times New Roman" w:cs="Times New Roman"/>
          <w:sz w:val="24"/>
          <w:szCs w:val="24"/>
          <w:lang w:val="es-PE"/>
        </w:rPr>
        <w:t xml:space="preserve"> para el caso que nos ocupa, ya que versa sobre la conservación de los bienes luego del siniestro. Por el contrario, la cláusula especial alegada por la asegurada versa sobre un supuesto distinto, como lo es demostrar la </w:t>
      </w:r>
      <w:proofErr w:type="spellStart"/>
      <w:r w:rsidRPr="00541534">
        <w:rPr>
          <w:rFonts w:ascii="Times New Roman" w:hAnsi="Times New Roman" w:cs="Times New Roman"/>
          <w:i/>
          <w:iCs/>
          <w:sz w:val="24"/>
          <w:szCs w:val="24"/>
          <w:lang w:val="es-PE"/>
        </w:rPr>
        <w:t>pre-existencia</w:t>
      </w:r>
      <w:proofErr w:type="spellEnd"/>
      <w:r w:rsidRPr="00541534">
        <w:rPr>
          <w:rFonts w:ascii="Times New Roman" w:hAnsi="Times New Roman" w:cs="Times New Roman"/>
          <w:i/>
          <w:iCs/>
          <w:sz w:val="24"/>
          <w:szCs w:val="24"/>
          <w:lang w:val="es-PE"/>
        </w:rPr>
        <w:t xml:space="preserve"> </w:t>
      </w:r>
      <w:r w:rsidRPr="00541534">
        <w:rPr>
          <w:rFonts w:ascii="Times New Roman" w:hAnsi="Times New Roman" w:cs="Times New Roman"/>
          <w:sz w:val="24"/>
          <w:szCs w:val="24"/>
          <w:lang w:val="es-PE"/>
        </w:rPr>
        <w:t>de los bienes, tal como ya se ha comentado anteriormente.</w:t>
      </w:r>
    </w:p>
    <w:p w14:paraId="21D6BB34"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Que, por consiguiente, este colegiado reitera su análisis contenido en la resolución recurrida, toda vez que la asegurada incumplió su obligación de conservación de los bienes luego del siniestro, tal como dispone el inciso c) de la cláusula 5° del Condicionado General.</w:t>
      </w:r>
    </w:p>
    <w:p w14:paraId="45D887D1" w14:textId="77777777" w:rsidR="00541534" w:rsidRPr="00541534" w:rsidRDefault="00541534" w:rsidP="00541534">
      <w:pPr>
        <w:spacing w:line="240" w:lineRule="auto"/>
        <w:jc w:val="both"/>
        <w:rPr>
          <w:rFonts w:ascii="Times New Roman" w:hAnsi="Times New Roman" w:cs="Times New Roman"/>
          <w:sz w:val="24"/>
          <w:szCs w:val="24"/>
          <w:lang w:val="es-PE"/>
        </w:rPr>
      </w:pPr>
      <w:r w:rsidRPr="00541534">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14:paraId="1EDF332C" w14:textId="77777777" w:rsidR="00541534" w:rsidRPr="00541534" w:rsidRDefault="00541534" w:rsidP="00541534">
      <w:pPr>
        <w:spacing w:line="240" w:lineRule="auto"/>
        <w:jc w:val="both"/>
        <w:rPr>
          <w:rFonts w:ascii="Times New Roman" w:hAnsi="Times New Roman" w:cs="Times New Roman"/>
          <w:b/>
          <w:sz w:val="24"/>
          <w:szCs w:val="24"/>
          <w:lang w:val="es-PE"/>
        </w:rPr>
      </w:pPr>
      <w:r w:rsidRPr="00541534">
        <w:rPr>
          <w:rFonts w:ascii="Times New Roman" w:hAnsi="Times New Roman" w:cs="Times New Roman"/>
          <w:b/>
          <w:sz w:val="24"/>
          <w:szCs w:val="24"/>
          <w:lang w:val="es-PE"/>
        </w:rPr>
        <w:t xml:space="preserve">RESUELVE: </w:t>
      </w:r>
    </w:p>
    <w:p w14:paraId="73BAD514" w14:textId="77777777" w:rsidR="00541534" w:rsidRPr="00541534" w:rsidRDefault="00541534" w:rsidP="00541534">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Impugnativo interpuesto y, por consiguiente, ratificar la Resolución N° 230/22 que declaró INFUNDADA la reclamación interpuesta contra …………………, dejando a salvo el derecho de esta de acudir a otras instancias que considere pertinente,</w:t>
      </w:r>
    </w:p>
    <w:p w14:paraId="2269147E" w14:textId="77777777" w:rsidR="00231C58" w:rsidRPr="00541534" w:rsidRDefault="00231C58" w:rsidP="00527B27">
      <w:pPr>
        <w:suppressAutoHyphens/>
        <w:spacing w:after="0" w:line="240" w:lineRule="auto"/>
        <w:jc w:val="right"/>
        <w:outlineLvl w:val="0"/>
        <w:rPr>
          <w:rFonts w:ascii="Times New Roman" w:eastAsia="Arial Unicode MS" w:hAnsi="Times New Roman" w:cs="Times New Roman"/>
          <w:sz w:val="24"/>
          <w:szCs w:val="24"/>
          <w:lang w:val="es-PE" w:eastAsia="ar-SA"/>
        </w:rPr>
      </w:pPr>
    </w:p>
    <w:p w14:paraId="78A39B5B" w14:textId="37CC08D6" w:rsidR="00077B6F" w:rsidRPr="00FE73F3"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FE73F3">
        <w:rPr>
          <w:rFonts w:ascii="Times New Roman" w:eastAsia="Arial Unicode MS" w:hAnsi="Times New Roman" w:cs="Times New Roman"/>
          <w:sz w:val="24"/>
          <w:szCs w:val="24"/>
          <w:lang w:val="es-PE" w:eastAsia="ar-SA"/>
        </w:rPr>
        <w:t xml:space="preserve">Lima, </w:t>
      </w:r>
      <w:r w:rsidR="00C8227D">
        <w:rPr>
          <w:rFonts w:ascii="Times New Roman" w:eastAsia="Arial Unicode MS" w:hAnsi="Times New Roman" w:cs="Times New Roman"/>
          <w:sz w:val="24"/>
          <w:szCs w:val="24"/>
          <w:lang w:val="es-PE" w:eastAsia="ar-SA"/>
        </w:rPr>
        <w:t>14</w:t>
      </w:r>
      <w:r w:rsidR="00707C99" w:rsidRPr="00FE73F3">
        <w:rPr>
          <w:rFonts w:ascii="Times New Roman" w:eastAsia="Arial Unicode MS" w:hAnsi="Times New Roman" w:cs="Times New Roman"/>
          <w:sz w:val="24"/>
          <w:szCs w:val="24"/>
          <w:lang w:val="es-PE" w:eastAsia="ar-SA"/>
        </w:rPr>
        <w:t xml:space="preserve"> de </w:t>
      </w:r>
      <w:r w:rsidR="00FE73F3" w:rsidRPr="00FE73F3">
        <w:rPr>
          <w:rFonts w:ascii="Times New Roman" w:eastAsia="Arial Unicode MS" w:hAnsi="Times New Roman" w:cs="Times New Roman"/>
          <w:sz w:val="24"/>
          <w:szCs w:val="24"/>
          <w:lang w:val="es-PE" w:eastAsia="ar-SA"/>
        </w:rPr>
        <w:t>febrero</w:t>
      </w:r>
      <w:r w:rsidR="00F06498" w:rsidRPr="00FE73F3">
        <w:rPr>
          <w:rFonts w:ascii="Times New Roman" w:eastAsia="Arial Unicode MS" w:hAnsi="Times New Roman" w:cs="Times New Roman"/>
          <w:sz w:val="24"/>
          <w:szCs w:val="24"/>
          <w:lang w:val="es-PE" w:eastAsia="ar-SA"/>
        </w:rPr>
        <w:t xml:space="preserve"> de 202</w:t>
      </w:r>
      <w:r w:rsidR="00B340D4">
        <w:rPr>
          <w:rFonts w:ascii="Times New Roman" w:eastAsia="Arial Unicode MS" w:hAnsi="Times New Roman" w:cs="Times New Roman"/>
          <w:sz w:val="24"/>
          <w:szCs w:val="24"/>
          <w:lang w:val="es-PE" w:eastAsia="ar-SA"/>
        </w:rPr>
        <w:t>3</w:t>
      </w:r>
      <w:r w:rsidR="00707C99" w:rsidRPr="00FE73F3">
        <w:rPr>
          <w:rFonts w:ascii="Times New Roman" w:eastAsia="Times New Roman" w:hAnsi="Times New Roman" w:cs="Times New Roman"/>
          <w:sz w:val="24"/>
          <w:szCs w:val="24"/>
          <w:lang w:val="es-PE" w:eastAsia="ar-SA"/>
        </w:rPr>
        <w:t xml:space="preserve"> </w:t>
      </w:r>
    </w:p>
    <w:p w14:paraId="486C3F46" w14:textId="3443E45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FE73F3"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FE73F3" w:rsidRDefault="00C671F5" w:rsidP="00C671F5">
      <w:pPr>
        <w:spacing w:after="0" w:line="240" w:lineRule="auto"/>
        <w:jc w:val="both"/>
        <w:rPr>
          <w:rFonts w:ascii="Times New Roman" w:hAnsi="Times New Roman" w:cs="Times New Roman"/>
          <w:b/>
          <w:bCs/>
          <w:i/>
          <w:iCs/>
          <w:sz w:val="24"/>
          <w:szCs w:val="24"/>
          <w:lang w:val="es-PE"/>
        </w:rPr>
      </w:pPr>
      <w:r w:rsidRPr="00FE73F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FE73F3"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1A555F" w:rsidRDefault="001A555F" w:rsidP="001A555F">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 xml:space="preserve">María Eugenia Valdez Fernández Baca - </w:t>
      </w:r>
      <w:proofErr w:type="gramStart"/>
      <w:r>
        <w:rPr>
          <w:rFonts w:ascii="Times New Roman" w:hAnsi="Times New Roman" w:cs="Times New Roman"/>
          <w:b/>
          <w:bCs/>
          <w:sz w:val="24"/>
          <w:szCs w:val="24"/>
          <w:lang w:val="es-PE"/>
        </w:rPr>
        <w:t>Presidente</w:t>
      </w:r>
      <w:proofErr w:type="gramEnd"/>
    </w:p>
    <w:p w14:paraId="7CE41ADF" w14:textId="0E336E74" w:rsidR="00C671F5" w:rsidRDefault="00231C58"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Rolando Eyzaguirre </w:t>
      </w:r>
      <w:proofErr w:type="spellStart"/>
      <w:r w:rsidRPr="00FE73F3">
        <w:rPr>
          <w:rFonts w:ascii="Times New Roman" w:hAnsi="Times New Roman" w:cs="Times New Roman"/>
          <w:b/>
          <w:bCs/>
          <w:sz w:val="24"/>
          <w:szCs w:val="24"/>
          <w:lang w:val="es-PE"/>
        </w:rPr>
        <w:t>Maccan</w:t>
      </w:r>
      <w:proofErr w:type="spellEnd"/>
      <w:r w:rsidRPr="00FE73F3">
        <w:rPr>
          <w:rFonts w:ascii="Times New Roman" w:hAnsi="Times New Roman" w:cs="Times New Roman"/>
          <w:b/>
          <w:bCs/>
          <w:sz w:val="24"/>
          <w:szCs w:val="24"/>
          <w:lang w:val="es-PE"/>
        </w:rPr>
        <w:t xml:space="preserve"> </w:t>
      </w:r>
      <w:r w:rsidR="00C671F5" w:rsidRPr="00FE73F3">
        <w:rPr>
          <w:rFonts w:ascii="Times New Roman" w:hAnsi="Times New Roman" w:cs="Times New Roman"/>
          <w:b/>
          <w:bCs/>
          <w:sz w:val="24"/>
          <w:szCs w:val="24"/>
          <w:lang w:val="es-PE"/>
        </w:rPr>
        <w:t>– Vocal</w:t>
      </w:r>
    </w:p>
    <w:p w14:paraId="55E7D9D7" w14:textId="45BE2008" w:rsidR="00C671F5" w:rsidRPr="00FE73F3" w:rsidRDefault="00007C03"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Omar Alfaro Villanueva </w:t>
      </w:r>
      <w:r w:rsidR="00C671F5" w:rsidRPr="00FE73F3">
        <w:rPr>
          <w:rFonts w:ascii="Times New Roman" w:hAnsi="Times New Roman" w:cs="Times New Roman"/>
          <w:b/>
          <w:bCs/>
          <w:sz w:val="24"/>
          <w:szCs w:val="24"/>
          <w:lang w:val="es-PE"/>
        </w:rPr>
        <w:t>– Vocal</w:t>
      </w:r>
    </w:p>
    <w:p w14:paraId="3A9CFE9F" w14:textId="4DFF4426" w:rsidR="00C671F5" w:rsidRPr="00FE73F3" w:rsidRDefault="00C671F5" w:rsidP="00C671F5">
      <w:pPr>
        <w:spacing w:after="0" w:line="360" w:lineRule="auto"/>
        <w:jc w:val="center"/>
        <w:rPr>
          <w:rFonts w:ascii="Times New Roman" w:hAnsi="Times New Roman" w:cs="Times New Roman"/>
          <w:sz w:val="24"/>
          <w:szCs w:val="24"/>
          <w:lang w:val="es-PE"/>
        </w:rPr>
      </w:pPr>
      <w:r w:rsidRPr="00FE73F3">
        <w:rPr>
          <w:rFonts w:ascii="Times New Roman" w:hAnsi="Times New Roman" w:cs="Times New Roman"/>
          <w:b/>
          <w:bCs/>
          <w:sz w:val="24"/>
          <w:szCs w:val="24"/>
          <w:lang w:val="es-PE"/>
        </w:rPr>
        <w:t xml:space="preserve">Gonzalo Abad del Busto </w:t>
      </w:r>
      <w:r w:rsidR="00231C58" w:rsidRPr="00FE73F3">
        <w:rPr>
          <w:rFonts w:ascii="Times New Roman" w:hAnsi="Times New Roman" w:cs="Times New Roman"/>
          <w:b/>
          <w:bCs/>
          <w:sz w:val="24"/>
          <w:szCs w:val="24"/>
          <w:lang w:val="es-PE"/>
        </w:rPr>
        <w:t xml:space="preserve">– </w:t>
      </w:r>
      <w:r w:rsidRPr="00FE73F3">
        <w:rPr>
          <w:rFonts w:ascii="Times New Roman" w:hAnsi="Times New Roman" w:cs="Times New Roman"/>
          <w:b/>
          <w:bCs/>
          <w:sz w:val="24"/>
          <w:szCs w:val="24"/>
          <w:lang w:val="es-PE"/>
        </w:rPr>
        <w:t>Vocal</w:t>
      </w:r>
    </w:p>
    <w:p w14:paraId="33E0FAB8" w14:textId="7777777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C671F5" w:rsidRDefault="00C671F5" w:rsidP="00C671F5">
      <w:pPr>
        <w:spacing w:line="240" w:lineRule="auto"/>
        <w:rPr>
          <w:rFonts w:ascii="Times New Roman" w:eastAsia="Arial Unicode MS" w:hAnsi="Times New Roman" w:cs="Times New Roman"/>
          <w:sz w:val="24"/>
          <w:szCs w:val="24"/>
          <w:lang w:val="es-ES" w:eastAsia="ar-SA"/>
        </w:rPr>
      </w:pPr>
    </w:p>
    <w:sectPr w:rsidR="00C671F5" w:rsidRPr="00C671F5"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C5D32" w14:textId="77777777" w:rsidR="0026162A" w:rsidRDefault="0026162A" w:rsidP="00784355">
      <w:pPr>
        <w:spacing w:after="0" w:line="240" w:lineRule="auto"/>
      </w:pPr>
      <w:r>
        <w:separator/>
      </w:r>
    </w:p>
  </w:endnote>
  <w:endnote w:type="continuationSeparator" w:id="0">
    <w:p w14:paraId="376F6703" w14:textId="77777777" w:rsidR="0026162A" w:rsidRDefault="0026162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15FBC" w14:textId="77777777" w:rsidR="0026162A" w:rsidRDefault="0026162A" w:rsidP="00784355">
      <w:pPr>
        <w:spacing w:after="0" w:line="240" w:lineRule="auto"/>
      </w:pPr>
      <w:r>
        <w:separator/>
      </w:r>
    </w:p>
  </w:footnote>
  <w:footnote w:type="continuationSeparator" w:id="0">
    <w:p w14:paraId="2019E626" w14:textId="77777777" w:rsidR="0026162A" w:rsidRDefault="0026162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166D"/>
    <w:rsid w:val="00125B9B"/>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97191"/>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340D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E6E328A-0989-4E68-9015-4FEF1BA84AC2}"/>
</file>

<file path=customXml/itemProps3.xml><?xml version="1.0" encoding="utf-8"?>
<ds:datastoreItem xmlns:ds="http://schemas.openxmlformats.org/officeDocument/2006/customXml" ds:itemID="{134ADD78-5AEA-4367-AC41-D964093E68AE}"/>
</file>

<file path=customXml/itemProps4.xml><?xml version="1.0" encoding="utf-8"?>
<ds:datastoreItem xmlns:ds="http://schemas.openxmlformats.org/officeDocument/2006/customXml" ds:itemID="{2BCFD6F9-BA38-4C6E-8945-6090082651D4}"/>
</file>

<file path=docProps/app.xml><?xml version="1.0" encoding="utf-8"?>
<Properties xmlns="http://schemas.openxmlformats.org/officeDocument/2006/extended-properties" xmlns:vt="http://schemas.openxmlformats.org/officeDocument/2006/docPropsVTypes">
  <Template>Normal</Template>
  <TotalTime>0</TotalTime>
  <Pages>3</Pages>
  <Words>1254</Words>
  <Characters>6902</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cp:revision>
  <cp:lastPrinted>2023-02-14T22:38:00Z</cp:lastPrinted>
  <dcterms:created xsi:type="dcterms:W3CDTF">2023-02-14T22:37:00Z</dcterms:created>
  <dcterms:modified xsi:type="dcterms:W3CDTF">2023-02-14T22:38:00Z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