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endnotes.xml" ContentType="application/vnd.openxmlformats-officedocument.wordprocessingml.endnot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oter1.xml" ContentType="application/vnd.openxmlformats-officedocument.wordprocessingml.footer+xml"/>
  <Override PartName="/word/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70E7C3B5" w:rsidR="00707C99" w:rsidRPr="0098136F" w:rsidRDefault="00201C0D" w:rsidP="00272F4F">
      <w:pPr>
        <w:spacing w:after="0" w:line="240" w:lineRule="auto"/>
        <w:jc w:val="center"/>
        <w:rPr>
          <w:rFonts w:ascii="Times New Roman" w:hAnsi="Times New Roman" w:cs="Times New Roman"/>
          <w:b/>
          <w:sz w:val="24"/>
          <w:szCs w:val="24"/>
          <w:lang w:val="es-PE" w:eastAsia="ar-SA"/>
        </w:rPr>
      </w:pPr>
      <w:r w:rsidRPr="0098136F">
        <w:rPr>
          <w:rFonts w:ascii="Times New Roman" w:hAnsi="Times New Roman" w:cs="Times New Roman"/>
          <w:b/>
          <w:sz w:val="24"/>
          <w:szCs w:val="24"/>
          <w:lang w:val="es-PE" w:eastAsia="ar-SA"/>
        </w:rPr>
        <w:t xml:space="preserve">RESOLUCIÓN DE RECURSO IMPUGNATIVO </w:t>
      </w:r>
      <w:proofErr w:type="spellStart"/>
      <w:r w:rsidR="00707C99" w:rsidRPr="0098136F">
        <w:rPr>
          <w:rFonts w:ascii="Times New Roman" w:hAnsi="Times New Roman" w:cs="Times New Roman"/>
          <w:b/>
          <w:sz w:val="24"/>
          <w:szCs w:val="24"/>
          <w:lang w:val="es-PE" w:eastAsia="ar-SA"/>
        </w:rPr>
        <w:t>N°</w:t>
      </w:r>
      <w:proofErr w:type="spellEnd"/>
      <w:r w:rsidR="00707C99" w:rsidRPr="0098136F">
        <w:rPr>
          <w:rFonts w:ascii="Times New Roman" w:hAnsi="Times New Roman" w:cs="Times New Roman"/>
          <w:b/>
          <w:sz w:val="24"/>
          <w:szCs w:val="24"/>
          <w:lang w:val="es-PE" w:eastAsia="ar-SA"/>
        </w:rPr>
        <w:t xml:space="preserve"> </w:t>
      </w:r>
      <w:r w:rsidR="00C671F5" w:rsidRPr="0098136F">
        <w:rPr>
          <w:rFonts w:ascii="Times New Roman" w:hAnsi="Times New Roman" w:cs="Times New Roman"/>
          <w:b/>
          <w:sz w:val="24"/>
          <w:szCs w:val="24"/>
          <w:lang w:val="es-PE" w:eastAsia="ar-SA"/>
        </w:rPr>
        <w:t>0</w:t>
      </w:r>
      <w:r w:rsidR="000512AD">
        <w:rPr>
          <w:rFonts w:ascii="Times New Roman" w:hAnsi="Times New Roman" w:cs="Times New Roman"/>
          <w:b/>
          <w:sz w:val="24"/>
          <w:szCs w:val="24"/>
          <w:lang w:val="es-PE" w:eastAsia="ar-SA"/>
        </w:rPr>
        <w:t>06</w:t>
      </w:r>
      <w:r w:rsidR="00C671F5" w:rsidRPr="0098136F">
        <w:rPr>
          <w:rFonts w:ascii="Times New Roman" w:hAnsi="Times New Roman" w:cs="Times New Roman"/>
          <w:b/>
          <w:sz w:val="24"/>
          <w:szCs w:val="24"/>
          <w:lang w:val="es-PE" w:eastAsia="ar-SA"/>
        </w:rPr>
        <w:t>/2</w:t>
      </w:r>
      <w:r w:rsidR="00AB7BFE" w:rsidRPr="0098136F">
        <w:rPr>
          <w:rFonts w:ascii="Times New Roman" w:hAnsi="Times New Roman" w:cs="Times New Roman"/>
          <w:b/>
          <w:sz w:val="24"/>
          <w:szCs w:val="24"/>
          <w:lang w:val="es-PE" w:eastAsia="ar-SA"/>
        </w:rPr>
        <w:t>3</w:t>
      </w:r>
    </w:p>
    <w:p w14:paraId="2E04246F" w14:textId="77777777" w:rsidR="00116B6A" w:rsidRPr="00116B6A" w:rsidRDefault="00116B6A" w:rsidP="00116B6A">
      <w:pPr>
        <w:spacing w:after="0" w:line="240" w:lineRule="auto"/>
        <w:jc w:val="both"/>
        <w:rPr>
          <w:rFonts w:ascii="Times New Roman" w:hAnsi="Times New Roman" w:cs="Times New Roman"/>
          <w:sz w:val="24"/>
          <w:szCs w:val="24"/>
          <w:lang w:val="es-PE"/>
        </w:rPr>
      </w:pPr>
      <w:r w:rsidRPr="00116B6A">
        <w:rPr>
          <w:rFonts w:ascii="Times New Roman" w:hAnsi="Times New Roman" w:cs="Times New Roman"/>
          <w:b/>
          <w:sz w:val="24"/>
          <w:szCs w:val="24"/>
          <w:lang w:val="es-PE"/>
        </w:rPr>
        <w:t xml:space="preserve">Vistos: </w:t>
      </w:r>
    </w:p>
    <w:p w14:paraId="6FF67D21" w14:textId="77777777" w:rsidR="00116B6A" w:rsidRPr="00116B6A" w:rsidRDefault="00116B6A" w:rsidP="00116B6A">
      <w:pPr>
        <w:spacing w:after="0" w:line="240" w:lineRule="auto"/>
        <w:jc w:val="both"/>
        <w:rPr>
          <w:rFonts w:ascii="Times New Roman" w:hAnsi="Times New Roman" w:cs="Times New Roman"/>
          <w:sz w:val="24"/>
          <w:szCs w:val="24"/>
          <w:lang w:val="es-PE"/>
        </w:rPr>
      </w:pPr>
    </w:p>
    <w:p w14:paraId="5E2B4DC7" w14:textId="77777777" w:rsidR="00116B6A" w:rsidRPr="00116B6A" w:rsidRDefault="00116B6A" w:rsidP="00116B6A">
      <w:pPr>
        <w:spacing w:after="0" w:line="240" w:lineRule="auto"/>
        <w:jc w:val="both"/>
        <w:rPr>
          <w:rFonts w:ascii="Arial" w:hAnsi="Arial" w:cs="Arial"/>
          <w:lang w:val="es-PE"/>
        </w:rPr>
      </w:pPr>
      <w:r>
        <w:rPr>
          <w:rFonts w:ascii="Times New Roman" w:hAnsi="Times New Roman"/>
          <w:sz w:val="24"/>
        </w:rPr>
        <w:t xml:space="preserve">El Recurso de Impugnación presentado el 05 de enero de 2023 por ………………… (en adelante, la asegurada) respecto de la Resolución Nro. 241/22, notificada el fecha 21 de diciembre de 2022, emitida por esta Defensoría del Asegurado (DEFASEG), que declaró INFUNDADA la reclamación interpuesta contra ………………… (en adelante, la aseguradora) con relación al pedido de cobertura del Seguro de Sepelio de Póliza N° …………………|V-1489911 (en adelante, la póliza) por concepto de los gastos de sepelio originados por el fallecimiento de su padre en la ciudad del Callao.</w:t>
      </w:r>
    </w:p>
    <w:p w14:paraId="3E53AF9F" w14:textId="77777777" w:rsidR="00116B6A" w:rsidRPr="00116B6A" w:rsidRDefault="00116B6A" w:rsidP="00116B6A">
      <w:pPr>
        <w:spacing w:after="0" w:line="240" w:lineRule="auto"/>
        <w:jc w:val="both"/>
        <w:rPr>
          <w:rFonts w:ascii="Times New Roman" w:hAnsi="Times New Roman" w:cs="Times New Roman"/>
          <w:sz w:val="24"/>
          <w:szCs w:val="24"/>
          <w:lang w:val="es-PE"/>
        </w:rPr>
      </w:pPr>
    </w:p>
    <w:p w14:paraId="2B8548EB" w14:textId="77777777" w:rsidR="00116B6A" w:rsidRPr="00116B6A" w:rsidRDefault="00116B6A" w:rsidP="00116B6A">
      <w:pPr>
        <w:spacing w:after="0" w:line="240" w:lineRule="auto"/>
        <w:jc w:val="both"/>
        <w:rPr>
          <w:rFonts w:ascii="Times New Roman" w:hAnsi="Times New Roman" w:cs="Times New Roman"/>
          <w:sz w:val="24"/>
          <w:szCs w:val="24"/>
          <w:lang w:val="es-PE"/>
        </w:rPr>
      </w:pPr>
      <w:r>
        <w:rPr>
          <w:rFonts w:ascii="Times New Roman" w:hAnsi="Times New Roman"/>
          <w:sz w:val="24"/>
        </w:rPr>
        <w:t xml:space="preserve">Que el señalado Recurso Impugnativo se fundamenta resumidamente en lo siguiente: 1) la Resolución Impugnada incurre en error, ya que indica que el plan especial descrito en el numeral 23.1.1. del artículo 23 del condicionado general no se encuentra vigente a la fecha, siendo que no se comprende por qué se aplica dicha norma; 2) el pago por reembolso procedería, en atención al artículo 23.1.2.; 3) si bien el padre de la asegurada falleció el 27 de mayo de 2022, esto no fue comunicado, dada la desesperación y angustia que atravesaban los familiares; sin embargo, al momento de realizar el reclamo, este fue atendido por una representante de la aseguradora, siendo que la asegurada cumplió con todos los requisitos solicitados por ella.; 4) la Resolución Impugnada ha vulnerado el debido proceso.</w:t>
      </w:r>
    </w:p>
    <w:p w14:paraId="334B3743" w14:textId="77777777" w:rsidR="00116B6A" w:rsidRPr="00116B6A" w:rsidRDefault="00116B6A" w:rsidP="00116B6A">
      <w:pPr>
        <w:spacing w:after="0" w:line="240" w:lineRule="auto"/>
        <w:jc w:val="both"/>
        <w:rPr>
          <w:rFonts w:ascii="Times New Roman" w:hAnsi="Times New Roman" w:cs="Times New Roman"/>
          <w:sz w:val="24"/>
          <w:szCs w:val="24"/>
          <w:lang w:val="es-PE"/>
        </w:rPr>
      </w:pPr>
    </w:p>
    <w:p w14:paraId="6793E1A6" w14:textId="64C5BCCB" w:rsidR="00116B6A" w:rsidRPr="00283E79" w:rsidRDefault="00116B6A" w:rsidP="00116B6A">
      <w:pPr>
        <w:spacing w:after="0" w:line="240" w:lineRule="auto"/>
        <w:jc w:val="both"/>
        <w:rPr>
          <w:rFonts w:ascii="Times New Roman" w:hAnsi="Times New Roman" w:cs="Times New Roman"/>
          <w:sz w:val="24"/>
          <w:szCs w:val="24"/>
          <w:lang w:val="es-PE"/>
        </w:rPr>
      </w:pPr>
      <w:r>
        <w:rPr>
          <w:rFonts w:ascii="Times New Roman" w:hAnsi="Times New Roman"/>
          <w:sz w:val="24"/>
        </w:rPr>
        <w:t xml:space="preserve">Que, habiéndose corrido traslado a la aseguradora del referido Recurso impugnatorio, mediante carta del 12 de enero de 2023, presentó su escrito de absolución, manifestando lo siguiente: 1) el reclamo de la denuncia N° ………………… sobre la supuesta falta de cobertura del Seguro de Sepelio V-1489911 contratado, fue rechazado válidamente, pues se verificó que lo solicitado no estaba coberturado y/o no se encuentra dentro de los alcances del seguro contratado; 2) el artículo IV de las Disposiciones Generales de la Ley del Contrato de Seguro, las Condiciones Especiales prevalecen respecto de las Condiciones Generales. Por ello, ante una discrepancia entre ambas, se debe atender a lo dispuesto en las Condiciones Especiales de la Póliza; 3) el producto contratado por la reclamante no resulta aplicable el reembolso por gastos de sepelio efectuados por la contratación de una funeraria no afiliada a la aseguradora; 4) de conformidad con el artículo 1361 del Código Civil, los contratos son obligatorios para las partes en cuanto se haya expresado en ellos.</w:t>
      </w:r>
    </w:p>
    <w:p w14:paraId="2F44951E" w14:textId="77777777" w:rsidR="00116B6A" w:rsidRPr="00283E79" w:rsidRDefault="00116B6A" w:rsidP="00116B6A">
      <w:pPr>
        <w:spacing w:after="0" w:line="240" w:lineRule="auto"/>
        <w:jc w:val="both"/>
        <w:rPr>
          <w:rFonts w:ascii="Times New Roman" w:hAnsi="Times New Roman" w:cs="Times New Roman"/>
          <w:sz w:val="24"/>
          <w:szCs w:val="24"/>
          <w:lang w:val="es-PE"/>
        </w:rPr>
      </w:pPr>
    </w:p>
    <w:p w14:paraId="75196461" w14:textId="77777777" w:rsidR="00116B6A" w:rsidRPr="00283E79" w:rsidRDefault="00116B6A" w:rsidP="00116B6A">
      <w:pPr>
        <w:spacing w:after="0" w:line="240" w:lineRule="auto"/>
        <w:jc w:val="both"/>
        <w:rPr>
          <w:rFonts w:ascii="Times New Roman" w:hAnsi="Times New Roman" w:cs="Times New Roman"/>
          <w:sz w:val="24"/>
          <w:szCs w:val="24"/>
          <w:lang w:val="es-PE"/>
        </w:rPr>
      </w:pPr>
      <w:r w:rsidRPr="00283E79">
        <w:rPr>
          <w:rFonts w:ascii="Times New Roman" w:hAnsi="Times New Roman" w:cs="Times New Roman"/>
          <w:sz w:val="24"/>
          <w:szCs w:val="24"/>
          <w:lang w:val="es-PE"/>
        </w:rPr>
        <w:t>Que, atendiendo a lo expuesto, esta Defensoría resuelve finalmente lo siguiente:</w:t>
      </w:r>
    </w:p>
    <w:p w14:paraId="6A2CDE30" w14:textId="77777777" w:rsidR="00116B6A" w:rsidRPr="00283E79" w:rsidRDefault="00116B6A" w:rsidP="00116B6A">
      <w:pPr>
        <w:spacing w:after="0" w:line="240" w:lineRule="auto"/>
        <w:jc w:val="both"/>
        <w:rPr>
          <w:rFonts w:ascii="Times New Roman" w:hAnsi="Times New Roman" w:cs="Times New Roman"/>
          <w:b/>
          <w:sz w:val="24"/>
          <w:szCs w:val="24"/>
          <w:lang w:val="es-PE"/>
        </w:rPr>
      </w:pPr>
    </w:p>
    <w:p w14:paraId="5654C881" w14:textId="77777777" w:rsidR="00116B6A" w:rsidRPr="00283E79" w:rsidRDefault="00116B6A" w:rsidP="00116B6A">
      <w:pPr>
        <w:spacing w:after="0" w:line="240" w:lineRule="auto"/>
        <w:jc w:val="both"/>
        <w:rPr>
          <w:rFonts w:ascii="Times New Roman" w:hAnsi="Times New Roman" w:cs="Times New Roman"/>
          <w:sz w:val="24"/>
          <w:szCs w:val="24"/>
          <w:lang w:val="es-PE"/>
        </w:rPr>
      </w:pPr>
      <w:r w:rsidRPr="00283E79">
        <w:rPr>
          <w:rFonts w:ascii="Times New Roman" w:hAnsi="Times New Roman" w:cs="Times New Roman"/>
          <w:b/>
          <w:sz w:val="24"/>
          <w:szCs w:val="24"/>
          <w:lang w:val="es-PE"/>
        </w:rPr>
        <w:t>PRIMERO:</w:t>
      </w:r>
      <w:r w:rsidRPr="00283E79">
        <w:rPr>
          <w:rFonts w:ascii="Times New Roman" w:hAnsi="Times New Roman" w:cs="Times New Roman"/>
          <w:sz w:val="24"/>
          <w:szCs w:val="24"/>
          <w:lang w:val="es-PE"/>
        </w:rPr>
        <w:t xml:space="preserve"> Que el artículo 10 (Procedimiento) del Reglamento de la DEFASEG (</w:t>
      </w:r>
      <w:hyperlink r:id="rId8" w:history="1">
        <w:r w:rsidRPr="00283E79">
          <w:rPr>
            <w:rStyle w:val="Hipervnculo"/>
            <w:rFonts w:ascii="Times New Roman" w:hAnsi="Times New Roman" w:cs="Times New Roman"/>
            <w:sz w:val="24"/>
            <w:szCs w:val="24"/>
            <w:lang w:val="es-PE"/>
          </w:rPr>
          <w:t>http://www.defaseg.com.pe/reglamento</w:t>
        </w:r>
      </w:hyperlink>
      <w:r w:rsidRPr="00283E79">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la aseguradora, al interponer el Recurso Impugnativo, ha ejercido formalmente su derecho a contradecir lo resuelto por la Defensoría, el que deberá sustentar </w:t>
      </w:r>
      <w:r w:rsidRPr="00283E79">
        <w:rPr>
          <w:rFonts w:ascii="Times New Roman" w:hAnsi="Times New Roman" w:cs="Times New Roman"/>
          <w:sz w:val="24"/>
          <w:szCs w:val="24"/>
          <w:lang w:val="es-PE"/>
        </w:rPr>
        <w:br/>
        <w:t>-razonablemente- la razón de su desacuerdo, destacando el vicio o error en que se habría incurrido y que permitiría fundamentar que lo resuelto no se ajusta a derecho ni a los correspondientes actuados.</w:t>
      </w:r>
    </w:p>
    <w:p w14:paraId="0D9CDA61" w14:textId="77777777" w:rsidR="00116B6A" w:rsidRPr="00283E79" w:rsidRDefault="00116B6A" w:rsidP="00116B6A">
      <w:pPr>
        <w:spacing w:after="0" w:line="240" w:lineRule="auto"/>
        <w:jc w:val="both"/>
        <w:rPr>
          <w:rFonts w:ascii="Times New Roman" w:hAnsi="Times New Roman" w:cs="Times New Roman"/>
          <w:b/>
          <w:sz w:val="24"/>
          <w:szCs w:val="24"/>
          <w:lang w:val="es-PE"/>
        </w:rPr>
      </w:pPr>
    </w:p>
    <w:p w14:paraId="557262B9" w14:textId="77777777" w:rsidR="00116B6A" w:rsidRPr="00283E79" w:rsidRDefault="00116B6A" w:rsidP="00116B6A">
      <w:pPr>
        <w:spacing w:after="0" w:line="240" w:lineRule="auto"/>
        <w:jc w:val="both"/>
        <w:rPr>
          <w:rFonts w:ascii="Times New Roman" w:hAnsi="Times New Roman" w:cs="Times New Roman"/>
          <w:sz w:val="24"/>
          <w:szCs w:val="24"/>
          <w:lang w:val="es-PE"/>
        </w:rPr>
      </w:pPr>
      <w:r>
        <w:rPr>
          <w:rFonts w:ascii="Times New Roman" w:hAnsi="Times New Roman"/>
          <w:sz w:val="24"/>
        </w:rPr>
        <w:t xml:space="preserve">SEGUNDO: Que, la asegurada manifiesta que la Resolución Impugnada habría señalado que el numeral 23.1.1. del artículo 23 del condicionado general no se encuentra vigente; no obstante, ello no se ajusta a la realidad. De hecho, de una revisión de la póliza se advierte que dicho numeral dispone lo siguiente:</w:t>
      </w:r>
    </w:p>
    <w:p w14:paraId="204248D9" w14:textId="77777777" w:rsidR="00116B6A" w:rsidRPr="00283E79" w:rsidRDefault="00116B6A" w:rsidP="00116B6A">
      <w:pPr>
        <w:spacing w:after="0" w:line="240" w:lineRule="auto"/>
        <w:jc w:val="both"/>
        <w:rPr>
          <w:rFonts w:ascii="Times New Roman" w:hAnsi="Times New Roman" w:cs="Times New Roman"/>
          <w:sz w:val="24"/>
          <w:szCs w:val="24"/>
          <w:lang w:val="es-PE"/>
        </w:rPr>
      </w:pPr>
    </w:p>
    <w:p w14:paraId="29F1670E" w14:textId="6BD5A321" w:rsidR="00116B6A" w:rsidRDefault="00116B6A" w:rsidP="00116B6A">
      <w:pPr>
        <w:spacing w:after="0" w:line="240" w:lineRule="auto"/>
        <w:jc w:val="center"/>
        <w:rPr>
          <w:rFonts w:ascii="Times New Roman" w:hAnsi="Times New Roman" w:cs="Times New Roman"/>
          <w:sz w:val="24"/>
          <w:szCs w:val="24"/>
        </w:rPr>
      </w:pPr>
      <w:r>
        <w:rPr>
          <w:rFonts w:ascii="Times New Roman" w:hAnsi="Times New Roman"/>
          <w:sz w:val="24"/>
        </w:rPr>
        <w:t xml:space="preserve">…………………</w:t>
      </w:r>
    </w:p>
    <w:p w14:paraId="2D0B3CBC" w14:textId="77777777" w:rsidR="00116B6A" w:rsidRDefault="00116B6A" w:rsidP="00116B6A">
      <w:pPr>
        <w:spacing w:after="0" w:line="240" w:lineRule="auto"/>
        <w:jc w:val="both"/>
        <w:rPr>
          <w:rFonts w:ascii="Times New Roman" w:hAnsi="Times New Roman" w:cs="Times New Roman"/>
          <w:sz w:val="24"/>
          <w:szCs w:val="24"/>
        </w:rPr>
      </w:pPr>
    </w:p>
    <w:p w14:paraId="2325B810" w14:textId="77777777" w:rsidR="00116B6A" w:rsidRPr="00283E79" w:rsidRDefault="00116B6A" w:rsidP="00116B6A">
      <w:pPr>
        <w:spacing w:after="0" w:line="240" w:lineRule="auto"/>
        <w:jc w:val="both"/>
        <w:rPr>
          <w:rFonts w:ascii="Times New Roman" w:hAnsi="Times New Roman" w:cs="Times New Roman"/>
          <w:sz w:val="24"/>
          <w:szCs w:val="24"/>
          <w:lang w:val="es-PE"/>
        </w:rPr>
      </w:pPr>
      <w:r>
        <w:rPr>
          <w:rFonts w:ascii="Times New Roman" w:hAnsi="Times New Roman"/>
          <w:sz w:val="24"/>
        </w:rPr>
        <w:t xml:space="preserve">No obstante, en el presente caso, el servicio de sepelio se realizó por una funeraria no afiliada, hecho que no ha sido objeto de cuestionamiento en el presente procedimiento. Ahora bien, sin perjuicio de ello, debemos señalar que la Resolución Impugnada señaló lo siguiente: </w:t>
      </w:r>
    </w:p>
    <w:p w14:paraId="79130764" w14:textId="77777777" w:rsidR="00116B6A" w:rsidRPr="00283E79" w:rsidRDefault="00116B6A" w:rsidP="00116B6A">
      <w:pPr>
        <w:spacing w:after="0" w:line="240" w:lineRule="auto"/>
        <w:jc w:val="both"/>
        <w:rPr>
          <w:rFonts w:ascii="Times New Roman" w:hAnsi="Times New Roman" w:cs="Times New Roman"/>
          <w:sz w:val="28"/>
          <w:szCs w:val="28"/>
          <w:lang w:val="es-PE"/>
        </w:rPr>
      </w:pPr>
    </w:p>
    <w:p w14:paraId="6A0F6F67" w14:textId="77777777" w:rsidR="00116B6A" w:rsidRPr="00283E79" w:rsidRDefault="00116B6A" w:rsidP="00116B6A">
      <w:pPr>
        <w:tabs>
          <w:tab w:val="left" w:pos="2160"/>
        </w:tabs>
        <w:spacing w:after="0" w:line="240" w:lineRule="auto"/>
        <w:ind w:left="1418"/>
        <w:jc w:val="both"/>
        <w:rPr>
          <w:rFonts w:ascii="Times New Roman" w:hAnsi="Times New Roman" w:cs="Times New Roman"/>
          <w:sz w:val="24"/>
          <w:szCs w:val="24"/>
          <w:lang w:val="es-PE"/>
        </w:rPr>
      </w:pPr>
      <w:r>
        <w:rPr>
          <w:rFonts w:ascii="Times New Roman" w:hAnsi="Times New Roman"/>
          <w:sz w:val="24"/>
        </w:rPr>
        <w:t xml:space="preserve">“Sétimo:  Revisada la Póliza podemos apreciar que, según el numeral 23.1.2. del artículo 23, el Condicionado General contempla el pago del reembolso en caso se tome el servicio de una funeraria no afiliada; sin embargo, las Condiciones Especiales son claras al señalar que, para el producto contratado por la reclamante, no se incluye lo dispuesto en el referido numeral del Condicionado General. En buena cuenta, la cobertura ofrecida en la Póliza N° ………………… a los casos en que se contrate con una funeraria que no se encuentre afiliada.</w:t>
      </w:r>
    </w:p>
    <w:p w14:paraId="6D31A7CB" w14:textId="77777777" w:rsidR="00116B6A" w:rsidRPr="00283E79" w:rsidRDefault="00116B6A" w:rsidP="00116B6A">
      <w:pPr>
        <w:tabs>
          <w:tab w:val="left" w:pos="2160"/>
        </w:tabs>
        <w:spacing w:after="0" w:line="240" w:lineRule="auto"/>
        <w:ind w:left="1418"/>
        <w:jc w:val="both"/>
        <w:rPr>
          <w:rFonts w:ascii="Times New Roman" w:hAnsi="Times New Roman" w:cs="Times New Roman"/>
          <w:sz w:val="24"/>
          <w:szCs w:val="24"/>
          <w:lang w:val="es-PE"/>
        </w:rPr>
      </w:pPr>
    </w:p>
    <w:p w14:paraId="24FF0DBC" w14:textId="77777777" w:rsidR="00116B6A" w:rsidRPr="00283E79" w:rsidRDefault="00116B6A" w:rsidP="00116B6A">
      <w:pPr>
        <w:tabs>
          <w:tab w:val="left" w:pos="2160"/>
        </w:tabs>
        <w:spacing w:after="0" w:line="240" w:lineRule="auto"/>
        <w:ind w:left="1418"/>
        <w:jc w:val="both"/>
        <w:rPr>
          <w:rFonts w:ascii="Times New Roman" w:hAnsi="Times New Roman" w:cs="Times New Roman"/>
          <w:sz w:val="24"/>
          <w:szCs w:val="24"/>
          <w:lang w:val="es-PE"/>
        </w:rPr>
      </w:pPr>
      <w:r w:rsidRPr="00283E79">
        <w:rPr>
          <w:rFonts w:ascii="Times New Roman" w:hAnsi="Times New Roman" w:cs="Times New Roman"/>
          <w:b/>
          <w:sz w:val="24"/>
          <w:szCs w:val="24"/>
          <w:u w:val="single"/>
          <w:lang w:val="es-PE"/>
        </w:rPr>
        <w:t>Octavo:</w:t>
      </w:r>
      <w:r w:rsidRPr="00283E79">
        <w:rPr>
          <w:rFonts w:ascii="Times New Roman" w:hAnsi="Times New Roman" w:cs="Times New Roman"/>
          <w:sz w:val="24"/>
          <w:szCs w:val="24"/>
          <w:lang w:val="es-PE"/>
        </w:rPr>
        <w:t xml:space="preserve">  Conforme lo dispuesto en el artículo IV de las Disposiciones Generales de la Ley del Contrato de Seguro, una correcta interpretación de la Póliza implica que las Condiciones Especiales prevalecen respecto de las Condiciones Generales.</w:t>
      </w:r>
      <w:r w:rsidRPr="00283E79">
        <w:rPr>
          <w:rFonts w:ascii="Times New Roman" w:hAnsi="Times New Roman" w:cs="Times New Roman"/>
          <w:i/>
          <w:iCs/>
          <w:sz w:val="24"/>
          <w:szCs w:val="24"/>
          <w:lang w:val="es-PE"/>
        </w:rPr>
        <w:t xml:space="preserve"> </w:t>
      </w:r>
      <w:r w:rsidRPr="00283E79">
        <w:rPr>
          <w:rFonts w:ascii="Times New Roman" w:hAnsi="Times New Roman" w:cs="Times New Roman"/>
          <w:sz w:val="24"/>
          <w:szCs w:val="24"/>
          <w:lang w:val="es-PE"/>
        </w:rPr>
        <w:t>Por ello, ante una discrepancia entre ambas, se debe atender a lo dispuesto en las Condiciones Especiales de la Póliza.”</w:t>
      </w:r>
    </w:p>
    <w:p w14:paraId="67BEA9DB" w14:textId="77777777" w:rsidR="00116B6A" w:rsidRPr="00283E79" w:rsidRDefault="00116B6A" w:rsidP="00116B6A">
      <w:pPr>
        <w:spacing w:after="0" w:line="240" w:lineRule="auto"/>
        <w:jc w:val="both"/>
        <w:rPr>
          <w:rFonts w:ascii="Times New Roman" w:hAnsi="Times New Roman" w:cs="Times New Roman"/>
          <w:sz w:val="24"/>
          <w:szCs w:val="24"/>
          <w:lang w:val="es-PE"/>
        </w:rPr>
      </w:pPr>
    </w:p>
    <w:p w14:paraId="1887181E" w14:textId="77777777" w:rsidR="00116B6A" w:rsidRPr="00283E79" w:rsidRDefault="00116B6A" w:rsidP="00116B6A">
      <w:pPr>
        <w:spacing w:after="0" w:line="240" w:lineRule="auto"/>
        <w:jc w:val="both"/>
        <w:rPr>
          <w:rFonts w:ascii="Times New Roman" w:hAnsi="Times New Roman" w:cs="Times New Roman"/>
          <w:sz w:val="24"/>
          <w:szCs w:val="24"/>
          <w:lang w:val="es-PE"/>
        </w:rPr>
      </w:pPr>
      <w:r>
        <w:rPr>
          <w:rFonts w:ascii="Times New Roman" w:hAnsi="Times New Roman"/>
          <w:sz w:val="24"/>
        </w:rPr>
        <w:t xml:space="preserve">En ese sentido, sin perjuicio de que la referencia en la Resolución Impugnada fue al numeral 23.1.2. del artículo 23, el Condicionado General, resulta necesario precisar que el uso de las técnicas de interpretación que nos ofrece la Ley del Contrato de Seguro no implica la negación de la vigencia de una norma. En otras palabras, el afirmar que, en aplicación del artículo IV de las Disposiciones Generales de la Ley del Contrato de Seguro, las Condiciones Especiales prevalecen respecto de las Condiciones Generales, no implican afirmar que estas últimas no se encuentran vigentes. Por el contrario, la aplicación de una técnica de interpretación implica la aceptación tácita de la vigencia de ambas normas, siendo que se debe dirimir cuál norma aplicar ante un caso en el que -aparentemente- existe un conflicto entre estas.</w:t>
      </w:r>
    </w:p>
    <w:p w14:paraId="11B4FD69" w14:textId="77777777" w:rsidR="00116B6A" w:rsidRPr="00283E79" w:rsidRDefault="00116B6A" w:rsidP="00116B6A">
      <w:pPr>
        <w:spacing w:after="0" w:line="240" w:lineRule="auto"/>
        <w:jc w:val="both"/>
        <w:rPr>
          <w:rFonts w:ascii="Times New Roman" w:hAnsi="Times New Roman" w:cs="Times New Roman"/>
          <w:sz w:val="24"/>
          <w:szCs w:val="24"/>
          <w:lang w:val="es-PE"/>
        </w:rPr>
      </w:pPr>
    </w:p>
    <w:p w14:paraId="676A55B2" w14:textId="77777777" w:rsidR="00116B6A" w:rsidRPr="00283E79" w:rsidRDefault="00116B6A" w:rsidP="00116B6A">
      <w:pPr>
        <w:spacing w:after="0" w:line="240" w:lineRule="auto"/>
        <w:jc w:val="both"/>
        <w:rPr>
          <w:rFonts w:ascii="Times New Roman" w:hAnsi="Times New Roman" w:cs="Times New Roman"/>
          <w:sz w:val="24"/>
          <w:szCs w:val="24"/>
          <w:lang w:val="es-PE"/>
        </w:rPr>
      </w:pPr>
      <w:r w:rsidRPr="00283E79">
        <w:rPr>
          <w:rFonts w:ascii="Times New Roman" w:hAnsi="Times New Roman" w:cs="Times New Roman"/>
          <w:sz w:val="24"/>
          <w:szCs w:val="24"/>
          <w:lang w:val="es-PE"/>
        </w:rPr>
        <w:t xml:space="preserve">Que, por otro lado, de autos se encuentra acreditado que el rechazo no se debió a que la asegurada no haya cumplido con remitir los requisitos solicitados. Por el contrario, el rechazo se funda en no haber realizado el servicio de sepelio con un proveedor afiliado, lo que -como insistimos- no ha sido objeto de cuestionamiento en el presente procedimiento. </w:t>
      </w:r>
    </w:p>
    <w:p w14:paraId="75668279" w14:textId="77777777" w:rsidR="00116B6A" w:rsidRPr="00283E79" w:rsidRDefault="00116B6A" w:rsidP="00116B6A">
      <w:pPr>
        <w:spacing w:after="0" w:line="240" w:lineRule="auto"/>
        <w:jc w:val="both"/>
        <w:rPr>
          <w:rFonts w:ascii="Times New Roman" w:hAnsi="Times New Roman" w:cs="Times New Roman"/>
          <w:sz w:val="24"/>
          <w:szCs w:val="24"/>
          <w:lang w:val="es-PE"/>
        </w:rPr>
      </w:pPr>
    </w:p>
    <w:p w14:paraId="78A862FA" w14:textId="77777777" w:rsidR="00116B6A" w:rsidRPr="00283E79" w:rsidRDefault="00116B6A" w:rsidP="00116B6A">
      <w:pPr>
        <w:spacing w:after="0" w:line="240" w:lineRule="auto"/>
        <w:jc w:val="both"/>
        <w:rPr>
          <w:rFonts w:ascii="Times New Roman" w:hAnsi="Times New Roman" w:cs="Times New Roman"/>
          <w:sz w:val="24"/>
          <w:szCs w:val="24"/>
          <w:lang w:val="es-PE"/>
        </w:rPr>
      </w:pPr>
      <w:r w:rsidRPr="00283E79">
        <w:rPr>
          <w:rFonts w:ascii="Times New Roman" w:hAnsi="Times New Roman" w:cs="Times New Roman"/>
          <w:sz w:val="24"/>
          <w:szCs w:val="24"/>
          <w:lang w:val="es-PE"/>
        </w:rPr>
        <w:t xml:space="preserve">Que, sin perjuicio de ello, de la lectura del Recurso Impugnativo interpuesto se aprecia que la asegurada insiste en su argumentación, la que fue debidamente analizada en los Considerandos, Sexto al Noveno de la Resolución recurrida, siendo que, a juicio de este colegiado, el contenido del señalado recurso impugnativo evidencia simplemente la disconformidad de este último con </w:t>
      </w:r>
      <w:r w:rsidRPr="00283E79">
        <w:rPr>
          <w:rFonts w:ascii="Times New Roman" w:hAnsi="Times New Roman" w:cs="Times New Roman"/>
          <w:sz w:val="24"/>
          <w:szCs w:val="24"/>
          <w:lang w:val="es-PE"/>
        </w:rPr>
        <w:lastRenderedPageBreak/>
        <w:t xml:space="preserve">el sentido de lo resuelto. En consecuencia, el Recurso Impugnativo interpuesto puede ser categorizado, por su contenido mismo, como una solicitud de revisión general, sustentado en el muy respetable criterio de la aseguradora; sin embargo, dicho criterio no es compartido por este colegiado. Por ello, este Colegiado considera que la aseguradora no ha aportado argumento o medio probatorio alguno que le permita </w:t>
      </w:r>
      <w:r w:rsidRPr="00283E79">
        <w:rPr>
          <w:rFonts w:ascii="Times New Roman" w:hAnsi="Times New Roman" w:cs="Times New Roman"/>
          <w:sz w:val="24"/>
          <w:szCs w:val="24"/>
          <w:lang w:val="es-PE"/>
        </w:rPr>
        <w:br/>
        <w:t>-objetivamente- apreciar que habría incurrido efectivamente en un error o vicio al momento de resolver.</w:t>
      </w:r>
    </w:p>
    <w:p w14:paraId="6EE9F6F2" w14:textId="77777777" w:rsidR="00116B6A" w:rsidRPr="00283E79" w:rsidRDefault="00116B6A" w:rsidP="00116B6A">
      <w:pPr>
        <w:spacing w:after="0" w:line="240" w:lineRule="auto"/>
        <w:jc w:val="both"/>
        <w:rPr>
          <w:rFonts w:ascii="Times New Roman" w:hAnsi="Times New Roman" w:cs="Times New Roman"/>
          <w:sz w:val="24"/>
          <w:szCs w:val="24"/>
          <w:lang w:val="es-PE"/>
        </w:rPr>
      </w:pPr>
    </w:p>
    <w:p w14:paraId="20B391EF" w14:textId="77777777" w:rsidR="00116B6A" w:rsidRPr="00283E79" w:rsidRDefault="00116B6A" w:rsidP="00116B6A">
      <w:pPr>
        <w:spacing w:after="0" w:line="240" w:lineRule="auto"/>
        <w:jc w:val="both"/>
        <w:rPr>
          <w:rFonts w:ascii="Times New Roman" w:hAnsi="Times New Roman" w:cs="Times New Roman"/>
          <w:sz w:val="24"/>
          <w:szCs w:val="24"/>
          <w:lang w:val="es-PE"/>
        </w:rPr>
      </w:pPr>
      <w:r w:rsidRPr="00283E79">
        <w:rPr>
          <w:rFonts w:ascii="Times New Roman" w:hAnsi="Times New Roman" w:cs="Times New Roman"/>
          <w:sz w:val="24"/>
          <w:szCs w:val="24"/>
          <w:lang w:val="es-PE"/>
        </w:rPr>
        <w:t>Que, por consiguiente, este colegiado reitera su análisis contenido en la resolución recurrida.</w:t>
      </w:r>
    </w:p>
    <w:p w14:paraId="23F24695" w14:textId="77777777" w:rsidR="00116B6A" w:rsidRPr="00283E79" w:rsidRDefault="00116B6A" w:rsidP="00116B6A">
      <w:pPr>
        <w:spacing w:after="0" w:line="240" w:lineRule="auto"/>
        <w:jc w:val="both"/>
        <w:rPr>
          <w:rFonts w:ascii="Times New Roman" w:hAnsi="Times New Roman" w:cs="Times New Roman"/>
          <w:sz w:val="24"/>
          <w:szCs w:val="24"/>
          <w:lang w:val="es-PE"/>
        </w:rPr>
      </w:pPr>
    </w:p>
    <w:p w14:paraId="208A83EB" w14:textId="77777777" w:rsidR="00116B6A" w:rsidRPr="00283E79" w:rsidRDefault="00116B6A" w:rsidP="00116B6A">
      <w:pPr>
        <w:spacing w:after="0" w:line="240" w:lineRule="auto"/>
        <w:jc w:val="both"/>
        <w:rPr>
          <w:rFonts w:ascii="Times New Roman" w:hAnsi="Times New Roman" w:cs="Times New Roman"/>
          <w:sz w:val="24"/>
          <w:szCs w:val="24"/>
          <w:lang w:val="es-PE"/>
        </w:rPr>
      </w:pPr>
      <w:r w:rsidRPr="00283E79">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14:paraId="7CF39447" w14:textId="77777777" w:rsidR="00116B6A" w:rsidRPr="00283E79" w:rsidRDefault="00116B6A" w:rsidP="00116B6A">
      <w:pPr>
        <w:spacing w:after="0" w:line="240" w:lineRule="auto"/>
        <w:jc w:val="both"/>
        <w:rPr>
          <w:rFonts w:ascii="Times New Roman" w:hAnsi="Times New Roman" w:cs="Times New Roman"/>
          <w:b/>
          <w:sz w:val="24"/>
          <w:szCs w:val="24"/>
          <w:lang w:val="es-PE"/>
        </w:rPr>
      </w:pPr>
    </w:p>
    <w:p w14:paraId="278C53B1" w14:textId="77777777" w:rsidR="00116B6A" w:rsidRPr="00283E79" w:rsidRDefault="00116B6A" w:rsidP="00116B6A">
      <w:pPr>
        <w:spacing w:after="0" w:line="240" w:lineRule="auto"/>
        <w:jc w:val="both"/>
        <w:rPr>
          <w:rFonts w:ascii="Times New Roman" w:hAnsi="Times New Roman" w:cs="Times New Roman"/>
          <w:b/>
          <w:sz w:val="24"/>
          <w:szCs w:val="24"/>
          <w:lang w:val="es-PE"/>
        </w:rPr>
      </w:pPr>
      <w:r w:rsidRPr="00283E79">
        <w:rPr>
          <w:rFonts w:ascii="Times New Roman" w:hAnsi="Times New Roman" w:cs="Times New Roman"/>
          <w:b/>
          <w:sz w:val="24"/>
          <w:szCs w:val="24"/>
          <w:lang w:val="es-PE"/>
        </w:rPr>
        <w:t xml:space="preserve">RESUELVE: </w:t>
      </w:r>
    </w:p>
    <w:p w14:paraId="4D73765B" w14:textId="77777777" w:rsidR="00116B6A" w:rsidRPr="00283E79" w:rsidRDefault="00116B6A" w:rsidP="00116B6A">
      <w:pPr>
        <w:spacing w:after="0" w:line="240" w:lineRule="auto"/>
        <w:jc w:val="both"/>
        <w:rPr>
          <w:rFonts w:ascii="Times New Roman" w:hAnsi="Times New Roman" w:cs="Times New Roman"/>
          <w:sz w:val="24"/>
          <w:szCs w:val="24"/>
          <w:lang w:val="es-PE"/>
        </w:rPr>
      </w:pPr>
    </w:p>
    <w:p w14:paraId="61905EB8" w14:textId="77777777" w:rsidR="00116B6A" w:rsidRPr="00283E79" w:rsidRDefault="00116B6A" w:rsidP="00116B6A">
      <w:pPr>
        <w:spacing w:line="240" w:lineRule="auto"/>
        <w:jc w:val="both"/>
        <w:rPr>
          <w:lang w:val="es-PE"/>
        </w:rPr>
      </w:pPr>
      <w:r>
        <w:rPr>
          <w:rFonts w:ascii="Times New Roman" w:hAnsi="Times New Roman"/>
          <w:sz w:val="24"/>
        </w:rPr>
        <w:t xml:space="preserve">Declarar INFUNDADO el Recurso Impugnativo interpuesto y, por consiguiente, ratificar la Resolución N° 241/22 que declaró INFUNDADA la reclamación interpuesta contra …………………, dejando a salvo el derecho de la asegurada de accionar ante las instancias que estime pertinente.</w:t>
      </w:r>
    </w:p>
    <w:p w14:paraId="2269147E" w14:textId="77777777" w:rsidR="00231C58" w:rsidRPr="0098136F" w:rsidRDefault="00231C58" w:rsidP="00527B27">
      <w:pPr>
        <w:suppressAutoHyphens/>
        <w:spacing w:after="0" w:line="240" w:lineRule="auto"/>
        <w:jc w:val="right"/>
        <w:outlineLvl w:val="0"/>
        <w:rPr>
          <w:rFonts w:ascii="Times New Roman" w:eastAsia="Arial Unicode MS" w:hAnsi="Times New Roman" w:cs="Times New Roman"/>
          <w:sz w:val="24"/>
          <w:szCs w:val="24"/>
          <w:lang w:val="es-PE" w:eastAsia="ar-SA"/>
        </w:rPr>
      </w:pPr>
    </w:p>
    <w:p w14:paraId="78A39B5B" w14:textId="7FB960D8" w:rsidR="00077B6F" w:rsidRPr="0098136F" w:rsidRDefault="0091528B" w:rsidP="00C671F5">
      <w:pPr>
        <w:suppressAutoHyphens/>
        <w:spacing w:after="0" w:line="240" w:lineRule="auto"/>
        <w:jc w:val="right"/>
        <w:outlineLvl w:val="0"/>
        <w:rPr>
          <w:rFonts w:ascii="Times New Roman" w:eastAsia="Arial Unicode MS" w:hAnsi="Times New Roman" w:cs="Times New Roman"/>
          <w:sz w:val="24"/>
          <w:szCs w:val="24"/>
          <w:lang w:val="es-PE" w:eastAsia="ar-SA"/>
        </w:rPr>
      </w:pPr>
      <w:r w:rsidRPr="0098136F">
        <w:rPr>
          <w:rFonts w:ascii="Times New Roman" w:eastAsia="Arial Unicode MS" w:hAnsi="Times New Roman" w:cs="Times New Roman"/>
          <w:sz w:val="24"/>
          <w:szCs w:val="24"/>
          <w:lang w:val="es-PE" w:eastAsia="ar-SA"/>
        </w:rPr>
        <w:t xml:space="preserve">Lima, </w:t>
      </w:r>
      <w:r w:rsidR="0098136F" w:rsidRPr="0098136F">
        <w:rPr>
          <w:rFonts w:ascii="Times New Roman" w:eastAsia="Arial Unicode MS" w:hAnsi="Times New Roman" w:cs="Times New Roman"/>
          <w:sz w:val="24"/>
          <w:szCs w:val="24"/>
          <w:lang w:val="es-PE" w:eastAsia="ar-SA"/>
        </w:rPr>
        <w:t>1</w:t>
      </w:r>
      <w:r w:rsidR="000512AD">
        <w:rPr>
          <w:rFonts w:ascii="Times New Roman" w:eastAsia="Arial Unicode MS" w:hAnsi="Times New Roman" w:cs="Times New Roman"/>
          <w:sz w:val="24"/>
          <w:szCs w:val="24"/>
          <w:lang w:val="es-PE" w:eastAsia="ar-SA"/>
        </w:rPr>
        <w:t>6</w:t>
      </w:r>
      <w:r w:rsidR="00707C99" w:rsidRPr="0098136F">
        <w:rPr>
          <w:rFonts w:ascii="Times New Roman" w:eastAsia="Arial Unicode MS" w:hAnsi="Times New Roman" w:cs="Times New Roman"/>
          <w:sz w:val="24"/>
          <w:szCs w:val="24"/>
          <w:lang w:val="es-PE" w:eastAsia="ar-SA"/>
        </w:rPr>
        <w:t xml:space="preserve"> de </w:t>
      </w:r>
      <w:r w:rsidR="0098136F" w:rsidRPr="0098136F">
        <w:rPr>
          <w:rFonts w:ascii="Times New Roman" w:eastAsia="Arial Unicode MS" w:hAnsi="Times New Roman" w:cs="Times New Roman"/>
          <w:sz w:val="24"/>
          <w:szCs w:val="24"/>
          <w:lang w:val="es-PE" w:eastAsia="ar-SA"/>
        </w:rPr>
        <w:t>marzo</w:t>
      </w:r>
      <w:r w:rsidR="00F06498" w:rsidRPr="0098136F">
        <w:rPr>
          <w:rFonts w:ascii="Times New Roman" w:eastAsia="Arial Unicode MS" w:hAnsi="Times New Roman" w:cs="Times New Roman"/>
          <w:sz w:val="24"/>
          <w:szCs w:val="24"/>
          <w:lang w:val="es-PE" w:eastAsia="ar-SA"/>
        </w:rPr>
        <w:t xml:space="preserve"> de 202</w:t>
      </w:r>
      <w:r w:rsidR="00B340D4" w:rsidRPr="0098136F">
        <w:rPr>
          <w:rFonts w:ascii="Times New Roman" w:eastAsia="Arial Unicode MS" w:hAnsi="Times New Roman" w:cs="Times New Roman"/>
          <w:sz w:val="24"/>
          <w:szCs w:val="24"/>
          <w:lang w:val="es-PE" w:eastAsia="ar-SA"/>
        </w:rPr>
        <w:t>3</w:t>
      </w:r>
      <w:r w:rsidR="00707C99" w:rsidRPr="0098136F">
        <w:rPr>
          <w:rFonts w:ascii="Times New Roman" w:eastAsia="Times New Roman" w:hAnsi="Times New Roman" w:cs="Times New Roman"/>
          <w:sz w:val="24"/>
          <w:szCs w:val="24"/>
          <w:lang w:val="es-PE" w:eastAsia="ar-SA"/>
        </w:rPr>
        <w:t xml:space="preserve"> </w:t>
      </w:r>
    </w:p>
    <w:p w14:paraId="486C3F46" w14:textId="3443E457" w:rsidR="00C671F5" w:rsidRPr="0098136F"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B9BAAC8" w14:textId="77777777" w:rsidR="00231C58" w:rsidRPr="0098136F" w:rsidRDefault="00231C58" w:rsidP="00C671F5">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98136F" w:rsidRDefault="00C671F5" w:rsidP="00C671F5">
      <w:pPr>
        <w:spacing w:after="0" w:line="240" w:lineRule="auto"/>
        <w:jc w:val="both"/>
        <w:rPr>
          <w:rFonts w:ascii="Times New Roman" w:hAnsi="Times New Roman" w:cs="Times New Roman"/>
          <w:b/>
          <w:bCs/>
          <w:i/>
          <w:iCs/>
          <w:sz w:val="24"/>
          <w:szCs w:val="24"/>
          <w:lang w:val="es-PE"/>
        </w:rPr>
      </w:pPr>
      <w:r w:rsidRPr="0098136F">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2CC185" w14:textId="77777777" w:rsidR="00C671F5" w:rsidRPr="0098136F" w:rsidRDefault="00C671F5" w:rsidP="00C671F5">
      <w:pPr>
        <w:spacing w:after="0" w:line="360" w:lineRule="auto"/>
        <w:jc w:val="both"/>
        <w:rPr>
          <w:rFonts w:ascii="Times New Roman" w:hAnsi="Times New Roman" w:cs="Times New Roman"/>
          <w:b/>
          <w:bCs/>
          <w:i/>
          <w:iCs/>
          <w:sz w:val="24"/>
          <w:szCs w:val="24"/>
          <w:lang w:val="es-PE"/>
        </w:rPr>
      </w:pPr>
    </w:p>
    <w:p w14:paraId="3408E6CE" w14:textId="15FE157D" w:rsidR="00C671F5" w:rsidRPr="0098136F" w:rsidRDefault="001A555F" w:rsidP="001A555F">
      <w:pPr>
        <w:spacing w:after="0" w:line="360" w:lineRule="auto"/>
        <w:jc w:val="center"/>
        <w:rPr>
          <w:rFonts w:ascii="Times New Roman" w:hAnsi="Times New Roman" w:cs="Times New Roman"/>
          <w:b/>
          <w:bCs/>
          <w:sz w:val="24"/>
          <w:szCs w:val="24"/>
          <w:lang w:val="es-PE"/>
        </w:rPr>
      </w:pPr>
      <w:r w:rsidRPr="0098136F">
        <w:rPr>
          <w:rFonts w:ascii="Times New Roman" w:hAnsi="Times New Roman" w:cs="Times New Roman"/>
          <w:b/>
          <w:bCs/>
          <w:sz w:val="24"/>
          <w:szCs w:val="24"/>
          <w:lang w:val="es-PE"/>
        </w:rPr>
        <w:t>María Eugenia Valdez Fernández Baca - Presidente</w:t>
      </w:r>
    </w:p>
    <w:p w14:paraId="7CE41ADF" w14:textId="0E336E74" w:rsidR="00C671F5" w:rsidRPr="0098136F" w:rsidRDefault="00231C58" w:rsidP="00C671F5">
      <w:pPr>
        <w:spacing w:after="0" w:line="360" w:lineRule="auto"/>
        <w:jc w:val="center"/>
        <w:rPr>
          <w:rFonts w:ascii="Times New Roman" w:hAnsi="Times New Roman" w:cs="Times New Roman"/>
          <w:b/>
          <w:bCs/>
          <w:sz w:val="24"/>
          <w:szCs w:val="24"/>
          <w:lang w:val="es-PE"/>
        </w:rPr>
      </w:pPr>
      <w:r w:rsidRPr="0098136F">
        <w:rPr>
          <w:rFonts w:ascii="Times New Roman" w:hAnsi="Times New Roman" w:cs="Times New Roman"/>
          <w:b/>
          <w:bCs/>
          <w:sz w:val="24"/>
          <w:szCs w:val="24"/>
          <w:lang w:val="es-PE"/>
        </w:rPr>
        <w:t xml:space="preserve">Rolando Eyzaguirre </w:t>
      </w:r>
      <w:proofErr w:type="spellStart"/>
      <w:r w:rsidRPr="0098136F">
        <w:rPr>
          <w:rFonts w:ascii="Times New Roman" w:hAnsi="Times New Roman" w:cs="Times New Roman"/>
          <w:b/>
          <w:bCs/>
          <w:sz w:val="24"/>
          <w:szCs w:val="24"/>
          <w:lang w:val="es-PE"/>
        </w:rPr>
        <w:t>Maccan</w:t>
      </w:r>
      <w:proofErr w:type="spellEnd"/>
      <w:r w:rsidRPr="0098136F">
        <w:rPr>
          <w:rFonts w:ascii="Times New Roman" w:hAnsi="Times New Roman" w:cs="Times New Roman"/>
          <w:b/>
          <w:bCs/>
          <w:sz w:val="24"/>
          <w:szCs w:val="24"/>
          <w:lang w:val="es-PE"/>
        </w:rPr>
        <w:t xml:space="preserve"> </w:t>
      </w:r>
      <w:r w:rsidR="00C671F5" w:rsidRPr="0098136F">
        <w:rPr>
          <w:rFonts w:ascii="Times New Roman" w:hAnsi="Times New Roman" w:cs="Times New Roman"/>
          <w:b/>
          <w:bCs/>
          <w:sz w:val="24"/>
          <w:szCs w:val="24"/>
          <w:lang w:val="es-PE"/>
        </w:rPr>
        <w:t>– Vocal</w:t>
      </w:r>
    </w:p>
    <w:p w14:paraId="55E7D9D7" w14:textId="45BE2008" w:rsidR="00C671F5" w:rsidRPr="0098136F" w:rsidRDefault="00007C03" w:rsidP="00C671F5">
      <w:pPr>
        <w:spacing w:after="0" w:line="360" w:lineRule="auto"/>
        <w:jc w:val="center"/>
        <w:rPr>
          <w:rFonts w:ascii="Times New Roman" w:hAnsi="Times New Roman" w:cs="Times New Roman"/>
          <w:b/>
          <w:bCs/>
          <w:sz w:val="24"/>
          <w:szCs w:val="24"/>
          <w:lang w:val="es-PE"/>
        </w:rPr>
      </w:pPr>
      <w:r w:rsidRPr="0098136F">
        <w:rPr>
          <w:rFonts w:ascii="Times New Roman" w:hAnsi="Times New Roman" w:cs="Times New Roman"/>
          <w:b/>
          <w:bCs/>
          <w:sz w:val="24"/>
          <w:szCs w:val="24"/>
          <w:lang w:val="es-PE"/>
        </w:rPr>
        <w:t xml:space="preserve">Omar Alfaro Villanueva </w:t>
      </w:r>
      <w:r w:rsidR="00C671F5" w:rsidRPr="0098136F">
        <w:rPr>
          <w:rFonts w:ascii="Times New Roman" w:hAnsi="Times New Roman" w:cs="Times New Roman"/>
          <w:b/>
          <w:bCs/>
          <w:sz w:val="24"/>
          <w:szCs w:val="24"/>
          <w:lang w:val="es-PE"/>
        </w:rPr>
        <w:t>– Vocal</w:t>
      </w:r>
    </w:p>
    <w:p w14:paraId="3A9CFE9F" w14:textId="4DFF4426" w:rsidR="00C671F5" w:rsidRPr="0098136F" w:rsidRDefault="00C671F5" w:rsidP="00C671F5">
      <w:pPr>
        <w:spacing w:after="0" w:line="360" w:lineRule="auto"/>
        <w:jc w:val="center"/>
        <w:rPr>
          <w:rFonts w:ascii="Times New Roman" w:hAnsi="Times New Roman" w:cs="Times New Roman"/>
          <w:sz w:val="24"/>
          <w:szCs w:val="24"/>
          <w:lang w:val="es-PE"/>
        </w:rPr>
      </w:pPr>
      <w:r w:rsidRPr="0098136F">
        <w:rPr>
          <w:rFonts w:ascii="Times New Roman" w:hAnsi="Times New Roman" w:cs="Times New Roman"/>
          <w:b/>
          <w:bCs/>
          <w:sz w:val="24"/>
          <w:szCs w:val="24"/>
          <w:lang w:val="es-PE"/>
        </w:rPr>
        <w:t xml:space="preserve">Gonzalo Abad del Busto </w:t>
      </w:r>
      <w:r w:rsidR="00231C58" w:rsidRPr="0098136F">
        <w:rPr>
          <w:rFonts w:ascii="Times New Roman" w:hAnsi="Times New Roman" w:cs="Times New Roman"/>
          <w:b/>
          <w:bCs/>
          <w:sz w:val="24"/>
          <w:szCs w:val="24"/>
          <w:lang w:val="es-PE"/>
        </w:rPr>
        <w:t xml:space="preserve">– </w:t>
      </w:r>
      <w:r w:rsidRPr="0098136F">
        <w:rPr>
          <w:rFonts w:ascii="Times New Roman" w:hAnsi="Times New Roman" w:cs="Times New Roman"/>
          <w:b/>
          <w:bCs/>
          <w:sz w:val="24"/>
          <w:szCs w:val="24"/>
          <w:lang w:val="es-PE"/>
        </w:rPr>
        <w:t>Vocal</w:t>
      </w:r>
    </w:p>
    <w:p w14:paraId="33E0FAB8" w14:textId="77777777" w:rsidR="00C671F5" w:rsidRPr="00FE73F3"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C671F5" w:rsidRDefault="00C671F5" w:rsidP="00C671F5">
      <w:pPr>
        <w:spacing w:line="240" w:lineRule="auto"/>
        <w:rPr>
          <w:rFonts w:ascii="Times New Roman" w:eastAsia="Arial Unicode MS" w:hAnsi="Times New Roman" w:cs="Times New Roman"/>
          <w:sz w:val="24"/>
          <w:szCs w:val="24"/>
          <w:lang w:val="es-ES" w:eastAsia="ar-SA"/>
        </w:rPr>
      </w:pPr>
    </w:p>
    <w:sectPr w:rsidR="00C671F5" w:rsidRPr="00C671F5" w:rsidSect="00077B6F">
      <w:headerReference w:type="default" r:id="rId10"/>
      <w:footerReference w:type="default" r:id="rId11"/>
      <w:headerReference w:type="first" r:id="rId14"/>
      <w:footerReference w:type="first" r:id="rId15"/>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FE789" w14:textId="77777777" w:rsidR="00426C11" w:rsidRDefault="00426C11" w:rsidP="00784355">
      <w:pPr>
        <w:spacing w:after="0" w:line="240" w:lineRule="auto"/>
      </w:pPr>
      <w:r>
        <w:separator/>
      </w:r>
    </w:p>
  </w:endnote>
  <w:endnote w:type="continuationSeparator" w:id="0">
    <w:p w14:paraId="440C8AFB" w14:textId="77777777" w:rsidR="00426C11" w:rsidRDefault="00426C11"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0D4EC" w14:textId="77777777" w:rsidR="00426C11" w:rsidRDefault="00426C11" w:rsidP="00784355">
      <w:pPr>
        <w:spacing w:after="0" w:line="240" w:lineRule="auto"/>
      </w:pPr>
      <w:r>
        <w:separator/>
      </w:r>
    </w:p>
  </w:footnote>
  <w:footnote w:type="continuationSeparator" w:id="0">
    <w:p w14:paraId="693EAA79" w14:textId="77777777" w:rsidR="00426C11" w:rsidRDefault="00426C11"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711341704">
    <w:abstractNumId w:val="1"/>
  </w:num>
  <w:num w:numId="2" w16cid:durableId="1929533434">
    <w:abstractNumId w:val="5"/>
  </w:num>
  <w:num w:numId="3" w16cid:durableId="333261791">
    <w:abstractNumId w:val="3"/>
  </w:num>
  <w:num w:numId="4" w16cid:durableId="1770345525">
    <w:abstractNumId w:val="2"/>
  </w:num>
  <w:num w:numId="5" w16cid:durableId="1816144979">
    <w:abstractNumId w:val="4"/>
  </w:num>
  <w:num w:numId="6" w16cid:durableId="1304313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235E9"/>
    <w:rsid w:val="0002637D"/>
    <w:rsid w:val="0002733C"/>
    <w:rsid w:val="00027978"/>
    <w:rsid w:val="00032687"/>
    <w:rsid w:val="0004480C"/>
    <w:rsid w:val="000512AD"/>
    <w:rsid w:val="00053D16"/>
    <w:rsid w:val="00056D9F"/>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16B6A"/>
    <w:rsid w:val="0012166D"/>
    <w:rsid w:val="00125B9B"/>
    <w:rsid w:val="001320DF"/>
    <w:rsid w:val="00136E12"/>
    <w:rsid w:val="001373AF"/>
    <w:rsid w:val="001377EF"/>
    <w:rsid w:val="00150874"/>
    <w:rsid w:val="001508BC"/>
    <w:rsid w:val="001529FE"/>
    <w:rsid w:val="00160361"/>
    <w:rsid w:val="001703D8"/>
    <w:rsid w:val="00170E39"/>
    <w:rsid w:val="00174918"/>
    <w:rsid w:val="00174DA5"/>
    <w:rsid w:val="00181908"/>
    <w:rsid w:val="00181DCE"/>
    <w:rsid w:val="00187BFD"/>
    <w:rsid w:val="001A008A"/>
    <w:rsid w:val="001A3395"/>
    <w:rsid w:val="001A44E1"/>
    <w:rsid w:val="001A555F"/>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A33"/>
    <w:rsid w:val="00241719"/>
    <w:rsid w:val="00243F6B"/>
    <w:rsid w:val="002528B8"/>
    <w:rsid w:val="0026162A"/>
    <w:rsid w:val="0027261F"/>
    <w:rsid w:val="00272F4F"/>
    <w:rsid w:val="0027301E"/>
    <w:rsid w:val="00274985"/>
    <w:rsid w:val="002768C6"/>
    <w:rsid w:val="00276A92"/>
    <w:rsid w:val="00277667"/>
    <w:rsid w:val="00283E79"/>
    <w:rsid w:val="00290CA4"/>
    <w:rsid w:val="002A31D3"/>
    <w:rsid w:val="002A7E2E"/>
    <w:rsid w:val="002B726E"/>
    <w:rsid w:val="002C2A0F"/>
    <w:rsid w:val="002D0DB0"/>
    <w:rsid w:val="002D3B01"/>
    <w:rsid w:val="002E0275"/>
    <w:rsid w:val="002E1221"/>
    <w:rsid w:val="002E17F9"/>
    <w:rsid w:val="002F09CA"/>
    <w:rsid w:val="002F35F0"/>
    <w:rsid w:val="003045E3"/>
    <w:rsid w:val="00314603"/>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D5F8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81235"/>
    <w:rsid w:val="00784355"/>
    <w:rsid w:val="007906AF"/>
    <w:rsid w:val="00794424"/>
    <w:rsid w:val="007950DD"/>
    <w:rsid w:val="007965C0"/>
    <w:rsid w:val="00797191"/>
    <w:rsid w:val="007A09BB"/>
    <w:rsid w:val="007A4108"/>
    <w:rsid w:val="007A4EA9"/>
    <w:rsid w:val="007A7F95"/>
    <w:rsid w:val="007B1018"/>
    <w:rsid w:val="007B395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B5C61"/>
    <w:rsid w:val="008D6DDF"/>
    <w:rsid w:val="008F1161"/>
    <w:rsid w:val="008F479E"/>
    <w:rsid w:val="009011F1"/>
    <w:rsid w:val="009127A6"/>
    <w:rsid w:val="0091528B"/>
    <w:rsid w:val="009157B1"/>
    <w:rsid w:val="00917CAF"/>
    <w:rsid w:val="009272D7"/>
    <w:rsid w:val="009305A8"/>
    <w:rsid w:val="00933532"/>
    <w:rsid w:val="00943343"/>
    <w:rsid w:val="00946694"/>
    <w:rsid w:val="00951B99"/>
    <w:rsid w:val="00951CDB"/>
    <w:rsid w:val="00955C03"/>
    <w:rsid w:val="00964237"/>
    <w:rsid w:val="00966813"/>
    <w:rsid w:val="00967B16"/>
    <w:rsid w:val="0097301B"/>
    <w:rsid w:val="00974D2D"/>
    <w:rsid w:val="009754DD"/>
    <w:rsid w:val="0098136F"/>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5A9E"/>
    <w:rsid w:val="00AD1FEC"/>
    <w:rsid w:val="00AD2DF1"/>
    <w:rsid w:val="00AE4125"/>
    <w:rsid w:val="00AF5E87"/>
    <w:rsid w:val="00B00552"/>
    <w:rsid w:val="00B02BEE"/>
    <w:rsid w:val="00B11C1C"/>
    <w:rsid w:val="00B17BD8"/>
    <w:rsid w:val="00B30B53"/>
    <w:rsid w:val="00B313E9"/>
    <w:rsid w:val="00B32325"/>
    <w:rsid w:val="00B340A4"/>
    <w:rsid w:val="00B340D4"/>
    <w:rsid w:val="00B355EC"/>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9376B"/>
    <w:rsid w:val="00C9581A"/>
    <w:rsid w:val="00C960BE"/>
    <w:rsid w:val="00C9791B"/>
    <w:rsid w:val="00CA3682"/>
    <w:rsid w:val="00CB44BB"/>
    <w:rsid w:val="00CC4AEF"/>
    <w:rsid w:val="00CC6C0C"/>
    <w:rsid w:val="00CD4BE8"/>
    <w:rsid w:val="00CF158B"/>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E73F3"/>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theme" Target="theme/theme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0786BDF8-70A9-4EDF-8931-D8921994C062}"/>
</file>

<file path=customXml/itemProps3.xml><?xml version="1.0" encoding="utf-8"?>
<ds:datastoreItem xmlns:ds="http://schemas.openxmlformats.org/officeDocument/2006/customXml" ds:itemID="{6123190C-7CCD-4A04-B2A2-35643B7FE75C}"/>
</file>

<file path=customXml/itemProps4.xml><?xml version="1.0" encoding="utf-8"?>
<ds:datastoreItem xmlns:ds="http://schemas.openxmlformats.org/officeDocument/2006/customXml" ds:itemID="{80F589A2-93D8-4EC9-B145-92ED4F89B6B2}"/>
</file>

<file path=docProps/app.xml><?xml version="1.0" encoding="utf-8"?>
<Properties xmlns="http://schemas.openxmlformats.org/officeDocument/2006/extended-properties" xmlns:vt="http://schemas.openxmlformats.org/officeDocument/2006/docPropsVTypes">
  <Template>Normal</Template>
  <TotalTime>4</TotalTime>
  <Pages>3</Pages>
  <Words>1203</Words>
  <Characters>6617</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13</cp:revision>
  <cp:lastPrinted>2023-03-16T21:12:00Z</cp:lastPrinted>
  <dcterms:created xsi:type="dcterms:W3CDTF">2023-02-14T22:37:00Z</dcterms:created>
  <dcterms:modified xsi:type="dcterms:W3CDTF">2023-03-16T21:12:00Z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