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B5079" w:rsidR="00707C99" w:rsidP="00272F4F" w:rsidRDefault="00201C0D" w14:paraId="19FE0E96" w14:textId="1DC516D0">
      <w:pPr>
        <w:spacing w:after="0" w:line="240" w:lineRule="auto"/>
        <w:jc w:val="center"/>
        <w:rPr>
          <w:rFonts w:ascii="Times New Roman" w:hAnsi="Times New Roman" w:cs="Times New Roman"/>
          <w:b/>
          <w:sz w:val="24"/>
          <w:szCs w:val="24"/>
          <w:lang w:val="es-PE" w:eastAsia="ar-SA"/>
        </w:rPr>
      </w:pPr>
      <w:r w:rsidRPr="00DB5079">
        <w:rPr>
          <w:rFonts w:ascii="Times New Roman" w:hAnsi="Times New Roman" w:cs="Times New Roman"/>
          <w:b/>
          <w:sz w:val="24"/>
          <w:szCs w:val="24"/>
          <w:lang w:val="es-PE" w:eastAsia="ar-SA"/>
        </w:rPr>
        <w:t xml:space="preserve">RESOLUCIÓN DE RECURSO IMPUGNATIVO </w:t>
      </w:r>
      <w:proofErr w:type="spellStart"/>
      <w:r w:rsidRPr="00DB5079" w:rsidR="00707C99">
        <w:rPr>
          <w:rFonts w:ascii="Times New Roman" w:hAnsi="Times New Roman" w:cs="Times New Roman"/>
          <w:b/>
          <w:sz w:val="24"/>
          <w:szCs w:val="24"/>
          <w:lang w:val="es-PE" w:eastAsia="ar-SA"/>
        </w:rPr>
        <w:t>N°</w:t>
      </w:r>
      <w:proofErr w:type="spellEnd"/>
      <w:r w:rsidRPr="00DB5079" w:rsidR="00707C99">
        <w:rPr>
          <w:rFonts w:ascii="Times New Roman" w:hAnsi="Times New Roman" w:cs="Times New Roman"/>
          <w:b/>
          <w:sz w:val="24"/>
          <w:szCs w:val="24"/>
          <w:lang w:val="es-PE" w:eastAsia="ar-SA"/>
        </w:rPr>
        <w:t xml:space="preserve"> </w:t>
      </w:r>
      <w:r w:rsidRPr="00DB5079" w:rsidR="00C671F5">
        <w:rPr>
          <w:rFonts w:ascii="Times New Roman" w:hAnsi="Times New Roman" w:cs="Times New Roman"/>
          <w:b/>
          <w:sz w:val="24"/>
          <w:szCs w:val="24"/>
          <w:lang w:val="es-PE" w:eastAsia="ar-SA"/>
        </w:rPr>
        <w:t>0</w:t>
      </w:r>
      <w:r w:rsidRPr="00DB5079" w:rsidR="000512AD">
        <w:rPr>
          <w:rFonts w:ascii="Times New Roman" w:hAnsi="Times New Roman" w:cs="Times New Roman"/>
          <w:b/>
          <w:sz w:val="24"/>
          <w:szCs w:val="24"/>
          <w:lang w:val="es-PE" w:eastAsia="ar-SA"/>
        </w:rPr>
        <w:t>0</w:t>
      </w:r>
      <w:r w:rsidRPr="00DB5079" w:rsidR="00772376">
        <w:rPr>
          <w:rFonts w:ascii="Times New Roman" w:hAnsi="Times New Roman" w:cs="Times New Roman"/>
          <w:b/>
          <w:sz w:val="24"/>
          <w:szCs w:val="24"/>
          <w:lang w:val="es-PE" w:eastAsia="ar-SA"/>
        </w:rPr>
        <w:t>9</w:t>
      </w:r>
      <w:r w:rsidRPr="00DB5079" w:rsidR="00C671F5">
        <w:rPr>
          <w:rFonts w:ascii="Times New Roman" w:hAnsi="Times New Roman" w:cs="Times New Roman"/>
          <w:b/>
          <w:sz w:val="24"/>
          <w:szCs w:val="24"/>
          <w:lang w:val="es-PE" w:eastAsia="ar-SA"/>
        </w:rPr>
        <w:t>/2</w:t>
      </w:r>
      <w:r w:rsidRPr="00DB5079" w:rsidR="00AB7BFE">
        <w:rPr>
          <w:rFonts w:ascii="Times New Roman" w:hAnsi="Times New Roman" w:cs="Times New Roman"/>
          <w:b/>
          <w:sz w:val="24"/>
          <w:szCs w:val="24"/>
          <w:lang w:val="es-PE" w:eastAsia="ar-SA"/>
        </w:rPr>
        <w:t>3</w:t>
      </w:r>
    </w:p>
    <w:p w:rsidRPr="00DB5079" w:rsidR="00411866" w:rsidP="00411866" w:rsidRDefault="00411866" w14:paraId="3FC3AA9F" w14:textId="77777777">
      <w:pPr>
        <w:spacing w:after="0" w:line="240" w:lineRule="auto"/>
        <w:rPr>
          <w:rFonts w:ascii="Times New Roman" w:hAnsi="Times New Roman" w:cs="Times New Roman"/>
          <w:sz w:val="24"/>
          <w:szCs w:val="24"/>
          <w:lang w:val="es-PE"/>
        </w:rPr>
      </w:pPr>
    </w:p>
    <w:p w:rsidRPr="00DB5079" w:rsidR="00DB5079" w:rsidP="00DB5079" w:rsidRDefault="00DB5079" w14:paraId="1A4CE2CC" w14:textId="77777777">
      <w:pPr>
        <w:spacing w:line="240" w:lineRule="auto"/>
        <w:jc w:val="both"/>
        <w:outlineLvl w:val="0"/>
        <w:rPr>
          <w:rFonts w:ascii="Times New Roman" w:hAnsi="Times New Roman" w:cs="Times New Roman"/>
          <w:b/>
          <w:bCs/>
          <w:sz w:val="24"/>
          <w:szCs w:val="24"/>
          <w:lang w:val="es-MX"/>
        </w:rPr>
      </w:pPr>
      <w:r w:rsidRPr="00DB5079">
        <w:rPr>
          <w:rFonts w:ascii="Times New Roman" w:hAnsi="Times New Roman" w:cs="Times New Roman"/>
          <w:b/>
          <w:bCs/>
          <w:sz w:val="24"/>
          <w:szCs w:val="24"/>
          <w:lang w:val="es-MX"/>
        </w:rPr>
        <w:t>VISTOS:</w:t>
      </w:r>
    </w:p>
    <w:p w:rsidRPr="00DB5079" w:rsidR="00DB5079" w:rsidP="00DB5079" w:rsidRDefault="00DB5079" w14:paraId="12A5638F" w14:textId="727BBB2E">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032/23, expedida por el Órgano Resolutivo Unipersonal de esta Defensoría del Asegurado (DEFASEG), conforme a la cual se declaró FUNDADA la reclamación interpuesta por ................................................................. respecto al ………………… N° ...........................;</w:t>
      </w:r>
    </w:p>
    <w:p w:rsidRPr="00DB5079" w:rsidR="00DB5079" w:rsidP="00DB5079" w:rsidRDefault="00DB5079" w14:paraId="6DE9284F" w14:textId="411CC288">
      <w:pPr>
        <w:pStyle w:val="Textoindependiente"/>
        <w:spacing w:line="240" w:lineRule="auto"/>
      </w:pPr>
      <w:r>
        <w:rPr>
          <w:rFonts w:ascii="Times New Roman" w:hAnsi="Times New Roman"/>
          <w:sz w:val="24"/>
        </w:rPr>
        <w:t xml:space="preserve">Que, el indicado recurso se sustenta resumidamente en lo siguiente: a) El pronunciamiento emitido no se basa en una debida valoración de los medios probatorios y argumentos aportados por nuestra compañía; así como en una debida interpretación de los hechos; b)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c) la operación no reconocida fue efectuada con presencia de todas las medidas de seguridad; lo cual ha sido constatado por el ............... En ese sentido, se ha descartado un posible caso de clonación o adulteración de la tarjeta de crédito; d) en el supuesto negado que lo señalado por el Órgano Unipersonal sea cierto, respecto a que la cobertura no menciona mayor detalle, y que la cobertura ante compra fraudulenta vía internet no limita el riesgo a determinadas modalidades delictivas; no se ha tomado en cuenta la omisión – por parte del asegurado – de bloquear la tarjeta. Tampoco correspondería amparar el reclamo debido a que el asegurado no cumplió con la obligación de bloquear la tarjeta dentro de las 4 horas de conocido el siniestro; tal como se señala en la póliza. Ello no ha sido tomado en cuenta al momento de resolver. Por el contrario, se ha señalado que en la Carta de Rechazo N° ………………… alegó el</w:t>
      </w:r>
    </w:p>
    <w:p w:rsidRPr="00DB5079" w:rsidR="00DB5079" w:rsidP="00DB5079" w:rsidRDefault="00DB5079" w14:paraId="24BC43DB" w14:textId="77777777">
      <w:pPr>
        <w:pStyle w:val="Textoindependiente"/>
        <w:spacing w:line="240" w:lineRule="auto"/>
      </w:pPr>
      <w:r w:rsidRPr="00DB5079">
        <w:rPr>
          <w:rFonts w:ascii="Times New Roman" w:hAnsi="Times New Roman"/>
          <w:sz w:val="24"/>
        </w:rPr>
        <w:t>bloqueo extemporáneo de la tarjeta; e) lo señalado por el Órgano Unipersonal respecto a la falta de bloqueo de la tarjeta es incorrecto, pues implica que un error u omisión en la calificación del siniestro generaría derecho a favor del asegurado. Al respecto es sabido que el error no genera derechos; más aún cuando el asegurado no cumplió una carga y obligación, lo cual implica la pérdida de la cobertura; f) según el artículo 1361 del Código Civil, los contratos son obligatorios para las partes en cuanto se haya expresado en ellos (lo cual incluye las cargas y obligaciones por parte del asegurado, en el presente caso el bloqueo de la tarjeta en el plazo convenido).  Asimismo, el artículo 1 de la Ley N°29946, Ley del Contrato de Seguros, señala que el contrato de seguro es aquel por el cual el asegurador se obliga a indemnizar, dentro de los límites pactados.</w:t>
      </w:r>
    </w:p>
    <w:p w:rsidRPr="00DB5079" w:rsidR="00DB5079" w:rsidP="00DB5079" w:rsidRDefault="00DB5079" w14:paraId="6583E46D" w14:textId="77777777">
      <w:pPr>
        <w:pStyle w:val="Textoindependiente"/>
        <w:spacing w:line="240" w:lineRule="auto"/>
      </w:pPr>
    </w:p>
    <w:p w:rsidRPr="00EA21E9" w:rsidR="00DB5079" w:rsidP="00DB5079" w:rsidRDefault="00DB5079" w14:paraId="0FDF0876" w14:textId="5B1B013B">
      <w:pPr>
        <w:pStyle w:val="Textoindependiente"/>
        <w:spacing w:line="240" w:lineRule="auto"/>
        <w:rPr>
          <w:lang w:val="es-PE"/>
        </w:rPr>
      </w:pPr>
      <w:r w:rsidR="00DB5079">
        <w:rPr>
          <w:rFonts w:ascii="Times New Roman" w:hAnsi="Times New Roman"/>
          <w:sz w:val="24"/>
        </w:rPr>
        <w:t xml:space="preserve">Que, el reclamante absolvió el traslado del recurso impugnatorio indicando, en síntesis, lo siguiente: a) Es inaudito que la aseguradora </w:t>
      </w:r>
      <w:r w:rsidR="12E945F5">
        <w:rPr>
          <w:rFonts w:ascii="Times New Roman" w:hAnsi="Times New Roman"/>
          <w:sz w:val="24"/>
        </w:rPr>
        <w:t>..................................</w:t>
      </w:r>
      <w:r w:rsidR="00DB5079">
        <w:rPr>
          <w:rFonts w:ascii="Times New Roman" w:hAnsi="Times New Roman"/>
          <w:sz w:val="24"/>
        </w:rPr>
        <w:t xml:space="preserve"> persista en continuar con la negación de cobertura con argumentos absurdos, los mismos que la Defensoría del Asegurado dejó en claro que no se pronunciaría al respecto por no ser objeto al motivo de la negación de cobertura.; b) en la hoja de reclamación </w:t>
      </w:r>
      <w:r w:rsidR="00DB5079">
        <w:rPr>
          <w:rFonts w:ascii="Times New Roman" w:hAnsi="Times New Roman"/>
          <w:sz w:val="24"/>
        </w:rPr>
        <w:t>N°</w:t>
      </w:r>
      <w:r w:rsidR="00DB5079">
        <w:rPr>
          <w:rFonts w:ascii="Times New Roman" w:hAnsi="Times New Roman"/>
          <w:sz w:val="24"/>
        </w:rPr>
        <w:t xml:space="preserve"> </w:t>
      </w:r>
      <w:r w:rsidR="16C4487A">
        <w:rPr>
          <w:rFonts w:ascii="Times New Roman" w:hAnsi="Times New Roman"/>
          <w:sz w:val="24"/>
        </w:rPr>
        <w:t>........................</w:t>
      </w:r>
      <w:r w:rsidR="00DB5079">
        <w:rPr>
          <w:rFonts w:ascii="Times New Roman" w:hAnsi="Times New Roman"/>
          <w:sz w:val="24"/>
        </w:rPr>
        <w:t xml:space="preserve"> presentado al banco </w:t>
      </w:r>
      <w:r w:rsidR="6E3713F4">
        <w:rPr>
          <w:rFonts w:ascii="Times New Roman" w:hAnsi="Times New Roman"/>
          <w:sz w:val="24"/>
        </w:rPr>
        <w:t>..............</w:t>
      </w:r>
      <w:r w:rsidR="00DB5079">
        <w:rPr>
          <w:rFonts w:ascii="Times New Roman" w:hAnsi="Times New Roman"/>
          <w:sz w:val="24"/>
        </w:rPr>
        <w:t xml:space="preserve"> detalla sobre la compra no reconocida por su persona e informa sobre no bloquear la tarjeta de crédito por encontrarse fuera de </w:t>
      </w:r>
      <w:r w:rsidR="00DB5079">
        <w:rPr>
          <w:rFonts w:ascii="Times New Roman" w:hAnsi="Times New Roman"/>
          <w:sz w:val="24"/>
        </w:rPr>
        <w:t>lima ,</w:t>
      </w:r>
      <w:r w:rsidR="00DB5079">
        <w:rPr>
          <w:rFonts w:ascii="Times New Roman" w:hAnsi="Times New Roman"/>
          <w:sz w:val="24"/>
        </w:rPr>
        <w:t xml:space="preserve"> la misma que por ser la Tarjeta </w:t>
      </w:r>
      <w:r w:rsidR="70DE3A93">
        <w:rPr>
          <w:rFonts w:ascii="Times New Roman" w:hAnsi="Times New Roman"/>
          <w:sz w:val="24"/>
        </w:rPr>
        <w:t>.............................</w:t>
      </w:r>
      <w:r w:rsidR="00DB5079">
        <w:rPr>
          <w:rFonts w:ascii="Times New Roman" w:hAnsi="Times New Roman"/>
          <w:sz w:val="24"/>
        </w:rPr>
        <w:t xml:space="preserve"> no se tiene stock en todas las agencias al nivel nacional, en su defecto seria solicitar y recibirla varios días después, pues la tarjeta era su único medio de pago para poder solventar mis gastos y movilidad (caso fortuito y fuerza mayor) que le obligó a solicitar el “no bloqueo de la tarjeta”; c) cómo </w:t>
      </w:r>
      <w:r w:rsidR="00DB5079">
        <w:rPr>
          <w:rFonts w:ascii="Times New Roman" w:hAnsi="Times New Roman"/>
          <w:sz w:val="24"/>
        </w:rPr>
        <w:t xml:space="preserve">ellos mismos afirman de acuerdo a las condiciones de la póliza “uso indebido por compra fraudulenta vía internet” (medios digitales), cubre el monto que representen las compras fraudulentas con la tarjetas de crédito </w:t>
      </w:r>
      <w:r w:rsidR="6E3713F4">
        <w:rPr>
          <w:rFonts w:ascii="Times New Roman" w:hAnsi="Times New Roman"/>
          <w:sz w:val="24"/>
        </w:rPr>
        <w:t>..............</w:t>
      </w:r>
      <w:r w:rsidR="00DB5079">
        <w:rPr>
          <w:rFonts w:ascii="Times New Roman" w:hAnsi="Times New Roman"/>
          <w:sz w:val="24"/>
        </w:rPr>
        <w:t xml:space="preserve"> sin la autorización y el consentimiento del titular, basados </w:t>
      </w:r>
      <w:r w:rsidR="00DB5079">
        <w:rPr>
          <w:rFonts w:ascii="Times New Roman" w:hAnsi="Times New Roman"/>
          <w:sz w:val="24"/>
        </w:rPr>
        <w:t>según ellos</w:t>
      </w:r>
      <w:r w:rsidR="00DB5079">
        <w:rPr>
          <w:rFonts w:ascii="Times New Roman" w:hAnsi="Times New Roman"/>
          <w:sz w:val="24"/>
        </w:rPr>
        <w:t xml:space="preserve"> por algún reporte por parte del banco </w:t>
      </w:r>
      <w:r w:rsidR="6E3713F4">
        <w:rPr>
          <w:rFonts w:ascii="Times New Roman" w:hAnsi="Times New Roman"/>
          <w:sz w:val="24"/>
        </w:rPr>
        <w:t>..............</w:t>
      </w:r>
      <w:r w:rsidR="00DB5079">
        <w:rPr>
          <w:rFonts w:ascii="Times New Roman" w:hAnsi="Times New Roman"/>
          <w:sz w:val="24"/>
        </w:rPr>
        <w:t xml:space="preserve">, dónde supuestamente ellos </w:t>
      </w:r>
      <w:r w:rsidR="00DB5079">
        <w:rPr>
          <w:rFonts w:ascii="Times New Roman" w:hAnsi="Times New Roman"/>
          <w:sz w:val="24"/>
        </w:rPr>
        <w:t>afirman que la compra fue realizada con todos los medios de seguridad</w:t>
      </w:r>
      <w:r w:rsidR="00EA21E9">
        <w:rPr>
          <w:rFonts w:ascii="Times New Roman" w:hAnsi="Times New Roman"/>
          <w:sz w:val="24"/>
        </w:rPr>
        <w:t xml:space="preserve">. Para </w:t>
      </w:r>
      <w:r w:rsidR="00EA21E9">
        <w:rPr>
          <w:rFonts w:ascii="Times New Roman" w:hAnsi="Times New Roman"/>
          <w:sz w:val="24"/>
        </w:rPr>
        <w:t xml:space="preserve">realizar compras vía web (medios digitales) solo se requiere los datos impresos en el plástico (tarjeta de crédito) entonces la aseguradora </w:t>
      </w:r>
      <w:r w:rsidR="494C31F4">
        <w:rPr>
          <w:rFonts w:ascii="Times New Roman" w:hAnsi="Times New Roman"/>
          <w:sz w:val="24"/>
        </w:rPr>
        <w:t>...............</w:t>
      </w:r>
      <w:r w:rsidR="00EA21E9">
        <w:rPr>
          <w:rFonts w:ascii="Times New Roman" w:hAnsi="Times New Roman"/>
          <w:sz w:val="24"/>
        </w:rPr>
        <w:t xml:space="preserve"> no puede pretender sorprender con decir “ fueron realizados con todas las medidas de seguridad” cuando no se necesitan medidas de seguridad si no tan solo los datos impresos en el plástico</w:t>
      </w:r>
      <w:r w:rsidR="00DB5079">
        <w:rPr>
          <w:rFonts w:ascii="Times New Roman" w:hAnsi="Times New Roman"/>
          <w:sz w:val="24"/>
        </w:rPr>
        <w:t xml:space="preserve">; d) en el punto 18.3 de la póliza de seguros dice lo siguiente, el incumplimiento de las presentes cargas podría ocasionar la perdida de los derechos indemnizatorios, salvo que haya </w:t>
      </w:r>
      <w:r w:rsidR="00DB5079">
        <w:rPr>
          <w:rFonts w:ascii="Times New Roman" w:hAnsi="Times New Roman"/>
          <w:sz w:val="24"/>
        </w:rPr>
        <w:t xml:space="preserve">sido imposible cumplir con dicha carga por caso fortuito o fuerza mayor debidamente acreditada “ entonces señores de </w:t>
      </w:r>
      <w:r w:rsidR="00DB5079">
        <w:rPr>
          <w:rFonts w:ascii="Times New Roman" w:hAnsi="Times New Roman"/>
          <w:sz w:val="24"/>
        </w:rPr>
        <w:t>Defaseg</w:t>
      </w:r>
      <w:r w:rsidR="00DB5079">
        <w:rPr>
          <w:rFonts w:ascii="Times New Roman" w:hAnsi="Times New Roman"/>
          <w:sz w:val="24"/>
        </w:rPr>
        <w:t xml:space="preserve"> estamos viendo que en mi reclamo </w:t>
      </w:r>
      <w:r w:rsidR="00DB5079">
        <w:rPr>
          <w:rFonts w:ascii="Times New Roman" w:hAnsi="Times New Roman"/>
          <w:sz w:val="24"/>
        </w:rPr>
        <w:t>N°</w:t>
      </w:r>
      <w:r w:rsidR="00DB5079">
        <w:rPr>
          <w:rFonts w:ascii="Times New Roman" w:hAnsi="Times New Roman"/>
          <w:sz w:val="24"/>
        </w:rPr>
        <w:t xml:space="preserve"> </w:t>
      </w:r>
      <w:r w:rsidR="16C4487A">
        <w:rPr>
          <w:rFonts w:ascii="Times New Roman" w:hAnsi="Times New Roman"/>
          <w:sz w:val="24"/>
        </w:rPr>
        <w:t>........................</w:t>
      </w:r>
      <w:r w:rsidR="00DB5079">
        <w:rPr>
          <w:rFonts w:ascii="Times New Roman" w:hAnsi="Times New Roman"/>
          <w:sz w:val="24"/>
        </w:rPr>
        <w:t xml:space="preserve"> ante el banco </w:t>
      </w:r>
      <w:r w:rsidR="6E3713F4">
        <w:rPr>
          <w:rFonts w:ascii="Times New Roman" w:hAnsi="Times New Roman"/>
          <w:sz w:val="24"/>
        </w:rPr>
        <w:t>..............</w:t>
      </w:r>
      <w:r w:rsidR="00DB5079">
        <w:rPr>
          <w:rFonts w:ascii="Times New Roman" w:hAnsi="Times New Roman"/>
          <w:sz w:val="24"/>
        </w:rPr>
        <w:t xml:space="preserve"> acreditó que por fuerza mayor y por ser un caso fortuito no pude realizar el bloqueo o carga por ser su único sustento para “alimentación y transporte” y tener una tarjeta poco común por así decirlo que no se puede hacer el cambio a la brevedad.</w:t>
      </w:r>
    </w:p>
    <w:p w:rsidRPr="00DB5079" w:rsidR="00DB5079" w:rsidP="00DB5079" w:rsidRDefault="00DB5079" w14:paraId="7A5448B1" w14:textId="77777777">
      <w:pPr>
        <w:pStyle w:val="Textoindependiente"/>
        <w:spacing w:line="240" w:lineRule="auto"/>
      </w:pPr>
    </w:p>
    <w:p w:rsidRPr="00DB5079" w:rsidR="00DB5079" w:rsidP="00DB5079" w:rsidRDefault="00DB5079" w14:paraId="0E75A67D" w14:textId="77777777">
      <w:pPr>
        <w:pStyle w:val="Textoindependiente"/>
        <w:spacing w:line="240" w:lineRule="auto"/>
      </w:pPr>
      <w:r w:rsidRPr="00DB5079">
        <w:rPr>
          <w:rFonts w:ascii="Times New Roman" w:hAnsi="Times New Roman"/>
          <w:sz w:val="24"/>
        </w:rPr>
        <w:t>Que, las partes absolvieron los escritos presentados reiterando los argumentos ya expuestos.</w:t>
      </w:r>
    </w:p>
    <w:p w:rsidRPr="00DB5079" w:rsidR="00DB5079" w:rsidP="00DB5079" w:rsidRDefault="00DB5079" w14:paraId="5280CA5F" w14:textId="77777777">
      <w:pPr>
        <w:pStyle w:val="Textoindependiente"/>
        <w:spacing w:line="240" w:lineRule="auto"/>
        <w:rPr>
          <w:bCs w:val="0"/>
          <w:color w:val="000000"/>
          <w:lang w:val="es-PE" w:eastAsia="es-PE"/>
        </w:rPr>
      </w:pPr>
    </w:p>
    <w:p w:rsidR="00DB5079" w:rsidP="00D322D9" w:rsidRDefault="00DB5079" w14:paraId="0E3BE66D" w14:textId="6C60B3FC">
      <w:pPr>
        <w:pStyle w:val="Textoindependiente"/>
        <w:tabs>
          <w:tab w:val="left" w:pos="930"/>
        </w:tabs>
        <w:spacing w:line="240" w:lineRule="auto"/>
      </w:pPr>
      <w:r w:rsidRPr="00DB5079">
        <w:rPr>
          <w:rFonts w:ascii="Times New Roman" w:hAnsi="Times New Roman"/>
          <w:sz w:val="24"/>
        </w:rPr>
        <w:t>Que, atendiendo a lo señalado, esta Defensoría resuelve finalmente lo siguiente:</w:t>
      </w:r>
    </w:p>
    <w:p w:rsidRPr="00D322D9" w:rsidR="00D322D9" w:rsidP="00D322D9" w:rsidRDefault="00D322D9" w14:paraId="0CC88EB6" w14:textId="77777777">
      <w:pPr>
        <w:pStyle w:val="Textoindependiente"/>
        <w:tabs>
          <w:tab w:val="left" w:pos="930"/>
        </w:tabs>
        <w:spacing w:line="240" w:lineRule="auto"/>
      </w:pPr>
    </w:p>
    <w:p w:rsidRPr="00DB5079" w:rsidR="00DB5079" w:rsidP="00DB5079" w:rsidRDefault="00DB5079" w14:paraId="2B03A88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DB5079" w:rsidR="00DB5079" w:rsidP="00DB5079" w:rsidRDefault="00DB5079" w14:paraId="46654771"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DB5079" w:rsidR="00DB5079" w:rsidP="00DB5079" w:rsidRDefault="00DB5079" w14:paraId="36729251"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se sustenta en señalar que (i) la cobertura N°4 del seguro implica aquellos supuestos en los cuales, por robo o hurto de la tarjeta asegurada, se realizan compras vía internet y (ii) el asegurado bloqueo la tarjeta e interpuso la denuncia policial de forma extemporánea, incumpliéndose dos cargas contractuales.</w:t>
      </w:r>
    </w:p>
    <w:p w:rsidRPr="00DB5079" w:rsidR="00DB5079" w:rsidP="00DB5079" w:rsidRDefault="00DB5079" w14:paraId="64640637" w14:textId="77777777">
      <w:pPr>
        <w:spacing w:line="240" w:lineRule="auto"/>
        <w:jc w:val="both"/>
        <w:rPr>
          <w:rFonts w:ascii="Times New Roman" w:hAnsi="Times New Roman" w:cs="Times New Roman"/>
          <w:sz w:val="24"/>
          <w:szCs w:val="24"/>
          <w:lang w:val="es-ES"/>
        </w:rPr>
      </w:pPr>
      <w:r w:rsidRPr="00DB5079">
        <w:rPr>
          <w:rFonts w:ascii="Times New Roman" w:hAnsi="Times New Roman" w:cs="Times New Roman"/>
          <w:sz w:val="24"/>
          <w:szCs w:val="24"/>
          <w:lang w:val="es-PE"/>
        </w:rPr>
        <w:t xml:space="preserve">Sobre el particular, este Colegiado advierte que, la Resolución Nro. 032/23, expedida por el Órgano Resolutivo Unipersonal de esta Defensoría del Asegurado (DEFASEG), se fundamenta en que la definición de la cobertura </w:t>
      </w:r>
      <w:proofErr w:type="spellStart"/>
      <w:r w:rsidRPr="00DB5079">
        <w:rPr>
          <w:rFonts w:ascii="Times New Roman" w:hAnsi="Times New Roman" w:cs="Times New Roman"/>
          <w:sz w:val="24"/>
          <w:szCs w:val="24"/>
          <w:lang w:val="es-PE"/>
        </w:rPr>
        <w:t>N°</w:t>
      </w:r>
      <w:proofErr w:type="spellEnd"/>
      <w:r w:rsidRPr="00DB5079">
        <w:rPr>
          <w:rFonts w:ascii="Times New Roman" w:hAnsi="Times New Roman" w:cs="Times New Roman"/>
          <w:sz w:val="24"/>
          <w:szCs w:val="24"/>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Pr="00DB5079" w:rsidR="00DB5079" w:rsidP="00DB5079" w:rsidRDefault="00DB5079" w14:paraId="6C4F4F2F" w14:textId="77777777">
      <w:pPr>
        <w:pStyle w:val="Default"/>
        <w:spacing w:line="240" w:lineRule="auto"/>
        <w:jc w:val="both"/>
        <w:rPr>
          <w:rFonts w:ascii="Times New Roman" w:hAnsi="Times New Roman" w:cs="Times New Roman"/>
        </w:rPr>
      </w:pPr>
      <w:r w:rsidRPr="00DB5079">
        <w:rPr>
          <w:rFonts w:ascii="Times New Roman" w:hAnsi="Times New Roman" w:cs="Times New Roman"/>
          <w:sz w:val="24"/>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Pr="00DB5079" w:rsidR="00DB5079" w:rsidP="00DB5079" w:rsidRDefault="00DB5079" w14:paraId="399DAACC" w14:textId="77777777">
      <w:pPr>
        <w:pStyle w:val="Default"/>
        <w:spacing w:line="240" w:lineRule="auto"/>
        <w:jc w:val="both"/>
        <w:rPr>
          <w:rFonts w:ascii="Times New Roman" w:hAnsi="Times New Roman" w:cs="Times New Roman"/>
        </w:rPr>
      </w:pPr>
    </w:p>
    <w:p w:rsidRPr="00DB5079" w:rsidR="00DB5079" w:rsidP="00DB5079" w:rsidRDefault="00DB5079" w14:paraId="70AE1D29" w14:textId="77777777">
      <w:pPr>
        <w:pStyle w:val="Default"/>
        <w:spacing w:line="240" w:lineRule="auto"/>
        <w:jc w:val="both"/>
        <w:rPr>
          <w:rFonts w:ascii="Times New Roman" w:hAnsi="Times New Roman" w:cs="Times New Roman"/>
        </w:rPr>
      </w:pPr>
    </w:p>
    <w:p w:rsidRPr="00DB5079" w:rsidR="00DB5079" w:rsidP="00DB5079" w:rsidRDefault="00DB5079" w14:paraId="62A1B1EB" w14:textId="77777777">
      <w:pPr>
        <w:pStyle w:val="Default"/>
        <w:spacing w:line="240" w:lineRule="auto"/>
        <w:jc w:val="both"/>
        <w:rPr>
          <w:rFonts w:ascii="Times New Roman" w:hAnsi="Times New Roman" w:cs="Times New Roman"/>
        </w:rPr>
      </w:pPr>
      <w:r w:rsidRPr="00DB5079">
        <w:rPr>
          <w:rFonts w:ascii="Times New Roman" w:hAnsi="Times New Roman" w:cs="Times New Roman"/>
          <w:sz w:val="24"/>
        </w:rPr>
        <w:t xml:space="preserve">Por otro lado, en el rechazo comunicado al asegurado mediante carta de fecha 05 de julio </w:t>
      </w:r>
      <w:proofErr w:type="gramStart"/>
      <w:r w:rsidRPr="00DB5079">
        <w:rPr>
          <w:rFonts w:ascii="Times New Roman" w:hAnsi="Times New Roman" w:cs="Times New Roman"/>
          <w:sz w:val="24"/>
        </w:rPr>
        <w:t>de  2022</w:t>
      </w:r>
      <w:proofErr w:type="gramEnd"/>
      <w:r w:rsidRPr="00DB5079">
        <w:rPr>
          <w:rFonts w:ascii="Times New Roman" w:hAnsi="Times New Roman" w:cs="Times New Roman"/>
          <w:sz w:val="24"/>
        </w:rPr>
        <w:t xml:space="preserve">, solo se señaló que la cobertura no encajaba dentro de los riesgos coberturas, más no se alegó el incumplimiento de cargas (bloqueo de la tarjeta e interposición de la denuncia policial extemporáneamente). </w:t>
      </w:r>
    </w:p>
    <w:p w:rsidRPr="00DB5079" w:rsidR="00DB5079" w:rsidP="00DB5079" w:rsidRDefault="00DB5079" w14:paraId="7033604E" w14:textId="77777777">
      <w:pPr>
        <w:pStyle w:val="Default"/>
        <w:spacing w:line="240" w:lineRule="auto"/>
        <w:jc w:val="both"/>
        <w:rPr>
          <w:rFonts w:ascii="Times New Roman" w:hAnsi="Times New Roman" w:cs="Times New Roman"/>
        </w:rPr>
      </w:pPr>
    </w:p>
    <w:p w:rsidRPr="00DB5079" w:rsidR="00DB5079" w:rsidP="00DB5079" w:rsidRDefault="00DB5079" w14:paraId="7E028BAA" w14:textId="77777777">
      <w:pPr>
        <w:pStyle w:val="Default"/>
        <w:spacing w:line="240" w:lineRule="auto"/>
        <w:jc w:val="both"/>
        <w:rPr>
          <w:rFonts w:ascii="Times New Roman" w:hAnsi="Times New Roman" w:cs="Times New Roman"/>
        </w:rPr>
      </w:pPr>
      <w:r w:rsidRPr="00DB5079">
        <w:rPr>
          <w:rFonts w:ascii="Times New Roman" w:hAnsi="Times New Roman" w:cs="Times New Roman"/>
          <w:sz w:val="24"/>
        </w:rPr>
        <w:t xml:space="preserve">Así, se debe tener presente que de conformidad con el artículo 11 de la Resolución S.B.S. </w:t>
      </w:r>
      <w:proofErr w:type="spellStart"/>
      <w:r w:rsidRPr="00DB5079">
        <w:rPr>
          <w:rFonts w:ascii="Times New Roman" w:hAnsi="Times New Roman" w:cs="Times New Roman"/>
          <w:sz w:val="24"/>
        </w:rPr>
        <w:t>N°</w:t>
      </w:r>
      <w:proofErr w:type="spellEnd"/>
      <w:r w:rsidRPr="00DB5079">
        <w:rPr>
          <w:rFonts w:ascii="Times New Roman" w:hAnsi="Times New Roman" w:cs="Times New Roman"/>
          <w:sz w:val="24"/>
        </w:rPr>
        <w:t xml:space="preserve"> 3202-2013 - Reglamento para la Gestión y Pago de Siniestros – de 24 de mayo de 2013</w:t>
      </w:r>
    </w:p>
    <w:p w:rsidRPr="00DB5079" w:rsidR="00DB5079" w:rsidP="00DB5079" w:rsidRDefault="00DB5079" w14:paraId="42B4F85C" w14:textId="77777777">
      <w:pPr>
        <w:pStyle w:val="Default"/>
        <w:spacing w:line="240" w:lineRule="auto"/>
        <w:jc w:val="both"/>
        <w:rPr>
          <w:rFonts w:ascii="Times New Roman" w:hAnsi="Times New Roman" w:cs="Times New Roman"/>
          <w:i/>
          <w:iCs/>
        </w:rPr>
      </w:pPr>
      <w:r>
        <w:rPr>
          <w:rFonts w:ascii="Times New Roman" w:hAnsi="Times New Roman"/>
          <w:sz w:val="24"/>
        </w:rPr>
        <w:t xml:space="preserve">, cuando no intervine un ajustador (como en el presente caso) “Dentro de los treinta (30) días siguientes a la fecha de haber recibido la documentación e información completa exigida en la póliza para el proceso de liquidación del siniestro, la empresa ………………… (…)”.</w:t>
      </w:r>
    </w:p>
    <w:p w:rsidRPr="00DB5079" w:rsidR="00DB5079" w:rsidP="00DB5079" w:rsidRDefault="00DB5079" w14:paraId="33A8C826" w14:textId="77777777">
      <w:pPr>
        <w:pStyle w:val="Default"/>
        <w:spacing w:line="240" w:lineRule="auto"/>
        <w:jc w:val="both"/>
        <w:rPr>
          <w:rFonts w:ascii="Times New Roman" w:hAnsi="Times New Roman" w:cs="Times New Roman"/>
          <w:i/>
          <w:iCs/>
        </w:rPr>
      </w:pPr>
    </w:p>
    <w:p w:rsidRPr="00DB5079" w:rsidR="00DB5079" w:rsidP="00DB5079" w:rsidRDefault="00DB5079" w14:paraId="6D1334C4" w14:textId="77777777">
      <w:pPr>
        <w:pStyle w:val="Default"/>
        <w:spacing w:line="240" w:lineRule="auto"/>
        <w:jc w:val="both"/>
        <w:rPr>
          <w:rFonts w:ascii="Times New Roman" w:hAnsi="Times New Roman" w:cs="Times New Roman"/>
        </w:rPr>
      </w:pPr>
      <w:r w:rsidRPr="00DB5079">
        <w:rPr>
          <w:rFonts w:ascii="Times New Roman" w:hAnsi="Times New Roman" w:cs="Times New Roman"/>
          <w:sz w:val="24"/>
        </w:rPr>
        <w:t xml:space="preserve">En tal sentido, es claro que la aseguradora cuenta con el plazo de treinta (30) días calendario para sustentar su rechazo, sin poder añadir nuevas causales de forma posterior, </w:t>
      </w:r>
      <w:proofErr w:type="gramStart"/>
      <w:r w:rsidRPr="00DB5079">
        <w:rPr>
          <w:rFonts w:ascii="Times New Roman" w:hAnsi="Times New Roman" w:cs="Times New Roman"/>
          <w:sz w:val="24"/>
        </w:rPr>
        <w:t>como</w:t>
      </w:r>
      <w:proofErr w:type="gramEnd"/>
      <w:r w:rsidRPr="00DB5079">
        <w:rPr>
          <w:rFonts w:ascii="Times New Roman" w:hAnsi="Times New Roman" w:cs="Times New Roman"/>
          <w:sz w:val="24"/>
        </w:rPr>
        <w:t xml:space="preserve"> por ejemplo, con la presentación de sus descargos.</w:t>
      </w:r>
    </w:p>
    <w:p w:rsidRPr="00DB5079" w:rsidR="00DB5079" w:rsidP="00DB5079" w:rsidRDefault="00DB5079" w14:paraId="14DC30AD" w14:textId="77777777">
      <w:pPr>
        <w:pStyle w:val="Default"/>
        <w:spacing w:line="240" w:lineRule="auto"/>
        <w:jc w:val="both"/>
        <w:rPr>
          <w:rFonts w:ascii="Times New Roman" w:hAnsi="Times New Roman" w:cs="Times New Roman"/>
        </w:rPr>
      </w:pPr>
    </w:p>
    <w:p w:rsidRPr="00DB5079" w:rsidR="00DB5079" w:rsidP="00DB5079" w:rsidRDefault="00DB5079" w14:paraId="5E441EDC" w14:textId="7CD3AF01">
      <w:pPr>
        <w:pStyle w:val="Default"/>
        <w:spacing w:line="240" w:lineRule="auto"/>
        <w:jc w:val="both"/>
        <w:rPr>
          <w:rFonts w:ascii="Times New Roman" w:hAnsi="Times New Roman" w:cs="Times New Roman"/>
        </w:rPr>
      </w:pPr>
      <w:r w:rsidRPr="456B9A11" w:rsidR="00DB5079">
        <w:rPr>
          <w:rFonts w:ascii="Times New Roman" w:hAnsi="Times New Roman" w:cs="Times New Roman"/>
          <w:sz w:val="24"/>
        </w:rPr>
        <w:t xml:space="preserve">Por ello, carece de sustento que </w:t>
      </w:r>
      <w:r w:rsidRPr="456B9A11" w:rsidR="12E945F5">
        <w:rPr>
          <w:rFonts w:ascii="Times New Roman" w:hAnsi="Times New Roman" w:cs="Times New Roman"/>
          <w:sz w:val="24"/>
        </w:rPr>
        <w:t>..................................</w:t>
      </w:r>
      <w:r w:rsidRPr="456B9A11" w:rsidR="00DB5079">
        <w:rPr>
          <w:rFonts w:ascii="Times New Roman" w:hAnsi="Times New Roman" w:cs="Times New Roman"/>
          <w:sz w:val="24"/>
        </w:rPr>
        <w:t xml:space="preserve"> pretenda oponer el bloqueo de la tarjeta e interposición de la denuncia policial de forma extemporánea- incumplimiento de cargas contractuales -, para justificar el rechazo de la cobertura. Al respecto, se deja constancia que la Compañía ha contado con el plazo legal para poder oponer esas dos causales de rechazo y no lo hizo.</w:t>
      </w:r>
    </w:p>
    <w:p w:rsidRPr="00DB5079" w:rsidR="00DB5079" w:rsidP="00DB5079" w:rsidRDefault="00DB5079" w14:paraId="7660B8BB" w14:textId="77777777">
      <w:pPr>
        <w:pStyle w:val="Default"/>
        <w:spacing w:line="240" w:lineRule="auto"/>
        <w:jc w:val="both"/>
        <w:rPr>
          <w:rFonts w:ascii="Times New Roman" w:hAnsi="Times New Roman" w:cs="Times New Roman"/>
        </w:rPr>
      </w:pPr>
    </w:p>
    <w:p w:rsidRPr="00DB5079" w:rsidR="00DB5079" w:rsidP="00DB5079" w:rsidRDefault="00DB5079" w14:paraId="779BE3D4" w14:textId="77777777">
      <w:pPr>
        <w:spacing w:line="240" w:lineRule="auto"/>
        <w:jc w:val="both"/>
        <w:rPr>
          <w:rFonts w:ascii="Times New Roman" w:hAnsi="Times New Roman" w:cs="Times New Roman"/>
          <w:sz w:val="24"/>
          <w:szCs w:val="24"/>
          <w:lang w:val="es-PE"/>
        </w:rPr>
      </w:pPr>
      <w:r w:rsidRPr="00DB5079">
        <w:rPr>
          <w:rFonts w:ascii="Times New Roman" w:hAnsi="Times New Roman" w:cs="Times New Roman"/>
          <w:b/>
          <w:sz w:val="24"/>
          <w:szCs w:val="24"/>
          <w:u w:val="single"/>
          <w:lang w:val="es-PE"/>
        </w:rPr>
        <w:t>TERCERO</w:t>
      </w:r>
      <w:r w:rsidRPr="00DB5079">
        <w:rPr>
          <w:rFonts w:ascii="Times New Roman" w:hAnsi="Times New Roman" w:cs="Times New Roman"/>
          <w:b/>
          <w:sz w:val="24"/>
          <w:szCs w:val="24"/>
          <w:lang w:val="es-PE"/>
        </w:rPr>
        <w:t>:</w:t>
      </w:r>
      <w:r w:rsidRPr="00DB5079">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DB5079" w:rsidR="00DB5079" w:rsidP="00DB5079" w:rsidRDefault="00DB5079" w14:paraId="32802CA2"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DB5079" w:rsidR="00DB5079" w:rsidP="456B9A11" w:rsidRDefault="00DB5079" w14:paraId="7A3D1CFD" w14:textId="193D7701">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032/23.</w:t>
      </w:r>
    </w:p>
    <w:p w:rsidRPr="00DB5079"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DB5079" w:rsidR="00077B6F" w:rsidP="00C671F5" w:rsidRDefault="0091528B" w14:paraId="78A39B5B" w14:textId="441084F6">
      <w:pPr>
        <w:suppressAutoHyphens/>
        <w:spacing w:after="0" w:line="240" w:lineRule="auto"/>
        <w:jc w:val="right"/>
        <w:outlineLvl w:val="0"/>
        <w:rPr>
          <w:rFonts w:ascii="Times New Roman" w:hAnsi="Times New Roman" w:eastAsia="Arial Unicode MS" w:cs="Times New Roman"/>
          <w:sz w:val="24"/>
          <w:szCs w:val="24"/>
          <w:lang w:val="es-PE" w:eastAsia="ar-SA"/>
        </w:rPr>
      </w:pPr>
      <w:r w:rsidRPr="00DB5079">
        <w:rPr>
          <w:rFonts w:ascii="Times New Roman" w:hAnsi="Times New Roman" w:eastAsia="Arial Unicode MS" w:cs="Times New Roman"/>
          <w:sz w:val="24"/>
          <w:szCs w:val="24"/>
          <w:lang w:val="es-PE" w:eastAsia="ar-SA"/>
        </w:rPr>
        <w:t xml:space="preserve">Lima, </w:t>
      </w:r>
      <w:r w:rsidRPr="00DB5079" w:rsidR="00411866">
        <w:rPr>
          <w:rFonts w:ascii="Times New Roman" w:hAnsi="Times New Roman" w:eastAsia="Arial Unicode MS" w:cs="Times New Roman"/>
          <w:sz w:val="24"/>
          <w:szCs w:val="24"/>
          <w:lang w:val="es-PE" w:eastAsia="ar-SA"/>
        </w:rPr>
        <w:t>0</w:t>
      </w:r>
      <w:r w:rsidRPr="00DB5079" w:rsidR="00772376">
        <w:rPr>
          <w:rFonts w:ascii="Times New Roman" w:hAnsi="Times New Roman" w:eastAsia="Arial Unicode MS" w:cs="Times New Roman"/>
          <w:sz w:val="24"/>
          <w:szCs w:val="24"/>
          <w:lang w:val="es-PE" w:eastAsia="ar-SA"/>
        </w:rPr>
        <w:t>8</w:t>
      </w:r>
      <w:r w:rsidRPr="00DB5079" w:rsidR="00707C99">
        <w:rPr>
          <w:rFonts w:ascii="Times New Roman" w:hAnsi="Times New Roman" w:eastAsia="Arial Unicode MS" w:cs="Times New Roman"/>
          <w:sz w:val="24"/>
          <w:szCs w:val="24"/>
          <w:lang w:val="es-PE" w:eastAsia="ar-SA"/>
        </w:rPr>
        <w:t xml:space="preserve"> de </w:t>
      </w:r>
      <w:r w:rsidRPr="00DB5079" w:rsidR="00772376">
        <w:rPr>
          <w:rFonts w:ascii="Times New Roman" w:hAnsi="Times New Roman" w:eastAsia="Arial Unicode MS" w:cs="Times New Roman"/>
          <w:sz w:val="24"/>
          <w:szCs w:val="24"/>
          <w:lang w:val="es-PE" w:eastAsia="ar-SA"/>
        </w:rPr>
        <w:t>mayo</w:t>
      </w:r>
      <w:r w:rsidRPr="00DB5079" w:rsidR="00411866">
        <w:rPr>
          <w:rFonts w:ascii="Times New Roman" w:hAnsi="Times New Roman" w:eastAsia="Arial Unicode MS" w:cs="Times New Roman"/>
          <w:sz w:val="24"/>
          <w:szCs w:val="24"/>
          <w:lang w:val="es-PE" w:eastAsia="ar-SA"/>
        </w:rPr>
        <w:t xml:space="preserve"> </w:t>
      </w:r>
      <w:r w:rsidRPr="00DB5079" w:rsidR="00F06498">
        <w:rPr>
          <w:rFonts w:ascii="Times New Roman" w:hAnsi="Times New Roman" w:eastAsia="Arial Unicode MS" w:cs="Times New Roman"/>
          <w:sz w:val="24"/>
          <w:szCs w:val="24"/>
          <w:lang w:val="es-PE" w:eastAsia="ar-SA"/>
        </w:rPr>
        <w:t>de 202</w:t>
      </w:r>
      <w:r w:rsidRPr="00DB5079" w:rsidR="00B340D4">
        <w:rPr>
          <w:rFonts w:ascii="Times New Roman" w:hAnsi="Times New Roman" w:eastAsia="Arial Unicode MS" w:cs="Times New Roman"/>
          <w:sz w:val="24"/>
          <w:szCs w:val="24"/>
          <w:lang w:val="es-PE" w:eastAsia="ar-SA"/>
        </w:rPr>
        <w:t>3</w:t>
      </w:r>
      <w:r w:rsidRPr="00DB5079" w:rsidR="00707C99">
        <w:rPr>
          <w:rFonts w:ascii="Times New Roman" w:hAnsi="Times New Roman" w:eastAsia="Times New Roman" w:cs="Times New Roman"/>
          <w:sz w:val="24"/>
          <w:szCs w:val="24"/>
          <w:lang w:val="es-PE" w:eastAsia="ar-SA"/>
        </w:rPr>
        <w:t xml:space="preserve"> </w:t>
      </w:r>
    </w:p>
    <w:p w:rsidRPr="00DB5079"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DB5079"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B5079"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DB507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B5079" w:rsidR="00C671F5" w:rsidP="00C671F5" w:rsidRDefault="00C671F5" w14:paraId="342CC185" w14:textId="77777777">
      <w:pPr>
        <w:spacing w:after="0" w:line="360" w:lineRule="auto"/>
        <w:jc w:val="both"/>
        <w:rPr>
          <w:rFonts w:ascii="Times New Roman" w:hAnsi="Times New Roman" w:cs="Times New Roman"/>
          <w:b/>
          <w:bCs/>
          <w:i/>
          <w:iCs/>
          <w:sz w:val="24"/>
          <w:szCs w:val="24"/>
          <w:lang w:val="es-PE"/>
        </w:rPr>
      </w:pPr>
    </w:p>
    <w:p w:rsidRPr="00DB5079" w:rsidR="00AE6BD5" w:rsidP="00AE6BD5" w:rsidRDefault="00AE6BD5" w14:paraId="16F0767B" w14:textId="26F480E2">
      <w:pPr>
        <w:spacing w:after="0" w:line="360" w:lineRule="auto"/>
        <w:jc w:val="center"/>
        <w:rPr>
          <w:rFonts w:ascii="Times New Roman" w:hAnsi="Times New Roman" w:cs="Times New Roman"/>
          <w:b/>
          <w:bCs/>
          <w:sz w:val="24"/>
          <w:szCs w:val="24"/>
          <w:lang w:val="es-PE"/>
        </w:rPr>
      </w:pPr>
      <w:r w:rsidRPr="00DB5079">
        <w:rPr>
          <w:rFonts w:ascii="Times New Roman" w:hAnsi="Times New Roman" w:cs="Times New Roman"/>
          <w:b/>
          <w:bCs/>
          <w:sz w:val="24"/>
          <w:szCs w:val="24"/>
          <w:lang w:val="es-PE"/>
        </w:rPr>
        <w:t xml:space="preserve">Omar Alfaro Villanueva – </w:t>
      </w:r>
      <w:proofErr w:type="gramStart"/>
      <w:r w:rsidRPr="00DB5079">
        <w:rPr>
          <w:rFonts w:ascii="Times New Roman" w:hAnsi="Times New Roman" w:cs="Times New Roman"/>
          <w:b/>
          <w:bCs/>
          <w:sz w:val="24"/>
          <w:szCs w:val="24"/>
          <w:lang w:val="es-PE"/>
        </w:rPr>
        <w:t>Presidente</w:t>
      </w:r>
      <w:proofErr w:type="gramEnd"/>
    </w:p>
    <w:p w:rsidRPr="00411866" w:rsidR="00C671F5" w:rsidP="001A555F" w:rsidRDefault="001A555F" w14:paraId="3408E6CE" w14:textId="458CBD00">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María Eugenia Valdez Fernández Baca </w:t>
      </w:r>
      <w:r w:rsidRPr="00411866" w:rsidR="00AE6BD5">
        <w:rPr>
          <w:rFonts w:ascii="Times New Roman" w:hAnsi="Times New Roman" w:cs="Times New Roman"/>
          <w:b/>
          <w:bCs/>
          <w:sz w:val="24"/>
          <w:szCs w:val="24"/>
          <w:lang w:val="es-PE"/>
        </w:rPr>
        <w:t>–</w:t>
      </w:r>
      <w:r w:rsidR="00AE6BD5">
        <w:rPr>
          <w:rFonts w:ascii="Times New Roman" w:hAnsi="Times New Roman" w:cs="Times New Roman"/>
          <w:b/>
          <w:bCs/>
          <w:sz w:val="24"/>
          <w:szCs w:val="24"/>
          <w:lang w:val="es-PE"/>
        </w:rPr>
        <w:t xml:space="preserve"> </w:t>
      </w:r>
      <w:r w:rsidRPr="00411866" w:rsidR="00AE6BD5">
        <w:rPr>
          <w:rFonts w:ascii="Times New Roman" w:hAnsi="Times New Roman" w:cs="Times New Roman"/>
          <w:b/>
          <w:bCs/>
          <w:sz w:val="24"/>
          <w:szCs w:val="24"/>
          <w:lang w:val="es-PE"/>
        </w:rPr>
        <w:t>Vocal</w:t>
      </w:r>
    </w:p>
    <w:p w:rsidRPr="00411866" w:rsidR="00C671F5" w:rsidP="00C671F5" w:rsidRDefault="00231C58" w14:paraId="7CE41ADF" w14:textId="0E336E74">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Rolando Eyzaguirre </w:t>
      </w:r>
      <w:proofErr w:type="spellStart"/>
      <w:r w:rsidRPr="00411866">
        <w:rPr>
          <w:rFonts w:ascii="Times New Roman" w:hAnsi="Times New Roman" w:cs="Times New Roman"/>
          <w:b/>
          <w:bCs/>
          <w:sz w:val="24"/>
          <w:szCs w:val="24"/>
          <w:lang w:val="es-PE"/>
        </w:rPr>
        <w:t>Maccan</w:t>
      </w:r>
      <w:proofErr w:type="spellEnd"/>
      <w:r w:rsidRPr="00411866">
        <w:rPr>
          <w:rFonts w:ascii="Times New Roman" w:hAnsi="Times New Roman" w:cs="Times New Roman"/>
          <w:b/>
          <w:bCs/>
          <w:sz w:val="24"/>
          <w:szCs w:val="24"/>
          <w:lang w:val="es-PE"/>
        </w:rPr>
        <w:t xml:space="preserve"> </w:t>
      </w:r>
      <w:r w:rsidRPr="00411866" w:rsidR="00C671F5">
        <w:rPr>
          <w:rFonts w:ascii="Times New Roman" w:hAnsi="Times New Roman" w:cs="Times New Roman"/>
          <w:b/>
          <w:bCs/>
          <w:sz w:val="24"/>
          <w:szCs w:val="24"/>
          <w:lang w:val="es-PE"/>
        </w:rPr>
        <w:t>– Vocal</w:t>
      </w:r>
    </w:p>
    <w:p w:rsidRPr="0013051A"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13051A">
        <w:rPr>
          <w:rFonts w:ascii="Times New Roman" w:hAnsi="Times New Roman" w:cs="Times New Roman"/>
          <w:b/>
          <w:bCs/>
          <w:sz w:val="24"/>
          <w:szCs w:val="24"/>
          <w:lang w:val="es-PE"/>
        </w:rPr>
        <w:t xml:space="preserve">Gonzalo Abad del Busto </w:t>
      </w:r>
      <w:r w:rsidRPr="0013051A" w:rsidR="00231C58">
        <w:rPr>
          <w:rFonts w:ascii="Times New Roman" w:hAnsi="Times New Roman" w:cs="Times New Roman"/>
          <w:b/>
          <w:bCs/>
          <w:sz w:val="24"/>
          <w:szCs w:val="24"/>
          <w:lang w:val="es-PE"/>
        </w:rPr>
        <w:t xml:space="preserve">– </w:t>
      </w:r>
      <w:r w:rsidRPr="0013051A">
        <w:rPr>
          <w:rFonts w:ascii="Times New Roman" w:hAnsi="Times New Roman" w:cs="Times New Roman"/>
          <w:b/>
          <w:bCs/>
          <w:sz w:val="24"/>
          <w:szCs w:val="24"/>
          <w:lang w:val="es-PE"/>
        </w:rPr>
        <w:t>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1A73" w:rsidP="00784355" w:rsidRDefault="00F91A73" w14:paraId="244538C8" w14:textId="77777777">
      <w:pPr>
        <w:spacing w:after="0" w:line="240" w:lineRule="auto"/>
      </w:pPr>
      <w:r>
        <w:separator/>
      </w:r>
    </w:p>
  </w:endnote>
  <w:endnote w:type="continuationSeparator" w:id="0">
    <w:p w:rsidR="00F91A73" w:rsidP="00784355" w:rsidRDefault="00F91A73" w14:paraId="2C9494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1A73" w:rsidP="00784355" w:rsidRDefault="00F91A73" w14:paraId="616A48C3" w14:textId="77777777">
      <w:pPr>
        <w:spacing w:after="0" w:line="240" w:lineRule="auto"/>
      </w:pPr>
      <w:r>
        <w:separator/>
      </w:r>
    </w:p>
  </w:footnote>
  <w:footnote w:type="continuationSeparator" w:id="0">
    <w:p w:rsidR="00F91A73" w:rsidP="00784355" w:rsidRDefault="00F91A73" w14:paraId="67AF891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1866"/>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0E69"/>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322D9"/>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21E9"/>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73F3"/>
    <w:rsid w:val="00FF41F3"/>
    <w:rsid w:val="04064E7D"/>
    <w:rsid w:val="12E945F5"/>
    <w:rsid w:val="16C4487A"/>
    <w:rsid w:val="1C77CF7B"/>
    <w:rsid w:val="202500BA"/>
    <w:rsid w:val="239FDE72"/>
    <w:rsid w:val="3118E88E"/>
    <w:rsid w:val="3F24B2C6"/>
    <w:rsid w:val="40E7E3E1"/>
    <w:rsid w:val="456B9A11"/>
    <w:rsid w:val="494C31F4"/>
    <w:rsid w:val="4C2D4000"/>
    <w:rsid w:val="6E3713F4"/>
    <w:rsid w:val="70DE3A93"/>
    <w:rsid w:val="7CBFC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0407DB8-40E0-41F4-8DB3-6BC292954E63}"/>
</file>

<file path=customXml/itemProps3.xml><?xml version="1.0" encoding="utf-8"?>
<ds:datastoreItem xmlns:ds="http://schemas.openxmlformats.org/officeDocument/2006/customXml" ds:itemID="{39470DF1-F2BC-4A7E-AAC2-4058A17129EC}"/>
</file>

<file path=customXml/itemProps4.xml><?xml version="1.0" encoding="utf-8"?>
<ds:datastoreItem xmlns:ds="http://schemas.openxmlformats.org/officeDocument/2006/customXml" ds:itemID="{B8BEC4B9-6A26-4DD8-A0D1-D3A0618C96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29</cp:revision>
  <cp:lastPrinted>2023-05-08T16:01:00Z</cp:lastPrinted>
  <dcterms:created xsi:type="dcterms:W3CDTF">2023-02-14T22:37:00Z</dcterms:created>
  <dcterms:modified xsi:type="dcterms:W3CDTF">2025-12-02T20:08:58Z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