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B5079" w:rsidR="00707C99" w:rsidP="00272F4F" w:rsidRDefault="00201C0D" w14:paraId="19FE0E96" w14:textId="37B4D265">
      <w:pPr>
        <w:spacing w:after="0" w:line="240" w:lineRule="auto"/>
        <w:jc w:val="center"/>
        <w:rPr>
          <w:rFonts w:ascii="Times New Roman" w:hAnsi="Times New Roman" w:cs="Times New Roman"/>
          <w:b/>
          <w:sz w:val="24"/>
          <w:szCs w:val="24"/>
          <w:lang w:val="es-PE" w:eastAsia="ar-SA"/>
        </w:rPr>
      </w:pPr>
      <w:r w:rsidRPr="00DB5079">
        <w:rPr>
          <w:rFonts w:ascii="Times New Roman" w:hAnsi="Times New Roman" w:cs="Times New Roman"/>
          <w:b/>
          <w:sz w:val="24"/>
          <w:szCs w:val="24"/>
          <w:lang w:val="es-PE" w:eastAsia="ar-SA"/>
        </w:rPr>
        <w:t xml:space="preserve">RESOLUCIÓN DE RECURSO IMPUGNATIVO </w:t>
      </w:r>
      <w:proofErr w:type="spellStart"/>
      <w:r w:rsidRPr="00DB5079" w:rsidR="00707C99">
        <w:rPr>
          <w:rFonts w:ascii="Times New Roman" w:hAnsi="Times New Roman" w:cs="Times New Roman"/>
          <w:b/>
          <w:sz w:val="24"/>
          <w:szCs w:val="24"/>
          <w:lang w:val="es-PE" w:eastAsia="ar-SA"/>
        </w:rPr>
        <w:t>N°</w:t>
      </w:r>
      <w:proofErr w:type="spellEnd"/>
      <w:r w:rsidRPr="00DB5079" w:rsidR="00707C99">
        <w:rPr>
          <w:rFonts w:ascii="Times New Roman" w:hAnsi="Times New Roman" w:cs="Times New Roman"/>
          <w:b/>
          <w:sz w:val="24"/>
          <w:szCs w:val="24"/>
          <w:lang w:val="es-PE" w:eastAsia="ar-SA"/>
        </w:rPr>
        <w:t xml:space="preserve"> </w:t>
      </w:r>
      <w:r w:rsidRPr="00DB5079" w:rsidR="00C671F5">
        <w:rPr>
          <w:rFonts w:ascii="Times New Roman" w:hAnsi="Times New Roman" w:cs="Times New Roman"/>
          <w:b/>
          <w:sz w:val="24"/>
          <w:szCs w:val="24"/>
          <w:lang w:val="es-PE" w:eastAsia="ar-SA"/>
        </w:rPr>
        <w:t>0</w:t>
      </w:r>
      <w:r w:rsidR="00817F65">
        <w:rPr>
          <w:rFonts w:ascii="Times New Roman" w:hAnsi="Times New Roman" w:cs="Times New Roman"/>
          <w:b/>
          <w:sz w:val="24"/>
          <w:szCs w:val="24"/>
          <w:lang w:val="es-PE" w:eastAsia="ar-SA"/>
        </w:rPr>
        <w:t>10</w:t>
      </w:r>
      <w:r w:rsidRPr="00DB5079" w:rsidR="00C671F5">
        <w:rPr>
          <w:rFonts w:ascii="Times New Roman" w:hAnsi="Times New Roman" w:cs="Times New Roman"/>
          <w:b/>
          <w:sz w:val="24"/>
          <w:szCs w:val="24"/>
          <w:lang w:val="es-PE" w:eastAsia="ar-SA"/>
        </w:rPr>
        <w:t>/2</w:t>
      </w:r>
      <w:r w:rsidRPr="00DB5079" w:rsidR="00AB7BFE">
        <w:rPr>
          <w:rFonts w:ascii="Times New Roman" w:hAnsi="Times New Roman" w:cs="Times New Roman"/>
          <w:b/>
          <w:sz w:val="24"/>
          <w:szCs w:val="24"/>
          <w:lang w:val="es-PE" w:eastAsia="ar-SA"/>
        </w:rPr>
        <w:t>3</w:t>
      </w:r>
    </w:p>
    <w:p w:rsidRPr="00DB5079" w:rsidR="00411866" w:rsidP="00411866" w:rsidRDefault="00411866" w14:paraId="3FC3AA9F" w14:textId="77777777">
      <w:pPr>
        <w:spacing w:after="0" w:line="240" w:lineRule="auto"/>
        <w:rPr>
          <w:rFonts w:ascii="Times New Roman" w:hAnsi="Times New Roman" w:cs="Times New Roman"/>
          <w:sz w:val="24"/>
          <w:szCs w:val="24"/>
          <w:lang w:val="es-PE"/>
        </w:rPr>
      </w:pPr>
    </w:p>
    <w:p w:rsidR="00C16D8A" w:rsidP="00C16D8A" w:rsidRDefault="00C16D8A" w14:paraId="30A62FA7" w14:textId="77777777">
      <w:pPr>
        <w:spacing w:line="240" w:lineRule="auto"/>
        <w:jc w:val="both"/>
        <w:outlineLvl w:val="0"/>
        <w:rPr>
          <w:rFonts w:ascii="Times New Roman" w:hAnsi="Times New Roman" w:cs="Times New Roman"/>
          <w:b/>
          <w:bCs/>
          <w:sz w:val="24"/>
          <w:szCs w:val="24"/>
          <w:lang w:val="es-MX"/>
        </w:rPr>
      </w:pPr>
      <w:r>
        <w:rPr>
          <w:rFonts w:ascii="Times New Roman" w:hAnsi="Times New Roman" w:cs="Times New Roman"/>
          <w:b/>
          <w:bCs/>
          <w:sz w:val="24"/>
          <w:szCs w:val="24"/>
          <w:lang w:val="es-MX"/>
        </w:rPr>
        <w:t>VISTOS:</w:t>
      </w:r>
    </w:p>
    <w:p w:rsidR="00C16D8A" w:rsidP="7E577111" w:rsidRDefault="00C16D8A" w14:paraId="727EF5E7" w14:textId="1D26456B">
      <w:pPr>
        <w:spacing w:line="240" w:lineRule="auto"/>
        <w:jc w:val="both"/>
        <w:outlineLvl w:val="0"/>
        <w:rPr>
          <w:rFonts w:ascii="Times New Roman" w:hAnsi="Times New Roman" w:cs="Times New Roman"/>
          <w:b w:val="1"/>
          <w:bCs w:val="1"/>
          <w:sz w:val="24"/>
          <w:szCs w:val="24"/>
          <w:lang w:val="es-PE"/>
        </w:rPr>
      </w:pPr>
      <w:r>
        <w:rPr>
          <w:rFonts w:ascii="Times New Roman" w:hAnsi="Times New Roman"/>
          <w:sz w:val="24"/>
        </w:rPr>
        <w:t xml:space="preserve">El Recurso de Impugnación presentado por ...................................................... respecto de la Resolución Nro. 019/23, expedida por el Órgano Resolutivo Unipersonal de esta Defensoría del Asegurado (DEFASEG), conforme a la cual se declaró FUNDADA la reclamación interpuesta por ...................................................... respecto al ………………… N° ............................</w:t>
      </w:r>
    </w:p>
    <w:p w:rsidR="00C16D8A" w:rsidP="00C16D8A" w:rsidRDefault="00C16D8A" w14:paraId="0BAC8FC3" w14:textId="77777777">
      <w:pPr>
        <w:pStyle w:val="Textoindependiente"/>
        <w:spacing w:line="240" w:lineRule="auto"/>
      </w:pPr>
      <w:r>
        <w:rPr>
          <w:rFonts w:ascii="Times New Roman" w:hAnsi="Times New Roman"/>
          <w:sz w:val="24"/>
        </w:rPr>
        <w:t xml:space="preserve">Que, el indicado recurso se sustenta resumidamente en lo siguiente: a) Se ha realizado una incorrecta lectura y/o interpretación de las coberturas. En el primer supuesto de cobertura (referida al uso indebido) se detalla qué debe entenderse por tal. En ese sentido, se entiende por uso indebido al supuesto en el cual, por robo o hurto de la tarjeta asegurada, terceras personas hacen uso de la tarjeta en establecimientos comerciales. La cobertura N°4 implica aquellos supuestos en los cuales, por robo o hurto de la tarjeta asegurada, se realizan compras vía internet; b) todas las coberturas de la póliza tienen como garantía la obligación del asegurado de bloquear la tarjeta en un máximo de 4 horas de conocido el siniestro.  En el presente caso, tal como se indica en la resolución que es materia de apelación, el bloqueo se realizó el 1 de diciembre. Es decir, fuera del plazo señalado en la póliza. Por tanto, no corresponde proceder con la cobertura; c) en la resolución que es materia de impugnación, el Órgano Resolutivo Unipersonal ha señalado, sin la debida fundamentación fáctica y legal, que no corresponde pronunciarse respecto a nuestro argumento referido al bloqueo tardío de la tarjeta, porque en la Carta de Rechazo del siniestro no se hizo referencia a ello.  Dicho argumento es incorrecto, ilegal y contrario a nuestros intereses. Asimismo, tal como hemos señalado, la resolución carece de</w:t>
      </w:r>
    </w:p>
    <w:p w:rsidR="00C16D8A" w:rsidP="00C16D8A" w:rsidRDefault="00C16D8A" w14:paraId="7613F498" w14:textId="77777777">
      <w:pPr>
        <w:pStyle w:val="Textoindependiente"/>
        <w:spacing w:line="240" w:lineRule="auto"/>
      </w:pPr>
      <w:r>
        <w:rPr>
          <w:rFonts w:ascii="Times New Roman" w:hAnsi="Times New Roman"/>
          <w:sz w:val="24"/>
        </w:rPr>
        <w:t xml:space="preserve">motivación, al no señalar en qué norma se ampara.  En la Carta de Rechazo del siniestro no se hizo referencia al incumplimiento de la garantía, lo cual determina que el siniestro no tenga cobertura. Ello podría considerarse como un error u omisión al momento de evaluar el siniestro. Sin embargo, dicho error u omisión no genera ni puede generar un derecho a favor del asegurado. Más aún cuando se trata de una garantía y/o obligación que debía cumplir a fin de activar la cobertura contratada; d) el pronunciamiento además de no estar debidamente motivado, no se basa en la debida valoración de los medios probatorios aportados, y en los argumentos señalados en nuestro escrito de descargos. No se ha tomado en cuenta que los consumos no reconocidos por el asegurado se realizaron con el uso de contraseñas e información personal (no con las tarjetas). Información que estaba contenida / guardada en el celular del asegurado; lo cual permitió realizar dichos consumos; e) reiteran el argumento en el sentido que el siniestro no cuenta con cobertura ya que, el caso en particular tuvo origen en el hurto del celular del asegurado. Las operaciones se realizaron a través de dicho dispositivo móvil (no con las tarjetas); situación no cubierta por la póliza contratada; f) el asegurado indica haber sido víctima del hurto de su celular, del cambio de sus tarjetas; pero no bloqueó su dispositivo móvil, y tampoco bloqueó la tarjeta inmediatamente. Dicha situación motivó que se realizaran los consumos no reconocidos, y pretende que la recurrente de cobertura al siniestro que se concretó por una falta de diligencia en el bloqueo de la tarjeta; generándonos un perjuicio económico. Ello no significaría más que premiar la conducta no diligente del asegurado; además de no cumplir con la garantía estipulada en el contrato de seguro.</w:t>
      </w:r>
    </w:p>
    <w:p w:rsidR="00C16D8A" w:rsidP="00C16D8A" w:rsidRDefault="00C16D8A" w14:paraId="769B535E" w14:textId="77777777">
      <w:pPr>
        <w:pStyle w:val="Textoindependiente"/>
        <w:spacing w:line="240" w:lineRule="auto"/>
      </w:pPr>
    </w:p>
    <w:p w:rsidR="00C16D8A" w:rsidP="00C16D8A" w:rsidRDefault="00C16D8A" w14:paraId="3FDA2992" w14:textId="77777777">
      <w:pPr>
        <w:pStyle w:val="Textoindependiente"/>
        <w:spacing w:line="240" w:lineRule="auto"/>
      </w:pPr>
    </w:p>
    <w:p w:rsidR="00C16D8A" w:rsidP="00C16D8A" w:rsidRDefault="00C16D8A" w14:paraId="2F799996" w14:textId="77777777">
      <w:pPr>
        <w:suppressAutoHyphens/>
        <w:spacing w:after="0" w:line="240" w:lineRule="auto"/>
        <w:jc w:val="both"/>
        <w:rPr>
          <w:rFonts w:ascii="Times New Roman" w:hAnsi="Times New Roman" w:eastAsia="Times New Roman" w:cs="Times New Roman"/>
          <w:bCs/>
          <w:sz w:val="24"/>
          <w:szCs w:val="24"/>
          <w:lang w:val="es-MX" w:eastAsia="ar-SA"/>
        </w:rPr>
      </w:pPr>
      <w:r>
        <w:rPr>
          <w:rFonts w:ascii="Times New Roman" w:hAnsi="Times New Roman"/>
          <w:sz w:val="24"/>
        </w:rPr>
        <w:t xml:space="preserve">Que, habiéndosele corrido traslado de la señalada impugnación, el señor………………… no ha absuelto el trámite correspondiente;</w:t>
      </w:r>
    </w:p>
    <w:p w:rsidR="00C16D8A" w:rsidP="00C16D8A" w:rsidRDefault="00C16D8A" w14:paraId="6705D745" w14:textId="77777777">
      <w:pPr>
        <w:pStyle w:val="Textoindependiente"/>
        <w:spacing w:line="240" w:lineRule="auto"/>
        <w:rPr>
          <w:bCs w:val="0"/>
          <w:color w:val="000000"/>
          <w:lang w:val="es-PE" w:eastAsia="es-PE"/>
        </w:rPr>
      </w:pPr>
    </w:p>
    <w:p w:rsidR="00C16D8A" w:rsidP="00C16D8A" w:rsidRDefault="00C16D8A" w14:paraId="662072B7" w14:textId="77777777">
      <w:pPr>
        <w:suppressAutoHyphens/>
        <w:spacing w:after="0" w:line="240" w:lineRule="auto"/>
        <w:jc w:val="both"/>
        <w:rPr>
          <w:rFonts w:ascii="Times New Roman" w:hAnsi="Times New Roman" w:cs="Times New Roman"/>
          <w:bCs/>
          <w:sz w:val="24"/>
          <w:szCs w:val="24"/>
          <w:lang w:val="es-ES"/>
        </w:rPr>
      </w:pPr>
      <w:r>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00C16D8A" w:rsidP="00C16D8A" w:rsidRDefault="00C16D8A" w14:paraId="05DDD1F7" w14:textId="77777777">
      <w:pPr>
        <w:spacing w:line="240" w:lineRule="auto"/>
        <w:jc w:val="both"/>
        <w:rPr>
          <w:rFonts w:ascii="Times New Roman" w:hAnsi="Times New Roman" w:cs="Times New Roman"/>
          <w:b/>
          <w:sz w:val="24"/>
          <w:szCs w:val="24"/>
          <w:u w:val="single"/>
          <w:lang w:val="es-ES"/>
        </w:rPr>
      </w:pPr>
    </w:p>
    <w:p w:rsidR="00C16D8A" w:rsidP="00C16D8A" w:rsidRDefault="00C16D8A" w14:paraId="29CCB165"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rsidR="00C16D8A" w:rsidP="00C16D8A" w:rsidRDefault="00C16D8A" w14:paraId="2CBE402A"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rsidR="00C16D8A" w:rsidP="00C16D8A" w:rsidRDefault="00C16D8A" w14:paraId="19B0683F"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SEGUNDO: Que el Recurso de Impugnación presentado por la aseguradora se sustenta en señalar que (i) la cobertura N°4 del seguro implica aquellos supuestos en los cuales, por robo o hurto de la tarjeta asegurada, se realizan compras vía internet y (ii) el asegurado bloqueo la tarjeta de forma extemporánea, incumpliéndose una carga contractual.</w:t>
      </w:r>
    </w:p>
    <w:p w:rsidR="00C16D8A" w:rsidP="00C16D8A" w:rsidRDefault="00C16D8A" w14:paraId="1F9BFC53" w14:textId="77777777">
      <w:pPr>
        <w:spacing w:line="240" w:lineRule="auto"/>
        <w:jc w:val="both"/>
        <w:rPr>
          <w:rFonts w:ascii="Times New Roman" w:hAnsi="Times New Roman" w:cs="Times New Roman"/>
          <w:sz w:val="24"/>
          <w:szCs w:val="24"/>
          <w:lang w:val="es-ES"/>
        </w:rPr>
      </w:pPr>
      <w:r>
        <w:rPr>
          <w:rFonts w:ascii="Times New Roman" w:hAnsi="Times New Roman" w:cs="Times New Roman"/>
          <w:sz w:val="24"/>
          <w:szCs w:val="24"/>
          <w:lang w:val="es-PE"/>
        </w:rPr>
        <w:t xml:space="preserve">Sobre el particular, este Colegiado advierte que, la Resolución Nro. 019/23, expedida por el Órgano Resolutivo Unipersonal de esta Defensoría del Asegurado (DEFASEG), se fundamenta en que la definición de la cobertura </w:t>
      </w:r>
      <w:proofErr w:type="spellStart"/>
      <w:r>
        <w:rPr>
          <w:rFonts w:ascii="Times New Roman" w:hAnsi="Times New Roman" w:cs="Times New Roman"/>
          <w:sz w:val="24"/>
          <w:szCs w:val="24"/>
          <w:lang w:val="es-PE"/>
        </w:rPr>
        <w:t>N°</w:t>
      </w:r>
      <w:proofErr w:type="spellEnd"/>
      <w:r>
        <w:rPr>
          <w:rFonts w:ascii="Times New Roman" w:hAnsi="Times New Roman" w:cs="Times New Roman"/>
          <w:sz w:val="24"/>
          <w:szCs w:val="24"/>
          <w:lang w:val="es-PE"/>
        </w:rPr>
        <w:t xml:space="preserve"> 4 de compra fraudulenta vía internet mediante el uso indebido de la tarjeta, no limita el riesgo a determinadas modalidades delictivas que facilitan el uso indebido de la tarjeta, sólo condiciona que la compra haya sido sin autorización y conocimiento del asegurado. </w:t>
      </w:r>
    </w:p>
    <w:p w:rsidR="00C16D8A" w:rsidP="00C16D8A" w:rsidRDefault="00C16D8A" w14:paraId="3E2BC1E9" w14:textId="77777777">
      <w:pPr>
        <w:pStyle w:val="Default"/>
        <w:spacing w:line="240" w:lineRule="auto"/>
        <w:jc w:val="both"/>
        <w:rPr>
          <w:rFonts w:ascii="Times New Roman" w:hAnsi="Times New Roman" w:cs="Times New Roman"/>
        </w:rPr>
      </w:pPr>
      <w:r>
        <w:rPr>
          <w:rFonts w:ascii="Times New Roman" w:hAnsi="Times New Roman" w:cs="Times New Roman"/>
          <w:sz w:val="24"/>
        </w:rPr>
        <w:t xml:space="preserve">A este efecto, el Órgano Resolutorio Unipersonal verificó de las pruebas que obraban en autos, que en el certificado de seguro la descripción de la cobertura de compra fraudulenta no limitaba el supuesto de uso indebido a los casos de previo robo o hurto de la tarjeta como sostiene la aseguradora. </w:t>
      </w:r>
    </w:p>
    <w:p w:rsidR="00C16D8A" w:rsidP="00C16D8A" w:rsidRDefault="00C16D8A" w14:paraId="2FBAE59B" w14:textId="77777777">
      <w:pPr>
        <w:pStyle w:val="Default"/>
        <w:spacing w:line="240" w:lineRule="auto"/>
        <w:jc w:val="both"/>
        <w:rPr>
          <w:rFonts w:ascii="Times New Roman" w:hAnsi="Times New Roman" w:cs="Times New Roman"/>
        </w:rPr>
      </w:pPr>
    </w:p>
    <w:p w:rsidR="00C16D8A" w:rsidP="00C16D8A" w:rsidRDefault="00C16D8A" w14:paraId="30073C9B" w14:textId="77777777">
      <w:pPr>
        <w:pStyle w:val="Default"/>
        <w:spacing w:line="240" w:lineRule="auto"/>
        <w:jc w:val="both"/>
        <w:rPr>
          <w:rFonts w:ascii="Times New Roman" w:hAnsi="Times New Roman" w:cs="Times New Roman"/>
        </w:rPr>
      </w:pPr>
      <w:r>
        <w:rPr>
          <w:rFonts w:ascii="Times New Roman" w:hAnsi="Times New Roman" w:cs="Times New Roman"/>
          <w:sz w:val="24"/>
        </w:rPr>
        <w:t xml:space="preserve">Por otro lado, en el rechazo comunicado al asegurado mediante carta de fecha 22 de diciembre de 2022, solo se señaló que la cobertura no encajaba dentro de los riesgos coberturas, más no se alegó el incumplimiento de una carga (bloqueo extemporáneo de la tarjeta). </w:t>
      </w:r>
    </w:p>
    <w:p w:rsidR="00C16D8A" w:rsidP="00C16D8A" w:rsidRDefault="00C16D8A" w14:paraId="20ACE339" w14:textId="77777777">
      <w:pPr>
        <w:pStyle w:val="Default"/>
        <w:spacing w:line="240" w:lineRule="auto"/>
        <w:jc w:val="both"/>
        <w:rPr>
          <w:rFonts w:ascii="Times New Roman" w:hAnsi="Times New Roman" w:cs="Times New Roman"/>
        </w:rPr>
      </w:pPr>
    </w:p>
    <w:p w:rsidRPr="009D7BF6" w:rsidR="00C16D8A" w:rsidP="00C16D8A" w:rsidRDefault="00C16D8A" w14:paraId="42AD8E3A" w14:textId="2AB1D30F">
      <w:pPr>
        <w:pStyle w:val="Default"/>
        <w:spacing w:line="240" w:lineRule="auto"/>
        <w:jc w:val="both"/>
        <w:rPr>
          <w:rFonts w:ascii="Times New Roman" w:hAnsi="Times New Roman" w:cs="Times New Roman"/>
        </w:rPr>
      </w:pPr>
      <w:r>
        <w:rPr>
          <w:rFonts w:ascii="Times New Roman" w:hAnsi="Times New Roman"/>
          <w:sz w:val="24"/>
        </w:rPr>
        <w:t xml:space="preserve">Así, se debe tener presente que de conformidad con el artículo 11 de la Resolución S.B.S. N° 3202-2013 - Reglamento para la Gestión y Pago de Siniestros – de 24 de mayo de 2013, cuando no intervine un ajustador (como en el presente caso) “Dentro de los treinta (30) días siguientes a la fecha de haber recibido la documentación e información completa exigida en la póliza para el proceso de liquidación del siniestro, la empresa ………………… (…)”.</w:t>
      </w:r>
    </w:p>
    <w:p w:rsidR="00C16D8A" w:rsidP="00C16D8A" w:rsidRDefault="00C16D8A" w14:paraId="173624A9" w14:textId="77777777">
      <w:pPr>
        <w:pStyle w:val="Default"/>
        <w:spacing w:line="240" w:lineRule="auto"/>
        <w:jc w:val="both"/>
        <w:rPr>
          <w:rFonts w:ascii="Times New Roman" w:hAnsi="Times New Roman" w:cs="Times New Roman"/>
          <w:i/>
          <w:iCs/>
        </w:rPr>
      </w:pPr>
    </w:p>
    <w:p w:rsidR="00C16D8A" w:rsidP="00C16D8A" w:rsidRDefault="00C16D8A" w14:paraId="132915DA" w14:textId="77777777">
      <w:pPr>
        <w:pStyle w:val="Default"/>
        <w:spacing w:line="240" w:lineRule="auto"/>
        <w:jc w:val="both"/>
        <w:rPr>
          <w:rFonts w:ascii="Times New Roman" w:hAnsi="Times New Roman" w:cs="Times New Roman"/>
        </w:rPr>
      </w:pPr>
      <w:r>
        <w:rPr>
          <w:rFonts w:ascii="Times New Roman" w:hAnsi="Times New Roman" w:cs="Times New Roman"/>
          <w:sz w:val="24"/>
        </w:rPr>
        <w:t>En tal sentido, es claro que la aseguradora cuenta con el plazo de treinta (30) días calendario para sustentar su rechazo, sin poder añadir nuevas causales de forma posterior, como, por ejemplo, con la presentación de sus descargos.</w:t>
      </w:r>
    </w:p>
    <w:p w:rsidR="00C16D8A" w:rsidP="00C16D8A" w:rsidRDefault="00C16D8A" w14:paraId="2A38175A" w14:textId="77777777">
      <w:pPr>
        <w:pStyle w:val="Default"/>
        <w:spacing w:line="240" w:lineRule="auto"/>
        <w:jc w:val="both"/>
        <w:rPr>
          <w:rFonts w:ascii="Times New Roman" w:hAnsi="Times New Roman" w:cs="Times New Roman"/>
        </w:rPr>
      </w:pPr>
    </w:p>
    <w:p w:rsidR="00C16D8A" w:rsidP="00C16D8A" w:rsidRDefault="00C16D8A" w14:paraId="44E4924A" w14:textId="301F7AB4">
      <w:pPr>
        <w:pStyle w:val="Default"/>
        <w:spacing w:line="240" w:lineRule="auto"/>
        <w:jc w:val="both"/>
        <w:rPr>
          <w:rFonts w:ascii="Times New Roman" w:hAnsi="Times New Roman" w:cs="Times New Roman"/>
        </w:rPr>
      </w:pPr>
      <w:r w:rsidRPr="7E577111" w:rsidR="00C16D8A">
        <w:rPr>
          <w:rFonts w:ascii="Times New Roman" w:hAnsi="Times New Roman" w:cs="Times New Roman"/>
          <w:sz w:val="24"/>
        </w:rPr>
        <w:t xml:space="preserve">Por ello, carece de sustento que </w:t>
      </w:r>
      <w:r w:rsidRPr="7E577111" w:rsidR="0FBAEF03">
        <w:rPr>
          <w:rFonts w:ascii="Times New Roman" w:hAnsi="Times New Roman" w:cs="Times New Roman"/>
          <w:sz w:val="24"/>
        </w:rPr>
        <w:t>...........................</w:t>
      </w:r>
      <w:r w:rsidRPr="7E577111" w:rsidR="00C16D8A">
        <w:rPr>
          <w:rFonts w:ascii="Times New Roman" w:hAnsi="Times New Roman" w:cs="Times New Roman"/>
          <w:sz w:val="24"/>
        </w:rPr>
        <w:t xml:space="preserve"> pretenda oponer el bloqueo extemporáneo de la tarjeta - incumplimiento de una carga contractual -, para justificar el rechazo de la cobertura. Al respecto, se deja constancia que la Compañía ha contado con el plazo legal para poder oponer esa causal de rechazo y no lo hizo.</w:t>
      </w:r>
    </w:p>
    <w:p w:rsidR="00C16D8A" w:rsidP="00C16D8A" w:rsidRDefault="00C16D8A" w14:paraId="0FCCFC60" w14:textId="77777777">
      <w:pPr>
        <w:pStyle w:val="Default"/>
        <w:spacing w:line="240" w:lineRule="auto"/>
        <w:jc w:val="both"/>
        <w:rPr>
          <w:rFonts w:ascii="Times New Roman" w:hAnsi="Times New Roman" w:cs="Times New Roman"/>
        </w:rPr>
      </w:pPr>
    </w:p>
    <w:p w:rsidR="00C16D8A" w:rsidP="00C16D8A" w:rsidRDefault="00C16D8A" w14:paraId="45FA9A09" w14:textId="77777777">
      <w:pPr>
        <w:spacing w:line="240" w:lineRule="auto"/>
        <w:jc w:val="both"/>
        <w:rPr>
          <w:rFonts w:ascii="Times New Roman" w:hAnsi="Times New Roman" w:cs="Times New Roman"/>
          <w:sz w:val="24"/>
          <w:szCs w:val="24"/>
          <w:lang w:val="es-PE"/>
        </w:rPr>
      </w:pPr>
      <w:r>
        <w:rPr>
          <w:rFonts w:ascii="Times New Roman" w:hAnsi="Times New Roman" w:cs="Times New Roman"/>
          <w:b/>
          <w:sz w:val="24"/>
          <w:szCs w:val="24"/>
          <w:u w:val="single"/>
          <w:lang w:val="es-PE"/>
        </w:rPr>
        <w:t>TERCERO</w:t>
      </w:r>
      <w:r>
        <w:rPr>
          <w:rFonts w:ascii="Times New Roman" w:hAnsi="Times New Roman" w:cs="Times New Roman"/>
          <w:b/>
          <w:sz w:val="24"/>
          <w:szCs w:val="24"/>
          <w:lang w:val="es-PE"/>
        </w:rPr>
        <w:t>:</w:t>
      </w:r>
      <w:r>
        <w:rPr>
          <w:rFonts w:ascii="Times New Roman" w:hAnsi="Times New Roman" w:cs="Times New Roman"/>
          <w:sz w:val="24"/>
          <w:szCs w:val="24"/>
          <w:lang w:val="es-PE"/>
        </w:rPr>
        <w:t xml:space="preserve">  Por lo expuesto, este Colegiado aprecia finalmente que no se ha aportado suficiente prueba que conlleve a conclusiones distintas a las establecidas en la resolución materia de impugnación, por lo que no existe mérito ni razón objetiva para revocarla.</w:t>
      </w:r>
    </w:p>
    <w:p w:rsidR="00C16D8A" w:rsidP="00C16D8A" w:rsidRDefault="00C16D8A" w14:paraId="39F416B9" w14:textId="77777777">
      <w:pPr>
        <w:spacing w:line="240" w:lineRule="auto"/>
        <w:jc w:val="both"/>
        <w:rPr>
          <w:rFonts w:ascii="Times New Roman" w:hAnsi="Times New Roman" w:cs="Times New Roman"/>
          <w:b/>
          <w:sz w:val="24"/>
          <w:szCs w:val="24"/>
          <w:lang w:val="es-PE"/>
        </w:rPr>
      </w:pPr>
      <w:r>
        <w:rPr>
          <w:rFonts w:ascii="Times New Roman" w:hAnsi="Times New Roman"/>
          <w:sz w:val="24"/>
        </w:rPr>
        <w:t xml:space="preserve">ATENDIENDO A LO EXPRESADO, CONFORME A SU REGLAMENTO, …………………:</w:t>
      </w:r>
    </w:p>
    <w:p w:rsidR="00C16D8A" w:rsidP="7E577111" w:rsidRDefault="00C16D8A" w14:paraId="64188DAC" w14:textId="41555DBC">
      <w:pPr>
        <w:pStyle w:val="Default"/>
        <w:spacing w:line="240" w:lineRule="auto"/>
        <w:jc w:val="both"/>
        <w:rPr>
          <w:rFonts w:ascii="Times New Roman" w:hAnsi="Times New Roman" w:cs="Times New Roman"/>
          <w:b w:val="1"/>
          <w:bCs w:val="1"/>
        </w:rPr>
      </w:pPr>
      <w:r>
        <w:rPr>
          <w:rFonts w:ascii="Times New Roman" w:hAnsi="Times New Roman"/>
          <w:sz w:val="24"/>
        </w:rPr>
        <w:t xml:space="preserve">DECLARAR INFUNDADO el Recurso de Impugnación interpuesto por ...................................................... y, por consiguiente, CONFIRMAR la Resolución N° 019/23.</w:t>
      </w:r>
    </w:p>
    <w:p w:rsidRPr="00DB5079" w:rsidR="00231C58" w:rsidP="00527B27" w:rsidRDefault="00231C58" w14:paraId="2269147E"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DB5079" w:rsidR="00077B6F" w:rsidP="00C671F5" w:rsidRDefault="0091528B" w14:paraId="78A39B5B" w14:textId="441084F6">
      <w:pPr>
        <w:suppressAutoHyphens/>
        <w:spacing w:after="0" w:line="240" w:lineRule="auto"/>
        <w:jc w:val="right"/>
        <w:outlineLvl w:val="0"/>
        <w:rPr>
          <w:rFonts w:ascii="Times New Roman" w:hAnsi="Times New Roman" w:eastAsia="Arial Unicode MS" w:cs="Times New Roman"/>
          <w:sz w:val="24"/>
          <w:szCs w:val="24"/>
          <w:lang w:val="es-PE" w:eastAsia="ar-SA"/>
        </w:rPr>
      </w:pPr>
      <w:r w:rsidRPr="00DB5079">
        <w:rPr>
          <w:rFonts w:ascii="Times New Roman" w:hAnsi="Times New Roman" w:eastAsia="Arial Unicode MS" w:cs="Times New Roman"/>
          <w:sz w:val="24"/>
          <w:szCs w:val="24"/>
          <w:lang w:val="es-PE" w:eastAsia="ar-SA"/>
        </w:rPr>
        <w:t xml:space="preserve">Lima, </w:t>
      </w:r>
      <w:r w:rsidRPr="00DB5079" w:rsidR="00411866">
        <w:rPr>
          <w:rFonts w:ascii="Times New Roman" w:hAnsi="Times New Roman" w:eastAsia="Arial Unicode MS" w:cs="Times New Roman"/>
          <w:sz w:val="24"/>
          <w:szCs w:val="24"/>
          <w:lang w:val="es-PE" w:eastAsia="ar-SA"/>
        </w:rPr>
        <w:t>0</w:t>
      </w:r>
      <w:r w:rsidRPr="00DB5079" w:rsidR="00772376">
        <w:rPr>
          <w:rFonts w:ascii="Times New Roman" w:hAnsi="Times New Roman" w:eastAsia="Arial Unicode MS" w:cs="Times New Roman"/>
          <w:sz w:val="24"/>
          <w:szCs w:val="24"/>
          <w:lang w:val="es-PE" w:eastAsia="ar-SA"/>
        </w:rPr>
        <w:t>8</w:t>
      </w:r>
      <w:r w:rsidRPr="00DB5079" w:rsidR="00707C99">
        <w:rPr>
          <w:rFonts w:ascii="Times New Roman" w:hAnsi="Times New Roman" w:eastAsia="Arial Unicode MS" w:cs="Times New Roman"/>
          <w:sz w:val="24"/>
          <w:szCs w:val="24"/>
          <w:lang w:val="es-PE" w:eastAsia="ar-SA"/>
        </w:rPr>
        <w:t xml:space="preserve"> de </w:t>
      </w:r>
      <w:r w:rsidRPr="00DB5079" w:rsidR="00772376">
        <w:rPr>
          <w:rFonts w:ascii="Times New Roman" w:hAnsi="Times New Roman" w:eastAsia="Arial Unicode MS" w:cs="Times New Roman"/>
          <w:sz w:val="24"/>
          <w:szCs w:val="24"/>
          <w:lang w:val="es-PE" w:eastAsia="ar-SA"/>
        </w:rPr>
        <w:t>mayo</w:t>
      </w:r>
      <w:r w:rsidRPr="00DB5079" w:rsidR="00411866">
        <w:rPr>
          <w:rFonts w:ascii="Times New Roman" w:hAnsi="Times New Roman" w:eastAsia="Arial Unicode MS" w:cs="Times New Roman"/>
          <w:sz w:val="24"/>
          <w:szCs w:val="24"/>
          <w:lang w:val="es-PE" w:eastAsia="ar-SA"/>
        </w:rPr>
        <w:t xml:space="preserve"> </w:t>
      </w:r>
      <w:r w:rsidRPr="00DB5079" w:rsidR="00F06498">
        <w:rPr>
          <w:rFonts w:ascii="Times New Roman" w:hAnsi="Times New Roman" w:eastAsia="Arial Unicode MS" w:cs="Times New Roman"/>
          <w:sz w:val="24"/>
          <w:szCs w:val="24"/>
          <w:lang w:val="es-PE" w:eastAsia="ar-SA"/>
        </w:rPr>
        <w:t>de 202</w:t>
      </w:r>
      <w:r w:rsidRPr="00DB5079" w:rsidR="00B340D4">
        <w:rPr>
          <w:rFonts w:ascii="Times New Roman" w:hAnsi="Times New Roman" w:eastAsia="Arial Unicode MS" w:cs="Times New Roman"/>
          <w:sz w:val="24"/>
          <w:szCs w:val="24"/>
          <w:lang w:val="es-PE" w:eastAsia="ar-SA"/>
        </w:rPr>
        <w:t>3</w:t>
      </w:r>
      <w:r w:rsidRPr="00DB5079" w:rsidR="00707C99">
        <w:rPr>
          <w:rFonts w:ascii="Times New Roman" w:hAnsi="Times New Roman" w:eastAsia="Times New Roman" w:cs="Times New Roman"/>
          <w:sz w:val="24"/>
          <w:szCs w:val="24"/>
          <w:lang w:val="es-PE" w:eastAsia="ar-SA"/>
        </w:rPr>
        <w:t xml:space="preserve"> </w:t>
      </w:r>
    </w:p>
    <w:p w:rsidRPr="00DB5079"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DB5079"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DB5079"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DB5079">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DB5079" w:rsidR="00C671F5" w:rsidP="00C671F5" w:rsidRDefault="00C671F5" w14:paraId="342CC185" w14:textId="77777777">
      <w:pPr>
        <w:spacing w:after="0" w:line="360" w:lineRule="auto"/>
        <w:jc w:val="both"/>
        <w:rPr>
          <w:rFonts w:ascii="Times New Roman" w:hAnsi="Times New Roman" w:cs="Times New Roman"/>
          <w:b/>
          <w:bCs/>
          <w:i/>
          <w:iCs/>
          <w:sz w:val="24"/>
          <w:szCs w:val="24"/>
          <w:lang w:val="es-PE"/>
        </w:rPr>
      </w:pPr>
    </w:p>
    <w:p w:rsidRPr="00DB5079" w:rsidR="00AE6BD5" w:rsidP="00AE6BD5" w:rsidRDefault="00AE6BD5" w14:paraId="16F0767B" w14:textId="26F480E2">
      <w:pPr>
        <w:spacing w:after="0" w:line="360" w:lineRule="auto"/>
        <w:jc w:val="center"/>
        <w:rPr>
          <w:rFonts w:ascii="Times New Roman" w:hAnsi="Times New Roman" w:cs="Times New Roman"/>
          <w:b/>
          <w:bCs/>
          <w:sz w:val="24"/>
          <w:szCs w:val="24"/>
          <w:lang w:val="es-PE"/>
        </w:rPr>
      </w:pPr>
      <w:r w:rsidRPr="00DB5079">
        <w:rPr>
          <w:rFonts w:ascii="Times New Roman" w:hAnsi="Times New Roman" w:cs="Times New Roman"/>
          <w:b/>
          <w:bCs/>
          <w:sz w:val="24"/>
          <w:szCs w:val="24"/>
          <w:lang w:val="es-PE"/>
        </w:rPr>
        <w:t xml:space="preserve">Omar Alfaro Villanueva – </w:t>
      </w:r>
      <w:proofErr w:type="gramStart"/>
      <w:r w:rsidRPr="00DB5079">
        <w:rPr>
          <w:rFonts w:ascii="Times New Roman" w:hAnsi="Times New Roman" w:cs="Times New Roman"/>
          <w:b/>
          <w:bCs/>
          <w:sz w:val="24"/>
          <w:szCs w:val="24"/>
          <w:lang w:val="es-PE"/>
        </w:rPr>
        <w:t>Presidente</w:t>
      </w:r>
      <w:proofErr w:type="gramEnd"/>
    </w:p>
    <w:p w:rsidRPr="00411866" w:rsidR="00C671F5" w:rsidP="001A555F" w:rsidRDefault="001A555F" w14:paraId="3408E6CE" w14:textId="458CBD00">
      <w:pPr>
        <w:spacing w:after="0" w:line="360" w:lineRule="auto"/>
        <w:jc w:val="center"/>
        <w:rPr>
          <w:rFonts w:ascii="Times New Roman" w:hAnsi="Times New Roman" w:cs="Times New Roman"/>
          <w:b/>
          <w:bCs/>
          <w:sz w:val="24"/>
          <w:szCs w:val="24"/>
          <w:lang w:val="es-PE"/>
        </w:rPr>
      </w:pPr>
      <w:r w:rsidRPr="00411866">
        <w:rPr>
          <w:rFonts w:ascii="Times New Roman" w:hAnsi="Times New Roman" w:cs="Times New Roman"/>
          <w:b/>
          <w:bCs/>
          <w:sz w:val="24"/>
          <w:szCs w:val="24"/>
          <w:lang w:val="es-PE"/>
        </w:rPr>
        <w:t xml:space="preserve">María Eugenia Valdez Fernández Baca </w:t>
      </w:r>
      <w:r w:rsidRPr="00411866" w:rsidR="00AE6BD5">
        <w:rPr>
          <w:rFonts w:ascii="Times New Roman" w:hAnsi="Times New Roman" w:cs="Times New Roman"/>
          <w:b/>
          <w:bCs/>
          <w:sz w:val="24"/>
          <w:szCs w:val="24"/>
          <w:lang w:val="es-PE"/>
        </w:rPr>
        <w:t>–</w:t>
      </w:r>
      <w:r w:rsidR="00AE6BD5">
        <w:rPr>
          <w:rFonts w:ascii="Times New Roman" w:hAnsi="Times New Roman" w:cs="Times New Roman"/>
          <w:b/>
          <w:bCs/>
          <w:sz w:val="24"/>
          <w:szCs w:val="24"/>
          <w:lang w:val="es-PE"/>
        </w:rPr>
        <w:t xml:space="preserve"> </w:t>
      </w:r>
      <w:r w:rsidRPr="00411866" w:rsidR="00AE6BD5">
        <w:rPr>
          <w:rFonts w:ascii="Times New Roman" w:hAnsi="Times New Roman" w:cs="Times New Roman"/>
          <w:b/>
          <w:bCs/>
          <w:sz w:val="24"/>
          <w:szCs w:val="24"/>
          <w:lang w:val="es-PE"/>
        </w:rPr>
        <w:t>Vocal</w:t>
      </w:r>
    </w:p>
    <w:p w:rsidRPr="00411866" w:rsidR="00C671F5" w:rsidP="00C671F5" w:rsidRDefault="00231C58" w14:paraId="7CE41ADF" w14:textId="0E336E74">
      <w:pPr>
        <w:spacing w:after="0" w:line="360" w:lineRule="auto"/>
        <w:jc w:val="center"/>
        <w:rPr>
          <w:rFonts w:ascii="Times New Roman" w:hAnsi="Times New Roman" w:cs="Times New Roman"/>
          <w:b/>
          <w:bCs/>
          <w:sz w:val="24"/>
          <w:szCs w:val="24"/>
          <w:lang w:val="es-PE"/>
        </w:rPr>
      </w:pPr>
      <w:r w:rsidRPr="00411866">
        <w:rPr>
          <w:rFonts w:ascii="Times New Roman" w:hAnsi="Times New Roman" w:cs="Times New Roman"/>
          <w:b/>
          <w:bCs/>
          <w:sz w:val="24"/>
          <w:szCs w:val="24"/>
          <w:lang w:val="es-PE"/>
        </w:rPr>
        <w:t xml:space="preserve">Rolando Eyzaguirre </w:t>
      </w:r>
      <w:proofErr w:type="spellStart"/>
      <w:r w:rsidRPr="00411866">
        <w:rPr>
          <w:rFonts w:ascii="Times New Roman" w:hAnsi="Times New Roman" w:cs="Times New Roman"/>
          <w:b/>
          <w:bCs/>
          <w:sz w:val="24"/>
          <w:szCs w:val="24"/>
          <w:lang w:val="es-PE"/>
        </w:rPr>
        <w:t>Maccan</w:t>
      </w:r>
      <w:proofErr w:type="spellEnd"/>
      <w:r w:rsidRPr="00411866">
        <w:rPr>
          <w:rFonts w:ascii="Times New Roman" w:hAnsi="Times New Roman" w:cs="Times New Roman"/>
          <w:b/>
          <w:bCs/>
          <w:sz w:val="24"/>
          <w:szCs w:val="24"/>
          <w:lang w:val="es-PE"/>
        </w:rPr>
        <w:t xml:space="preserve"> </w:t>
      </w:r>
      <w:r w:rsidRPr="00411866" w:rsidR="00C671F5">
        <w:rPr>
          <w:rFonts w:ascii="Times New Roman" w:hAnsi="Times New Roman" w:cs="Times New Roman"/>
          <w:b/>
          <w:bCs/>
          <w:sz w:val="24"/>
          <w:szCs w:val="24"/>
          <w:lang w:val="es-PE"/>
        </w:rPr>
        <w:t>– Vocal</w:t>
      </w:r>
    </w:p>
    <w:p w:rsidRPr="0013051A" w:rsidR="00C671F5" w:rsidP="00C671F5" w:rsidRDefault="00C671F5" w14:paraId="3A9CFE9F" w14:textId="4DFF4426">
      <w:pPr>
        <w:spacing w:after="0" w:line="360" w:lineRule="auto"/>
        <w:jc w:val="center"/>
        <w:rPr>
          <w:rFonts w:ascii="Times New Roman" w:hAnsi="Times New Roman" w:cs="Times New Roman"/>
          <w:sz w:val="24"/>
          <w:szCs w:val="24"/>
          <w:lang w:val="es-PE"/>
        </w:rPr>
      </w:pPr>
      <w:r w:rsidRPr="0013051A">
        <w:rPr>
          <w:rFonts w:ascii="Times New Roman" w:hAnsi="Times New Roman" w:cs="Times New Roman"/>
          <w:b/>
          <w:bCs/>
          <w:sz w:val="24"/>
          <w:szCs w:val="24"/>
          <w:lang w:val="es-PE"/>
        </w:rPr>
        <w:t xml:space="preserve">Gonzalo Abad del Busto </w:t>
      </w:r>
      <w:r w:rsidRPr="0013051A" w:rsidR="00231C58">
        <w:rPr>
          <w:rFonts w:ascii="Times New Roman" w:hAnsi="Times New Roman" w:cs="Times New Roman"/>
          <w:b/>
          <w:bCs/>
          <w:sz w:val="24"/>
          <w:szCs w:val="24"/>
          <w:lang w:val="es-PE"/>
        </w:rPr>
        <w:t xml:space="preserve">– </w:t>
      </w:r>
      <w:r w:rsidRPr="0013051A">
        <w:rPr>
          <w:rFonts w:ascii="Times New Roman" w:hAnsi="Times New Roman" w:cs="Times New Roman"/>
          <w:b/>
          <w:bCs/>
          <w:sz w:val="24"/>
          <w:szCs w:val="24"/>
          <w:lang w:val="es-PE"/>
        </w:rPr>
        <w:t>Vocal</w:t>
      </w:r>
    </w:p>
    <w:p w:rsidRPr="0013051A"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13051A"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13051A" w:rsidR="00C671F5" w:rsidSect="00077B6F">
      <w:headerReference w:type="default" r:id="rId8"/>
      <w:footerReference w:type="default" r:id="rId9"/>
      <w:headerReference w:type="first" r:id="rId12"/>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42B53" w:rsidP="00784355" w:rsidRDefault="00942B53" w14:paraId="417DC3D9" w14:textId="77777777">
      <w:pPr>
        <w:spacing w:after="0" w:line="240" w:lineRule="auto"/>
      </w:pPr>
      <w:r>
        <w:separator/>
      </w:r>
    </w:p>
  </w:endnote>
  <w:endnote w:type="continuationSeparator" w:id="0">
    <w:p w:rsidR="00942B53" w:rsidP="00784355" w:rsidRDefault="00942B53" w14:paraId="7A953EC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42B53" w:rsidP="00784355" w:rsidRDefault="00942B53" w14:paraId="5BB77775" w14:textId="77777777">
      <w:pPr>
        <w:spacing w:after="0" w:line="240" w:lineRule="auto"/>
      </w:pPr>
      <w:r>
        <w:separator/>
      </w:r>
    </w:p>
  </w:footnote>
  <w:footnote w:type="continuationSeparator" w:id="0">
    <w:p w:rsidR="00942B53" w:rsidP="00784355" w:rsidRDefault="00942B53" w14:paraId="398DE88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1"/>
  </w:num>
  <w:num w:numId="2" w16cid:durableId="1929533434">
    <w:abstractNumId w:val="5"/>
  </w:num>
  <w:num w:numId="3" w16cid:durableId="333261791">
    <w:abstractNumId w:val="3"/>
  </w:num>
  <w:num w:numId="4" w16cid:durableId="1770345525">
    <w:abstractNumId w:val="2"/>
  </w:num>
  <w:num w:numId="5" w16cid:durableId="1816144979">
    <w:abstractNumId w:val="4"/>
  </w:num>
  <w:num w:numId="6" w16cid:durableId="1304313350">
    <w:abstractNumId w:val="0"/>
  </w:num>
  <w:num w:numId="7" w16cid:durableId="16682880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235E9"/>
    <w:rsid w:val="0002637D"/>
    <w:rsid w:val="0002733C"/>
    <w:rsid w:val="00027978"/>
    <w:rsid w:val="00032687"/>
    <w:rsid w:val="0004480C"/>
    <w:rsid w:val="000512AD"/>
    <w:rsid w:val="00053D16"/>
    <w:rsid w:val="00056D9F"/>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16B6A"/>
    <w:rsid w:val="0012166D"/>
    <w:rsid w:val="00125B9B"/>
    <w:rsid w:val="0013051A"/>
    <w:rsid w:val="001320DF"/>
    <w:rsid w:val="00136E12"/>
    <w:rsid w:val="001373AF"/>
    <w:rsid w:val="001377EF"/>
    <w:rsid w:val="00150874"/>
    <w:rsid w:val="001508BC"/>
    <w:rsid w:val="001529FE"/>
    <w:rsid w:val="00160361"/>
    <w:rsid w:val="001703D8"/>
    <w:rsid w:val="00170E39"/>
    <w:rsid w:val="00174918"/>
    <w:rsid w:val="00174DA5"/>
    <w:rsid w:val="00181908"/>
    <w:rsid w:val="00181DCE"/>
    <w:rsid w:val="00187BFD"/>
    <w:rsid w:val="001A008A"/>
    <w:rsid w:val="001A3395"/>
    <w:rsid w:val="001A44E1"/>
    <w:rsid w:val="001A555F"/>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34A33"/>
    <w:rsid w:val="00241719"/>
    <w:rsid w:val="00243F6B"/>
    <w:rsid w:val="002528B8"/>
    <w:rsid w:val="0026162A"/>
    <w:rsid w:val="0027261F"/>
    <w:rsid w:val="00272F4F"/>
    <w:rsid w:val="0027301E"/>
    <w:rsid w:val="00274985"/>
    <w:rsid w:val="002768C6"/>
    <w:rsid w:val="00276A92"/>
    <w:rsid w:val="00277667"/>
    <w:rsid w:val="00283E79"/>
    <w:rsid w:val="00290CA4"/>
    <w:rsid w:val="002A31D3"/>
    <w:rsid w:val="002A7E2E"/>
    <w:rsid w:val="002B726E"/>
    <w:rsid w:val="002C2A0F"/>
    <w:rsid w:val="002D0DB0"/>
    <w:rsid w:val="002D3B01"/>
    <w:rsid w:val="002E0275"/>
    <w:rsid w:val="002E1221"/>
    <w:rsid w:val="002E17F9"/>
    <w:rsid w:val="002F09CA"/>
    <w:rsid w:val="002F35F0"/>
    <w:rsid w:val="003045E3"/>
    <w:rsid w:val="00314603"/>
    <w:rsid w:val="0032132E"/>
    <w:rsid w:val="00340E4B"/>
    <w:rsid w:val="00341784"/>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1866"/>
    <w:rsid w:val="00417E23"/>
    <w:rsid w:val="00425F75"/>
    <w:rsid w:val="00426C11"/>
    <w:rsid w:val="00440BC2"/>
    <w:rsid w:val="00444232"/>
    <w:rsid w:val="00444DE9"/>
    <w:rsid w:val="00460C30"/>
    <w:rsid w:val="00465FB9"/>
    <w:rsid w:val="00466302"/>
    <w:rsid w:val="0047370C"/>
    <w:rsid w:val="0047522D"/>
    <w:rsid w:val="00476BA1"/>
    <w:rsid w:val="00496A1A"/>
    <w:rsid w:val="004A3E25"/>
    <w:rsid w:val="004B51ED"/>
    <w:rsid w:val="004C34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814"/>
    <w:rsid w:val="008916FF"/>
    <w:rsid w:val="00891DB3"/>
    <w:rsid w:val="00895A85"/>
    <w:rsid w:val="008A1D12"/>
    <w:rsid w:val="008A3A47"/>
    <w:rsid w:val="008B47F3"/>
    <w:rsid w:val="008B5C61"/>
    <w:rsid w:val="008D6DDF"/>
    <w:rsid w:val="008F1161"/>
    <w:rsid w:val="008F479E"/>
    <w:rsid w:val="009011F1"/>
    <w:rsid w:val="009127A6"/>
    <w:rsid w:val="0091528B"/>
    <w:rsid w:val="009157B1"/>
    <w:rsid w:val="00917CAF"/>
    <w:rsid w:val="009272D7"/>
    <w:rsid w:val="009305A8"/>
    <w:rsid w:val="00933532"/>
    <w:rsid w:val="00942B53"/>
    <w:rsid w:val="00943343"/>
    <w:rsid w:val="00946694"/>
    <w:rsid w:val="00951B99"/>
    <w:rsid w:val="00951CDB"/>
    <w:rsid w:val="00955C03"/>
    <w:rsid w:val="00964237"/>
    <w:rsid w:val="00966813"/>
    <w:rsid w:val="00967B16"/>
    <w:rsid w:val="0097301B"/>
    <w:rsid w:val="00974D2D"/>
    <w:rsid w:val="009754DD"/>
    <w:rsid w:val="0098136F"/>
    <w:rsid w:val="00997863"/>
    <w:rsid w:val="009A5B27"/>
    <w:rsid w:val="009A6404"/>
    <w:rsid w:val="009A701F"/>
    <w:rsid w:val="009A7E68"/>
    <w:rsid w:val="009B29C9"/>
    <w:rsid w:val="009B4291"/>
    <w:rsid w:val="009C1066"/>
    <w:rsid w:val="009C1372"/>
    <w:rsid w:val="009C5373"/>
    <w:rsid w:val="009C6404"/>
    <w:rsid w:val="009D3B98"/>
    <w:rsid w:val="009D6055"/>
    <w:rsid w:val="009D7BF6"/>
    <w:rsid w:val="009E5F11"/>
    <w:rsid w:val="009E7994"/>
    <w:rsid w:val="009F143B"/>
    <w:rsid w:val="009F2EEB"/>
    <w:rsid w:val="00A02270"/>
    <w:rsid w:val="00A077D2"/>
    <w:rsid w:val="00A16942"/>
    <w:rsid w:val="00A17A72"/>
    <w:rsid w:val="00A20E69"/>
    <w:rsid w:val="00A25F51"/>
    <w:rsid w:val="00A30393"/>
    <w:rsid w:val="00A32246"/>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5A9E"/>
    <w:rsid w:val="00AD1FEC"/>
    <w:rsid w:val="00AD2DF1"/>
    <w:rsid w:val="00AE4125"/>
    <w:rsid w:val="00AE6BD5"/>
    <w:rsid w:val="00AF5E87"/>
    <w:rsid w:val="00B00552"/>
    <w:rsid w:val="00B02BEE"/>
    <w:rsid w:val="00B11C1C"/>
    <w:rsid w:val="00B13613"/>
    <w:rsid w:val="00B17BD8"/>
    <w:rsid w:val="00B30B53"/>
    <w:rsid w:val="00B313E9"/>
    <w:rsid w:val="00B32325"/>
    <w:rsid w:val="00B340A4"/>
    <w:rsid w:val="00B340D4"/>
    <w:rsid w:val="00B355EC"/>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9376B"/>
    <w:rsid w:val="00C9581A"/>
    <w:rsid w:val="00C960BE"/>
    <w:rsid w:val="00C9791B"/>
    <w:rsid w:val="00CA3682"/>
    <w:rsid w:val="00CB44BB"/>
    <w:rsid w:val="00CC4AEF"/>
    <w:rsid w:val="00CC6C0C"/>
    <w:rsid w:val="00CD4BE8"/>
    <w:rsid w:val="00CF158B"/>
    <w:rsid w:val="00CF55D6"/>
    <w:rsid w:val="00CF78D3"/>
    <w:rsid w:val="00D10B27"/>
    <w:rsid w:val="00D12CFF"/>
    <w:rsid w:val="00D156AF"/>
    <w:rsid w:val="00D16367"/>
    <w:rsid w:val="00D2092C"/>
    <w:rsid w:val="00D22DC3"/>
    <w:rsid w:val="00D25683"/>
    <w:rsid w:val="00D27042"/>
    <w:rsid w:val="00D322D9"/>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21E9"/>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B4B0C"/>
    <w:rsid w:val="00FC0D10"/>
    <w:rsid w:val="00FC1934"/>
    <w:rsid w:val="00FE38F0"/>
    <w:rsid w:val="00FE43A9"/>
    <w:rsid w:val="00FE6588"/>
    <w:rsid w:val="00FE73F3"/>
    <w:rsid w:val="00FF41F3"/>
    <w:rsid w:val="0FBAEF03"/>
    <w:rsid w:val="376FE2AB"/>
    <w:rsid w:val="656EC4D8"/>
    <w:rsid w:val="713F408F"/>
    <w:rsid w:val="7E577111"/>
    <w:rsid w:val="7E6D0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17852A8B-57CA-4181-915A-1E178E124CDD}"/>
</file>

<file path=customXml/itemProps3.xml><?xml version="1.0" encoding="utf-8"?>
<ds:datastoreItem xmlns:ds="http://schemas.openxmlformats.org/officeDocument/2006/customXml" ds:itemID="{4555DF9F-F2F9-4745-A88A-E5D6860CC6E7}"/>
</file>

<file path=customXml/itemProps4.xml><?xml version="1.0" encoding="utf-8"?>
<ds:datastoreItem xmlns:ds="http://schemas.openxmlformats.org/officeDocument/2006/customXml" ds:itemID="{63E0D273-F853-422D-AE5D-67824A15AD7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33</cp:revision>
  <cp:lastPrinted>2023-05-08T19:32:00Z</cp:lastPrinted>
  <dcterms:created xsi:type="dcterms:W3CDTF">2023-02-14T22:37:00Z</dcterms:created>
  <dcterms:modified xsi:type="dcterms:W3CDTF">2025-12-02T20:10:33Z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