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323F4" w:rsidR="00707C99" w:rsidP="00272F4F" w:rsidRDefault="00201C0D" w14:paraId="19FE0E96" w14:textId="09AB79A5">
      <w:pPr>
        <w:spacing w:after="0" w:line="240" w:lineRule="auto"/>
        <w:jc w:val="center"/>
        <w:rPr>
          <w:rFonts w:ascii="Times New Roman" w:hAnsi="Times New Roman" w:cs="Times New Roman"/>
          <w:b/>
          <w:sz w:val="23"/>
          <w:szCs w:val="23"/>
          <w:lang w:val="es-PE" w:eastAsia="ar-SA"/>
        </w:rPr>
      </w:pPr>
      <w:r w:rsidRPr="00A323F4">
        <w:rPr>
          <w:rFonts w:ascii="Times New Roman" w:hAnsi="Times New Roman" w:cs="Times New Roman"/>
          <w:b/>
          <w:sz w:val="24"/>
          <w:szCs w:val="23"/>
          <w:lang w:val="es-PE" w:eastAsia="ar-SA"/>
        </w:rPr>
        <w:t xml:space="preserve">RESOLUCIÓN DE RECURSO IMPUGNATIVO </w:t>
      </w:r>
      <w:proofErr w:type="spellStart"/>
      <w:r w:rsidRPr="00A323F4" w:rsidR="00707C99">
        <w:rPr>
          <w:rFonts w:ascii="Times New Roman" w:hAnsi="Times New Roman" w:cs="Times New Roman"/>
          <w:b/>
          <w:sz w:val="24"/>
          <w:szCs w:val="23"/>
          <w:lang w:val="es-PE" w:eastAsia="ar-SA"/>
        </w:rPr>
        <w:t>N°</w:t>
      </w:r>
      <w:proofErr w:type="spellEnd"/>
      <w:r w:rsidRPr="00A323F4" w:rsidR="00707C99">
        <w:rPr>
          <w:rFonts w:ascii="Times New Roman" w:hAnsi="Times New Roman" w:cs="Times New Roman"/>
          <w:b/>
          <w:sz w:val="24"/>
          <w:szCs w:val="23"/>
          <w:lang w:val="es-PE" w:eastAsia="ar-SA"/>
        </w:rPr>
        <w:t xml:space="preserve"> </w:t>
      </w:r>
      <w:r w:rsidRPr="00A323F4" w:rsidR="00C671F5">
        <w:rPr>
          <w:rFonts w:ascii="Times New Roman" w:hAnsi="Times New Roman" w:cs="Times New Roman"/>
          <w:b/>
          <w:sz w:val="24"/>
          <w:szCs w:val="23"/>
          <w:lang w:val="es-PE" w:eastAsia="ar-SA"/>
        </w:rPr>
        <w:t>0</w:t>
      </w:r>
      <w:r w:rsidRPr="00A323F4" w:rsidR="00817F65">
        <w:rPr>
          <w:rFonts w:ascii="Times New Roman" w:hAnsi="Times New Roman" w:cs="Times New Roman"/>
          <w:b/>
          <w:sz w:val="24"/>
          <w:szCs w:val="23"/>
          <w:lang w:val="es-PE" w:eastAsia="ar-SA"/>
        </w:rPr>
        <w:t>1</w:t>
      </w:r>
      <w:r w:rsidRPr="00A323F4" w:rsidR="00157979">
        <w:rPr>
          <w:rFonts w:ascii="Times New Roman" w:hAnsi="Times New Roman" w:cs="Times New Roman"/>
          <w:b/>
          <w:sz w:val="24"/>
          <w:szCs w:val="23"/>
          <w:lang w:val="es-PE" w:eastAsia="ar-SA"/>
        </w:rPr>
        <w:t>1</w:t>
      </w:r>
      <w:r w:rsidRPr="00A323F4" w:rsidR="00C671F5">
        <w:rPr>
          <w:rFonts w:ascii="Times New Roman" w:hAnsi="Times New Roman" w:cs="Times New Roman"/>
          <w:b/>
          <w:sz w:val="24"/>
          <w:szCs w:val="23"/>
          <w:lang w:val="es-PE" w:eastAsia="ar-SA"/>
        </w:rPr>
        <w:t>/2</w:t>
      </w:r>
      <w:r w:rsidRPr="00A323F4" w:rsidR="00AB7BFE">
        <w:rPr>
          <w:rFonts w:ascii="Times New Roman" w:hAnsi="Times New Roman" w:cs="Times New Roman"/>
          <w:b/>
          <w:sz w:val="24"/>
          <w:szCs w:val="23"/>
          <w:lang w:val="es-PE" w:eastAsia="ar-SA"/>
        </w:rPr>
        <w:t>3</w:t>
      </w:r>
    </w:p>
    <w:p w:rsidRPr="00A323F4" w:rsidR="00411866" w:rsidP="00411866" w:rsidRDefault="00411866" w14:paraId="3FC3AA9F" w14:textId="77777777">
      <w:pPr>
        <w:spacing w:after="0" w:line="240" w:lineRule="auto"/>
        <w:rPr>
          <w:rFonts w:ascii="Times New Roman" w:hAnsi="Times New Roman" w:cs="Times New Roman"/>
          <w:sz w:val="23"/>
          <w:szCs w:val="23"/>
          <w:lang w:val="es-PE"/>
        </w:rPr>
      </w:pPr>
    </w:p>
    <w:p w:rsidRPr="00A323F4" w:rsidR="00547F11" w:rsidP="00547F11" w:rsidRDefault="00547F11" w14:paraId="2EB4B094" w14:textId="77777777">
      <w:pPr>
        <w:spacing w:after="0" w:line="240" w:lineRule="auto"/>
        <w:jc w:val="both"/>
        <w:rPr>
          <w:rFonts w:ascii="Times New Roman" w:hAnsi="Times New Roman" w:cs="Times New Roman"/>
          <w:sz w:val="23"/>
          <w:szCs w:val="23"/>
          <w:lang w:val="es-PE"/>
        </w:rPr>
      </w:pPr>
      <w:r w:rsidRPr="00A323F4">
        <w:rPr>
          <w:rFonts w:ascii="Times New Roman" w:hAnsi="Times New Roman" w:cs="Times New Roman"/>
          <w:b/>
          <w:sz w:val="24"/>
          <w:szCs w:val="23"/>
          <w:lang w:val="es-PE"/>
        </w:rPr>
        <w:t xml:space="preserve">Vistos: </w:t>
      </w:r>
    </w:p>
    <w:p w:rsidRPr="00A323F4" w:rsidR="00547F11" w:rsidP="00547F11" w:rsidRDefault="00547F11" w14:paraId="64E6E971" w14:textId="77777777">
      <w:pPr>
        <w:spacing w:after="0" w:line="240" w:lineRule="auto"/>
        <w:jc w:val="both"/>
        <w:rPr>
          <w:rFonts w:ascii="Times New Roman" w:hAnsi="Times New Roman" w:cs="Times New Roman"/>
          <w:sz w:val="23"/>
          <w:szCs w:val="23"/>
          <w:lang w:val="es-PE"/>
        </w:rPr>
      </w:pPr>
    </w:p>
    <w:p w:rsidRPr="00A323F4" w:rsidR="00547F11" w:rsidP="00547F11" w:rsidRDefault="00547F11" w14:paraId="09967F6D" w14:textId="5452FAC3">
      <w:pPr>
        <w:spacing w:line="240" w:lineRule="auto"/>
        <w:jc w:val="both"/>
        <w:rPr>
          <w:rFonts w:ascii="Times New Roman" w:hAnsi="Times New Roman" w:cs="Times New Roman"/>
          <w:sz w:val="23"/>
          <w:szCs w:val="23"/>
          <w:lang w:val="es-PE"/>
        </w:rPr>
      </w:pPr>
      <w:r w:rsidRPr="09D04750" w:rsidR="00547F11">
        <w:rPr>
          <w:rFonts w:ascii="Times New Roman" w:hAnsi="Times New Roman" w:cs="Times New Roman"/>
          <w:sz w:val="24"/>
          <w:szCs w:val="23"/>
          <w:lang w:val="es-PE"/>
        </w:rPr>
        <w:t xml:space="preserve">El Recurso Impugnativo presentado el 27 de marzo de 2023 por </w:t>
      </w:r>
      <w:r w:rsidRPr="09D04750" w:rsidR="6A74ED6B">
        <w:rPr>
          <w:rFonts w:ascii="Times New Roman" w:hAnsi="Times New Roman" w:cs="Times New Roman"/>
          <w:sz w:val="24"/>
          <w:szCs w:val="23"/>
          <w:lang w:val="es-PE"/>
        </w:rPr>
        <w:t>.....................................................................</w:t>
      </w:r>
      <w:r w:rsidRPr="09D04750" w:rsidR="00547F11">
        <w:rPr>
          <w:rFonts w:ascii="Times New Roman" w:hAnsi="Times New Roman" w:cs="Times New Roman"/>
          <w:sz w:val="24"/>
          <w:szCs w:val="23"/>
          <w:lang w:val="es-PE"/>
        </w:rPr>
        <w:t xml:space="preserve">, respecto de la Resolución </w:t>
      </w:r>
      <w:r w:rsidRPr="09D04750" w:rsidR="00547F11">
        <w:rPr>
          <w:rFonts w:ascii="Times New Roman" w:hAnsi="Times New Roman" w:cs="Times New Roman"/>
          <w:sz w:val="24"/>
          <w:szCs w:val="23"/>
          <w:lang w:val="es-PE"/>
        </w:rPr>
        <w:t>N°</w:t>
      </w:r>
      <w:r w:rsidRPr="09D04750" w:rsidR="00547F11">
        <w:rPr>
          <w:rFonts w:ascii="Times New Roman" w:hAnsi="Times New Roman" w:cs="Times New Roman"/>
          <w:sz w:val="24"/>
          <w:szCs w:val="23"/>
          <w:lang w:val="es-PE"/>
        </w:rPr>
        <w:t xml:space="preserve"> 047/23 de fecha 21 de marzo de 2023 emitida por esta Defensoría del Asegurado (DEFASEG) que declaró INFUNDADA la reclamación interpuesta, sobre otorgamiento de cobertura al siniestro ocurrido por Responsabilidad Civil, bajo la Póliza de Seguro de Vehículos contratada.</w:t>
      </w:r>
    </w:p>
    <w:p w:rsidRPr="00A323F4" w:rsidR="00547F11" w:rsidP="00547F11" w:rsidRDefault="00547F11" w14:paraId="6DA3373C"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 xml:space="preserve">Que el señalado Recurso Impugnativo se fundamenta resumidamente en lo siguiente: 1) Que, frente al planteamiento referido en el inciso 1) del Considerando Noveno de la Resolución 047/23, el asegurado manifiesta su total desacuerdo, debido a que, el actuar del conductor no fue negligente, sino que su actuar recae en lo que se </w:t>
      </w:r>
      <w:proofErr w:type="gramStart"/>
      <w:r w:rsidRPr="00A323F4">
        <w:rPr>
          <w:rFonts w:ascii="Times New Roman" w:hAnsi="Times New Roman" w:cs="Times New Roman"/>
          <w:sz w:val="24"/>
          <w:szCs w:val="23"/>
          <w:lang w:val="es-PE"/>
        </w:rPr>
        <w:t>denomina como</w:t>
      </w:r>
      <w:proofErr w:type="gramEnd"/>
      <w:r w:rsidRPr="00A323F4">
        <w:rPr>
          <w:rFonts w:ascii="Times New Roman" w:hAnsi="Times New Roman" w:cs="Times New Roman"/>
          <w:sz w:val="24"/>
          <w:szCs w:val="23"/>
          <w:lang w:val="es-PE"/>
        </w:rPr>
        <w:t xml:space="preserve"> Culpa Leve. 2) Que, el conductor actuó con previsión: se colocó el arnés de la línea de vida; estaba en la plataforma para asegurar la carga; se quitó el arnés y seguía haciendo sus tareas; cuando se terminó de cargar la última parihuela, el coordinador de abastecimiento ordenó la salida de la unidad hacia la balanza y, el conductor prosigue con la operación olvidado desenganchar el cable del yoyo retráctil ocasionando el siniestro bajo análisis. Que, no hay “culpa inexcusable”, o “negligencia grave” del conductor. Se trató de un olvido involuntario; no se percató que el gancho del yoyo estaba enganchado a la carreta del vehículo. 3) Que, se presume que la inejecución de la obligación en este </w:t>
      </w:r>
      <w:proofErr w:type="gramStart"/>
      <w:r w:rsidRPr="00A323F4">
        <w:rPr>
          <w:rFonts w:ascii="Times New Roman" w:hAnsi="Times New Roman" w:cs="Times New Roman"/>
          <w:sz w:val="24"/>
          <w:szCs w:val="23"/>
          <w:lang w:val="es-PE"/>
        </w:rPr>
        <w:t>caso,</w:t>
      </w:r>
      <w:proofErr w:type="gramEnd"/>
      <w:r w:rsidRPr="00A323F4">
        <w:rPr>
          <w:rFonts w:ascii="Times New Roman" w:hAnsi="Times New Roman" w:cs="Times New Roman"/>
          <w:sz w:val="24"/>
          <w:szCs w:val="23"/>
          <w:lang w:val="es-PE"/>
        </w:rPr>
        <w:t xml:space="preserve"> obedece a culpa leve del conductor, ya que se trató de un descuido dentro de las funciones que estaba realizando. 4) Que, lo indicado en el Considerando Noveno: “que ambas partes coinciden en que la </w:t>
      </w:r>
      <w:proofErr w:type="gramStart"/>
      <w:r w:rsidRPr="00A323F4">
        <w:rPr>
          <w:rFonts w:ascii="Times New Roman" w:hAnsi="Times New Roman" w:cs="Times New Roman"/>
          <w:sz w:val="24"/>
          <w:szCs w:val="23"/>
          <w:lang w:val="es-PE"/>
        </w:rPr>
        <w:t>negligencia grave o culpa grave</w:t>
      </w:r>
      <w:proofErr w:type="gramEnd"/>
      <w:r w:rsidRPr="00A323F4">
        <w:rPr>
          <w:rFonts w:ascii="Times New Roman" w:hAnsi="Times New Roman" w:cs="Times New Roman"/>
          <w:sz w:val="24"/>
          <w:szCs w:val="23"/>
          <w:lang w:val="es-PE"/>
        </w:rPr>
        <w:t xml:space="preserve"> es la que se sanciona con la pérdida del derecho indemnizatorio, esta afirmación es falsa, ya que el asegurado no acepta la teoría de la “negligencia grave” o “culpa grave”, debido a que dichos conceptos no existen en el glosario de la póliza ni mucho menos en el Código Civil”. Que, queda claro entonces que la Ley de Contrato de Seguro, para el riesgo de Responsabilidad Civil, estipula que los actos u estipulaciones dolosas son las que no tienen cobertura, dejando al amparo de la cobertura, por las acciones culposas del asegurado: es de entender entonces el motivo por el cual doctrinariamente a este tipo de seguro se le conoce como el Seguro de las Culpas. 5) Que, en el Considerando Noveno, recién se está haciendo mención </w:t>
      </w:r>
      <w:proofErr w:type="gramStart"/>
      <w:r w:rsidRPr="00A323F4">
        <w:rPr>
          <w:rFonts w:ascii="Times New Roman" w:hAnsi="Times New Roman" w:cs="Times New Roman"/>
          <w:sz w:val="24"/>
          <w:szCs w:val="23"/>
          <w:lang w:val="es-PE"/>
        </w:rPr>
        <w:t>a</w:t>
      </w:r>
      <w:proofErr w:type="gramEnd"/>
      <w:r w:rsidRPr="00A323F4">
        <w:rPr>
          <w:rFonts w:ascii="Times New Roman" w:hAnsi="Times New Roman" w:cs="Times New Roman"/>
          <w:sz w:val="24"/>
          <w:szCs w:val="23"/>
          <w:lang w:val="es-PE"/>
        </w:rPr>
        <w:t xml:space="preserve"> un término recogido en el Código Civil, específicamente en el Art. 1319° “Culpa Inexcusable” y además se intentan forzar los hechos ocurridos a este término. Sin embargo, el colegiado no ha tomado en consideración el Art. 1314° que a tenor manifiesta lo siguiente:</w:t>
      </w:r>
    </w:p>
    <w:p w:rsidRPr="00A323F4" w:rsidR="00547F11" w:rsidP="00547F11" w:rsidRDefault="00547F11" w14:paraId="298AF34E"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“Inimputabilidad por diligencia ordinaria</w:t>
      </w:r>
    </w:p>
    <w:p w:rsidRPr="00A323F4" w:rsidR="00547F11" w:rsidP="00547F11" w:rsidRDefault="00547F11" w14:paraId="52A4D093"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Artículo 1314.- Quien actúa con la diligencia ordinaria requerida, no es imputable por la inejecución de la obligación o por su cumplimiento parcial, tardío o defectuoso”</w:t>
      </w:r>
    </w:p>
    <w:p w:rsidRPr="00A323F4" w:rsidR="00547F11" w:rsidP="00547F11" w:rsidRDefault="00547F11" w14:paraId="17E27E0F"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Que, los hechos ocurridos, materia del siniestro, recaen en el concepto de Culpa Leve.</w:t>
      </w:r>
    </w:p>
    <w:p w:rsidRPr="00A323F4" w:rsidR="00547F11" w:rsidP="00547F11" w:rsidRDefault="00547F11" w14:paraId="670AB314"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6) Que, el artículo IV de la Ley 29946 – Ley de Contrato de Seguro, expresa lo siguiente:</w:t>
      </w:r>
    </w:p>
    <w:p w:rsidRPr="00A323F4" w:rsidR="00547F11" w:rsidP="00547F11" w:rsidRDefault="00547F11" w14:paraId="2084F7DC"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“Tercera: Los términos del Contrato que generen ambigüedad o dudas son interpretadas en el sentido y con el alcance más favorable al asegurado (…)</w:t>
      </w:r>
    </w:p>
    <w:p w:rsidRPr="00A323F4" w:rsidR="00547F11" w:rsidP="00547F11" w:rsidRDefault="00547F11" w14:paraId="2825747C"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Que, la Regla Séptima del Artículo IV, expresa:</w:t>
      </w:r>
    </w:p>
    <w:p w:rsidRPr="00A323F4" w:rsidR="00547F11" w:rsidP="00547F11" w:rsidRDefault="00547F11" w14:paraId="3FF2906A"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“La cobertura, exclusiones y, en general la extensión del riesgo, así como los derechos de los beneficiarios previstos en el contrato de seguro, deben interpretarse literalmente”</w:t>
      </w:r>
    </w:p>
    <w:p w:rsidRPr="00A323F4" w:rsidR="00547F11" w:rsidP="00547F11" w:rsidRDefault="00547F11" w14:paraId="579B0467"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Que, esto lleva a hacer una interpretación literal de lo plasmado y a no interpretar subjetivamente lo estipulado. En este caso la DEFASEG interpreta fuera de lo plasmado en la póliza contrario a los hechos y a favor de la aseguradora el concepto de Negligencia, perjudicando y contraviniendo la esencia misma del Seguro de Responsabilidad Civil. 7) Que, en marzo de 2022, ………………… rechazó el siniestro por “Negligencia”, sin embargo, ahora que el asegurado presente reclamo ante la DEFASEG, modifica su posición jurídica y sostiene que el rechazo es por “Negligencia Grave”, contraviniendo el Artículo 74° de la Ley 29946 y la resolución de la SBS N° …………………</w:t>
      </w:r>
    </w:p>
    <w:p w:rsidRPr="00A323F4" w:rsidR="00547F11" w:rsidP="00547F11" w:rsidRDefault="00547F11" w14:paraId="7104D1B6" w14:textId="6DEE4E17">
      <w:pPr>
        <w:spacing w:line="240" w:lineRule="auto"/>
        <w:jc w:val="both"/>
        <w:rPr>
          <w:rFonts w:ascii="Times New Roman" w:hAnsi="Times New Roman" w:cs="Times New Roman"/>
          <w:sz w:val="23"/>
          <w:szCs w:val="23"/>
          <w:lang w:val="es-PE"/>
        </w:rPr>
      </w:pPr>
      <w:r w:rsidRPr="09D04750" w:rsidR="00547F11">
        <w:rPr>
          <w:rFonts w:ascii="Times New Roman" w:hAnsi="Times New Roman" w:cs="Times New Roman"/>
          <w:sz w:val="24"/>
          <w:szCs w:val="23"/>
          <w:lang w:val="es-PE"/>
        </w:rPr>
        <w:t xml:space="preserve">Que, habiéndose corrido traslado a </w:t>
      </w:r>
      <w:r w:rsidRPr="09D04750" w:rsidR="53622B6C">
        <w:rPr>
          <w:rFonts w:ascii="Times New Roman" w:hAnsi="Times New Roman" w:cs="Times New Roman"/>
          <w:sz w:val="24"/>
          <w:szCs w:val="23"/>
          <w:lang w:val="es-PE"/>
        </w:rPr>
        <w:t>...................................</w:t>
      </w:r>
      <w:r w:rsidRPr="09D04750" w:rsidR="00547F11">
        <w:rPr>
          <w:rFonts w:ascii="Times New Roman" w:hAnsi="Times New Roman" w:cs="Times New Roman"/>
          <w:sz w:val="24"/>
          <w:szCs w:val="23"/>
          <w:lang w:val="es-PE"/>
        </w:rPr>
        <w:t xml:space="preserve"> del referido Recurso impugnatorio, con fecha 04 de abril de 2023, la aseguradora ha presentado contestación al mismo, expresando lo siguiente: 1) Que, respecto al argumento del reclamante de que el actuar del conductor en realidad debería ser catalogado como culpa leve, se evidencia la disconformidad del reclamante con el sentido de lo resuelto, sin aportar argumento o medio probatorio que permita apreciar que se habría cometido un error. 2) Que, se debe precisar que, no hay duda alguna en que la conducta del conductor de olvidar desenganchar el yoyo retráctil de la carreta del </w:t>
      </w:r>
      <w:r w:rsidRPr="09D04750" w:rsidR="00547F11">
        <w:rPr>
          <w:rFonts w:ascii="Times New Roman" w:hAnsi="Times New Roman" w:cs="Times New Roman"/>
          <w:sz w:val="24"/>
          <w:szCs w:val="23"/>
          <w:lang w:val="es-PE"/>
        </w:rPr>
        <w:t>vehículo,</w:t>
      </w:r>
      <w:r w:rsidRPr="09D04750" w:rsidR="00547F11">
        <w:rPr>
          <w:rFonts w:ascii="Times New Roman" w:hAnsi="Times New Roman" w:cs="Times New Roman"/>
          <w:sz w:val="24"/>
          <w:szCs w:val="23"/>
          <w:lang w:val="es-PE"/>
        </w:rPr>
        <w:t xml:space="preserve"> implicó una falta de la más mínima precaución que adoptaría hasta la persona más descuidada, pues fue una falta de prudencia o cuidado en la que no incurriría ni la persona menos precavida. 3) Que, así esta desatención de los deberes más elementales como desenganchar una estructura antes de dar marcha a un vehículo que se encuentra enganchado, configura un descuido por incumplimiento de los deberes de orden básico, exigibles a ese tipo de actividad, es decir, al control y verificación de los estados del gancho yoyo retráctil, por lo que es claro que se incurrió en una negligencia grave. 4) Que, el artículo 91 de la Ley 29946 – Ley de Contrato de Seguro, (Exclusión de Cobertura por provocación de siniestro), expresa lo siguiente:</w:t>
      </w:r>
    </w:p>
    <w:p w:rsidRPr="00A323F4" w:rsidR="00547F11" w:rsidP="00547F11" w:rsidRDefault="00547F11" w14:paraId="60EE1B57" w14:textId="77777777">
      <w:pPr>
        <w:spacing w:line="240" w:lineRule="auto"/>
        <w:jc w:val="both"/>
        <w:rPr>
          <w:rFonts w:ascii="Times New Roman" w:hAnsi="Times New Roman" w:cs="Times New Roman"/>
          <w:i/>
          <w:iCs/>
          <w:sz w:val="23"/>
          <w:szCs w:val="23"/>
          <w:u w:val="single"/>
          <w:lang w:val="es-PE"/>
        </w:rPr>
      </w:pPr>
      <w:r w:rsidRPr="00A323F4">
        <w:rPr>
          <w:rFonts w:ascii="Times New Roman" w:hAnsi="Times New Roman" w:cs="Times New Roman"/>
          <w:sz w:val="24"/>
          <w:szCs w:val="23"/>
          <w:lang w:val="es-PE"/>
        </w:rPr>
        <w:t xml:space="preserve">“El asegurador queda liberado si el contratante o, en su caso el asegurado, o el tercero beneficiario, </w:t>
      </w:r>
      <w:r w:rsidRPr="00A323F4">
        <w:rPr>
          <w:rFonts w:ascii="Times New Roman" w:hAnsi="Times New Roman" w:cs="Times New Roman"/>
          <w:i/>
          <w:iCs/>
          <w:sz w:val="24"/>
          <w:szCs w:val="23"/>
          <w:u w:val="single"/>
          <w:lang w:val="es-PE"/>
        </w:rPr>
        <w:t xml:space="preserve">provocan el siniestro </w:t>
      </w:r>
      <w:r w:rsidRPr="00A323F4">
        <w:rPr>
          <w:rFonts w:ascii="Times New Roman" w:hAnsi="Times New Roman" w:cs="Times New Roman"/>
          <w:i/>
          <w:iCs/>
          <w:sz w:val="24"/>
          <w:szCs w:val="23"/>
          <w:lang w:val="es-PE"/>
        </w:rPr>
        <w:t xml:space="preserve">dolosamente o </w:t>
      </w:r>
      <w:r w:rsidRPr="00A323F4">
        <w:rPr>
          <w:rFonts w:ascii="Times New Roman" w:hAnsi="Times New Roman" w:cs="Times New Roman"/>
          <w:i/>
          <w:iCs/>
          <w:sz w:val="24"/>
          <w:szCs w:val="23"/>
          <w:u w:val="single"/>
          <w:lang w:val="es-PE"/>
        </w:rPr>
        <w:t>por culpa grave, salvo pacto en contrario con relación a esta última.</w:t>
      </w:r>
    </w:p>
    <w:p w:rsidRPr="00A323F4" w:rsidR="00547F11" w:rsidP="00547F11" w:rsidRDefault="00547F11" w14:paraId="299BCBEC"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Que, como se puede apreciar, no es cierto como señala el reclamante, que la LCS deje al amparo la cobertura por las acciones culposas del asegurado en todos los casos, pues como bien dispone el artículo 91 citado, resulta válida la exclusión de cobertura para los casos en que el siniestro es provocado por culpa grave, como el presente; en este sentido, el argumento del reclamante resulta infundado. 5) Que, finalmente, respecto al argumento del reclamante de que la aseguradora habría cambiado su argumento inicial de rechazo de “negligencia” por el de “negligencia grave”, y ello vulneraría el artículo 74 de la LCS, este argumento no resiste mayor análisis, toda vez que como se puede apreciar de la Carta de Rechazo de cobertura, el motivo del rechazo fue la exclusión de cobertura por negligencia del conductor y, es el mismo motivo que se ha defendido en el presente procedimiento, no habiendo ningún cambio o modificación del motivo del rechazo como incorrectamente señala la parte reclamante.</w:t>
      </w:r>
    </w:p>
    <w:p w:rsidRPr="00A323F4" w:rsidR="00547F11" w:rsidP="00547F11" w:rsidRDefault="00547F11" w14:paraId="58EAE51D"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 xml:space="preserve"> En consecuencia y atendiendo a lo expuesto, esta Defensoría resuelve finalmente lo siguiente:</w:t>
      </w:r>
    </w:p>
    <w:p w:rsidRPr="00A323F4" w:rsidR="00547F11" w:rsidP="00547F11" w:rsidRDefault="00547F11" w14:paraId="46647535" w14:textId="23DCE9DA">
      <w:pPr>
        <w:spacing w:line="240" w:lineRule="auto"/>
        <w:jc w:val="both"/>
        <w:rPr>
          <w:rFonts w:ascii="Times New Roman" w:hAnsi="Times New Roman" w:cs="Times New Roman"/>
          <w:sz w:val="23"/>
          <w:szCs w:val="23"/>
          <w:lang w:val="es-PE"/>
        </w:rPr>
      </w:pPr>
      <w:r w:rsidRPr="09D04750" w:rsidR="00547F11">
        <w:rPr>
          <w:rFonts w:ascii="Times New Roman" w:hAnsi="Times New Roman" w:cs="Times New Roman"/>
          <w:b w:val="1"/>
          <w:bCs w:val="1"/>
          <w:sz w:val="24"/>
          <w:szCs w:val="23"/>
          <w:lang w:val="es-PE"/>
        </w:rPr>
        <w:t>PRIMERO:</w:t>
      </w:r>
      <w:r w:rsidRPr="09D04750" w:rsidR="00547F11">
        <w:rPr>
          <w:rFonts w:ascii="Times New Roman" w:hAnsi="Times New Roman" w:cs="Times New Roman"/>
          <w:sz w:val="24"/>
          <w:szCs w:val="23"/>
          <w:lang w:val="es-PE"/>
        </w:rPr>
        <w:t xml:space="preserve"> Que el artículo 10 (Procedimiento) del Reglamento de la DEFASEG (</w:t>
      </w:r>
      <w:hyperlink r:id="Re5038010ef5e402f">
        <w:r w:rsidRPr="09D04750" w:rsidR="00547F11">
          <w:rPr>
            <w:rStyle w:val="Hipervnculo"/>
            <w:rFonts w:ascii="Times New Roman" w:hAnsi="Times New Roman" w:cs="Times New Roman"/>
            <w:sz w:val="23"/>
            <w:szCs w:val="23"/>
            <w:lang w:val="es-PE"/>
          </w:rPr>
          <w:t>http://www.defaseg.com.pe/reglamento</w:t>
        </w:r>
      </w:hyperlink>
      <w:r w:rsidRPr="09D04750" w:rsidR="00547F11">
        <w:rPr>
          <w:rFonts w:ascii="Times New Roman" w:hAnsi="Times New Roman" w:cs="Times New Roman"/>
          <w:sz w:val="24"/>
          <w:szCs w:val="23"/>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09D04750" w:rsidR="6A74ED6B">
        <w:rPr>
          <w:rFonts w:ascii="Times New Roman" w:hAnsi="Times New Roman" w:cs="Times New Roman"/>
          <w:sz w:val="24"/>
          <w:szCs w:val="23"/>
          <w:lang w:val="es-PE"/>
        </w:rPr>
        <w:t>.....................................................................</w:t>
      </w:r>
      <w:r w:rsidRPr="09D04750" w:rsidR="00547F11">
        <w:rPr>
          <w:rFonts w:ascii="Times New Roman" w:hAnsi="Times New Roman" w:cs="Times New Roman"/>
          <w:sz w:val="24"/>
          <w:szCs w:val="23"/>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A323F4" w:rsidR="00547F11" w:rsidP="00547F11" w:rsidRDefault="00547F11" w14:paraId="16F14CC5" w14:textId="77777777">
      <w:pPr>
        <w:spacing w:line="240" w:lineRule="auto"/>
        <w:jc w:val="both"/>
        <w:rPr>
          <w:rFonts w:ascii="Times New Roman" w:hAnsi="Times New Roman" w:cs="Times New Roman"/>
          <w:sz w:val="23"/>
          <w:szCs w:val="23"/>
          <w:lang w:val="es-PE"/>
        </w:rPr>
      </w:pPr>
      <w:r w:rsidRPr="00A323F4">
        <w:rPr>
          <w:rFonts w:ascii="Times New Roman" w:hAnsi="Times New Roman" w:cs="Times New Roman"/>
          <w:b/>
          <w:sz w:val="24"/>
          <w:szCs w:val="23"/>
          <w:lang w:val="es-PE"/>
        </w:rPr>
        <w:lastRenderedPageBreak/>
        <w:t>SEGUNDO:</w:t>
      </w:r>
      <w:r w:rsidRPr="00A323F4">
        <w:rPr>
          <w:rFonts w:ascii="Times New Roman" w:hAnsi="Times New Roman" w:cs="Times New Roman"/>
          <w:sz w:val="24"/>
          <w:szCs w:val="23"/>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A323F4" w:rsidR="00547F11" w:rsidP="00547F11" w:rsidRDefault="00547F11" w14:paraId="421AE53A" w14:textId="77777777">
      <w:pPr>
        <w:spacing w:after="0"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 xml:space="preserve">Que, sin perjuicio de lo anterior, esta Defensoría considera oportuno mencionar nuevamente que, </w:t>
      </w:r>
      <w:proofErr w:type="gramStart"/>
      <w:r w:rsidRPr="00A323F4">
        <w:rPr>
          <w:rFonts w:ascii="Times New Roman" w:hAnsi="Times New Roman" w:cs="Times New Roman"/>
          <w:sz w:val="24"/>
          <w:szCs w:val="23"/>
          <w:lang w:val="es-PE"/>
        </w:rPr>
        <w:t>en razón de</w:t>
      </w:r>
      <w:proofErr w:type="gramEnd"/>
      <w:r w:rsidRPr="00A323F4">
        <w:rPr>
          <w:rFonts w:ascii="Times New Roman" w:hAnsi="Times New Roman" w:cs="Times New Roman"/>
          <w:sz w:val="24"/>
          <w:szCs w:val="23"/>
          <w:lang w:val="es-PE"/>
        </w:rPr>
        <w:t xml:space="preserve"> lo manifestado, el Código Civil califica la culpa inexcusable como una “negligencia grave”, esto es, la falta de la más mínima precaución que adoptaría la persona más descuidada. Que, es la falta de prudencia o cuidado que no incurriría la persona menos precavida. Que, la desatención de los deberes más </w:t>
      </w:r>
      <w:proofErr w:type="gramStart"/>
      <w:r w:rsidRPr="00A323F4">
        <w:rPr>
          <w:rFonts w:ascii="Times New Roman" w:hAnsi="Times New Roman" w:cs="Times New Roman"/>
          <w:sz w:val="24"/>
          <w:szCs w:val="23"/>
          <w:lang w:val="es-PE"/>
        </w:rPr>
        <w:t>elementales,</w:t>
      </w:r>
      <w:proofErr w:type="gramEnd"/>
      <w:r w:rsidRPr="00A323F4">
        <w:rPr>
          <w:rFonts w:ascii="Times New Roman" w:hAnsi="Times New Roman" w:cs="Times New Roman"/>
          <w:sz w:val="24"/>
          <w:szCs w:val="23"/>
          <w:lang w:val="es-PE"/>
        </w:rPr>
        <w:t xml:space="preserve"> configura un descuido por incumplimiento de los deberes de orden básico, exigibles a ese tipo de actividad, es decir, al control y verificación de los estados del gancho yoyo, por lo que es claro que se incurrió en una negligencia grave.</w:t>
      </w:r>
    </w:p>
    <w:p w:rsidRPr="00A323F4" w:rsidR="00547F11" w:rsidP="00547F11" w:rsidRDefault="00547F11" w14:paraId="1CD8BCBC" w14:textId="77777777">
      <w:pPr>
        <w:spacing w:after="0" w:line="240" w:lineRule="auto"/>
        <w:jc w:val="both"/>
        <w:rPr>
          <w:rFonts w:ascii="Times New Roman" w:hAnsi="Times New Roman" w:cs="Times New Roman"/>
          <w:sz w:val="23"/>
          <w:szCs w:val="23"/>
          <w:lang w:val="es-PE"/>
        </w:rPr>
      </w:pPr>
    </w:p>
    <w:p w:rsidRPr="00A323F4" w:rsidR="00547F11" w:rsidP="00547F11" w:rsidRDefault="00547F11" w14:paraId="41CD49E5" w14:textId="77777777">
      <w:pPr>
        <w:spacing w:after="0" w:line="240" w:lineRule="auto"/>
        <w:jc w:val="both"/>
        <w:rPr>
          <w:rFonts w:ascii="Times New Roman" w:hAnsi="Times New Roman" w:cs="Times New Roman"/>
          <w:sz w:val="23"/>
          <w:szCs w:val="23"/>
          <w:lang w:val="es-PE"/>
        </w:rPr>
      </w:pPr>
      <w:r w:rsidRPr="00A323F4">
        <w:rPr>
          <w:rFonts w:ascii="Times New Roman" w:hAnsi="Times New Roman" w:cs="Times New Roman"/>
          <w:sz w:val="24"/>
          <w:szCs w:val="23"/>
          <w:lang w:val="es-PE"/>
        </w:rPr>
        <w:t>Que, por lo tanto y, en atención a las consideraciones precedentes, este colegiado no aprecia mérito ni razón objetiva para revocar la resolución recurrida y, por lo tanto</w:t>
      </w:r>
    </w:p>
    <w:p w:rsidRPr="00A323F4" w:rsidR="00547F11" w:rsidP="00547F11" w:rsidRDefault="00547F11" w14:paraId="7B98A89C" w14:textId="77777777">
      <w:pPr>
        <w:spacing w:after="0" w:line="240" w:lineRule="auto"/>
        <w:jc w:val="both"/>
        <w:rPr>
          <w:rFonts w:ascii="Times New Roman" w:hAnsi="Times New Roman" w:cs="Times New Roman"/>
          <w:sz w:val="23"/>
          <w:szCs w:val="23"/>
          <w:lang w:val="es-PE"/>
        </w:rPr>
      </w:pPr>
    </w:p>
    <w:p w:rsidRPr="00A323F4" w:rsidR="00547F11" w:rsidP="00547F11" w:rsidRDefault="00547F11" w14:paraId="2A896162" w14:textId="77777777">
      <w:pPr>
        <w:spacing w:line="240" w:lineRule="auto"/>
        <w:jc w:val="both"/>
        <w:rPr>
          <w:rFonts w:ascii="Times New Roman" w:hAnsi="Times New Roman" w:cs="Times New Roman"/>
          <w:b/>
          <w:sz w:val="23"/>
          <w:szCs w:val="23"/>
          <w:lang w:val="es-PE"/>
        </w:rPr>
      </w:pPr>
      <w:r w:rsidRPr="00A323F4">
        <w:rPr>
          <w:rFonts w:ascii="Times New Roman" w:hAnsi="Times New Roman" w:cs="Times New Roman"/>
          <w:b/>
          <w:sz w:val="24"/>
          <w:szCs w:val="23"/>
          <w:lang w:val="es-PE"/>
        </w:rPr>
        <w:t xml:space="preserve">RESUELVE: </w:t>
      </w:r>
    </w:p>
    <w:p w:rsidRPr="00A323F4" w:rsidR="00231C58" w:rsidP="00547F11" w:rsidRDefault="00547F11" w14:paraId="2269147E" w14:textId="14E49F53">
      <w:pPr>
        <w:spacing w:line="240" w:lineRule="auto"/>
        <w:jc w:val="both"/>
        <w:rPr>
          <w:rFonts w:ascii="Times New Roman" w:hAnsi="Times New Roman" w:cs="Times New Roman"/>
          <w:sz w:val="23"/>
          <w:szCs w:val="23"/>
          <w:lang w:val="es-PE"/>
        </w:rPr>
      </w:pPr>
      <w:r w:rsidRPr="09D04750" w:rsidR="00547F11">
        <w:rPr>
          <w:rFonts w:ascii="Times New Roman" w:hAnsi="Times New Roman" w:cs="Times New Roman"/>
          <w:sz w:val="24"/>
          <w:szCs w:val="23"/>
          <w:lang w:val="es-PE"/>
        </w:rPr>
        <w:t xml:space="preserve">Declarar </w:t>
      </w:r>
      <w:r w:rsidRPr="09D04750" w:rsidR="00547F11">
        <w:rPr>
          <w:rFonts w:ascii="Times New Roman" w:hAnsi="Times New Roman" w:cs="Times New Roman"/>
          <w:b w:val="1"/>
          <w:bCs w:val="1"/>
          <w:sz w:val="24"/>
          <w:szCs w:val="23"/>
          <w:lang w:val="es-PE"/>
        </w:rPr>
        <w:t>INFUNDADO</w:t>
      </w:r>
      <w:r w:rsidRPr="09D04750" w:rsidR="00547F11">
        <w:rPr>
          <w:rFonts w:ascii="Times New Roman" w:hAnsi="Times New Roman" w:cs="Times New Roman"/>
          <w:sz w:val="24"/>
          <w:szCs w:val="23"/>
          <w:lang w:val="es-PE"/>
        </w:rPr>
        <w:t xml:space="preserve"> el Recurso Impugnativo interpuesto y, por consiguiente, ratificar la Resolución </w:t>
      </w:r>
      <w:r w:rsidRPr="09D04750" w:rsidR="00547F11">
        <w:rPr>
          <w:rFonts w:ascii="Times New Roman" w:hAnsi="Times New Roman" w:cs="Times New Roman"/>
          <w:sz w:val="24"/>
          <w:szCs w:val="23"/>
          <w:lang w:val="es-PE"/>
        </w:rPr>
        <w:t>N°</w:t>
      </w:r>
      <w:r w:rsidRPr="09D04750" w:rsidR="00547F11">
        <w:rPr>
          <w:rFonts w:ascii="Times New Roman" w:hAnsi="Times New Roman" w:cs="Times New Roman"/>
          <w:sz w:val="24"/>
          <w:szCs w:val="23"/>
          <w:lang w:val="es-PE"/>
        </w:rPr>
        <w:t xml:space="preserve"> 047/23 que declaró</w:t>
      </w:r>
      <w:r w:rsidRPr="09D04750" w:rsidR="00547F11">
        <w:rPr>
          <w:rFonts w:ascii="Times New Roman" w:hAnsi="Times New Roman" w:cs="Times New Roman"/>
          <w:b w:val="1"/>
          <w:bCs w:val="1"/>
          <w:sz w:val="24"/>
          <w:szCs w:val="23"/>
          <w:lang w:val="es-PE"/>
        </w:rPr>
        <w:t xml:space="preserve"> INFUNDADA </w:t>
      </w:r>
      <w:r w:rsidRPr="09D04750" w:rsidR="00547F11">
        <w:rPr>
          <w:rFonts w:ascii="Times New Roman" w:hAnsi="Times New Roman" w:cs="Times New Roman"/>
          <w:sz w:val="24"/>
          <w:szCs w:val="23"/>
          <w:lang w:val="es-PE"/>
        </w:rPr>
        <w:t>la reclamación interpuesta</w:t>
      </w:r>
      <w:r w:rsidRPr="09D04750" w:rsidR="00547F11">
        <w:rPr>
          <w:rFonts w:ascii="Times New Roman" w:hAnsi="Times New Roman" w:cs="Times New Roman"/>
          <w:b w:val="1"/>
          <w:bCs w:val="1"/>
          <w:sz w:val="24"/>
          <w:szCs w:val="23"/>
          <w:lang w:val="es-PE"/>
        </w:rPr>
        <w:t xml:space="preserve"> </w:t>
      </w:r>
      <w:r w:rsidRPr="09D04750" w:rsidR="00547F11">
        <w:rPr>
          <w:rFonts w:ascii="Times New Roman" w:hAnsi="Times New Roman" w:cs="Times New Roman"/>
          <w:sz w:val="24"/>
          <w:szCs w:val="23"/>
          <w:lang w:val="es-PE"/>
        </w:rPr>
        <w:t>contra</w:t>
      </w:r>
      <w:r w:rsidRPr="09D04750" w:rsidR="00547F11">
        <w:rPr>
          <w:rFonts w:ascii="Times New Roman" w:hAnsi="Times New Roman" w:cs="Times New Roman"/>
          <w:b w:val="1"/>
          <w:bCs w:val="1"/>
          <w:sz w:val="24"/>
          <w:szCs w:val="23"/>
          <w:lang w:val="es-PE"/>
        </w:rPr>
        <w:t xml:space="preserve"> </w:t>
      </w:r>
      <w:r w:rsidRPr="09D04750" w:rsidR="53622B6C">
        <w:rPr>
          <w:rFonts w:ascii="Times New Roman" w:hAnsi="Times New Roman" w:cs="Times New Roman"/>
          <w:b w:val="1"/>
          <w:bCs w:val="1"/>
          <w:sz w:val="24"/>
          <w:szCs w:val="23"/>
          <w:lang w:val="es-PE"/>
        </w:rPr>
        <w:t>...................................</w:t>
      </w:r>
      <w:r w:rsidRPr="09D04750" w:rsidR="00547F11">
        <w:rPr>
          <w:rFonts w:ascii="Times New Roman" w:hAnsi="Times New Roman" w:cs="Times New Roman"/>
          <w:b w:val="1"/>
          <w:bCs w:val="1"/>
          <w:sz w:val="24"/>
          <w:szCs w:val="23"/>
          <w:lang w:val="es-PE"/>
        </w:rPr>
        <w:t xml:space="preserve">, </w:t>
      </w:r>
      <w:r w:rsidRPr="09D04750" w:rsidR="00547F11">
        <w:rPr>
          <w:rFonts w:ascii="Times New Roman" w:hAnsi="Times New Roman" w:cs="Times New Roman"/>
          <w:sz w:val="24"/>
          <w:szCs w:val="23"/>
          <w:lang w:val="es-PE"/>
        </w:rPr>
        <w:t>dejando a salvo el derecho del reclamante de acudir a otras instancias que considere pertinente</w:t>
      </w:r>
      <w:r w:rsidRPr="09D04750" w:rsidR="00D43EB8">
        <w:rPr>
          <w:rFonts w:ascii="Times New Roman" w:hAnsi="Times New Roman" w:cs="Times New Roman"/>
          <w:sz w:val="24"/>
          <w:szCs w:val="23"/>
          <w:lang w:val="es-PE"/>
        </w:rPr>
        <w:t>.</w:t>
      </w:r>
    </w:p>
    <w:p w:rsidRPr="00A323F4" w:rsidR="00C671F5" w:rsidP="00547F11" w:rsidRDefault="0091528B" w14:paraId="486C3F46" w14:textId="23B0A39F">
      <w:pPr>
        <w:suppressAutoHyphens/>
        <w:spacing w:after="0" w:line="240" w:lineRule="auto"/>
        <w:jc w:val="right"/>
        <w:outlineLvl w:val="0"/>
        <w:rPr>
          <w:rFonts w:ascii="Times New Roman" w:hAnsi="Times New Roman" w:eastAsia="Arial Unicode MS" w:cs="Times New Roman"/>
          <w:sz w:val="23"/>
          <w:szCs w:val="23"/>
          <w:lang w:val="es-PE" w:eastAsia="ar-SA"/>
        </w:rPr>
      </w:pPr>
      <w:r w:rsidRPr="00A323F4">
        <w:rPr>
          <w:rFonts w:ascii="Times New Roman" w:hAnsi="Times New Roman" w:eastAsia="Arial Unicode MS" w:cs="Times New Roman"/>
          <w:sz w:val="24"/>
          <w:szCs w:val="23"/>
          <w:lang w:val="es-PE" w:eastAsia="ar-SA"/>
        </w:rPr>
        <w:t xml:space="preserve">Lima, </w:t>
      </w:r>
      <w:r w:rsidRPr="00A323F4" w:rsidR="00411866">
        <w:rPr>
          <w:rFonts w:ascii="Times New Roman" w:hAnsi="Times New Roman" w:eastAsia="Arial Unicode MS" w:cs="Times New Roman"/>
          <w:sz w:val="24"/>
          <w:szCs w:val="23"/>
          <w:lang w:val="es-PE" w:eastAsia="ar-SA"/>
        </w:rPr>
        <w:t>0</w:t>
      </w:r>
      <w:r w:rsidRPr="00A323F4" w:rsidR="00772376">
        <w:rPr>
          <w:rFonts w:ascii="Times New Roman" w:hAnsi="Times New Roman" w:eastAsia="Arial Unicode MS" w:cs="Times New Roman"/>
          <w:sz w:val="24"/>
          <w:szCs w:val="23"/>
          <w:lang w:val="es-PE" w:eastAsia="ar-SA"/>
        </w:rPr>
        <w:t>8</w:t>
      </w:r>
      <w:r w:rsidRPr="00A323F4" w:rsidR="00707C99">
        <w:rPr>
          <w:rFonts w:ascii="Times New Roman" w:hAnsi="Times New Roman" w:eastAsia="Arial Unicode MS" w:cs="Times New Roman"/>
          <w:sz w:val="24"/>
          <w:szCs w:val="23"/>
          <w:lang w:val="es-PE" w:eastAsia="ar-SA"/>
        </w:rPr>
        <w:t xml:space="preserve"> de </w:t>
      </w:r>
      <w:r w:rsidRPr="00A323F4" w:rsidR="00772376">
        <w:rPr>
          <w:rFonts w:ascii="Times New Roman" w:hAnsi="Times New Roman" w:eastAsia="Arial Unicode MS" w:cs="Times New Roman"/>
          <w:sz w:val="24"/>
          <w:szCs w:val="23"/>
          <w:lang w:val="es-PE" w:eastAsia="ar-SA"/>
        </w:rPr>
        <w:t>mayo</w:t>
      </w:r>
      <w:r w:rsidRPr="00A323F4" w:rsidR="00411866">
        <w:rPr>
          <w:rFonts w:ascii="Times New Roman" w:hAnsi="Times New Roman" w:eastAsia="Arial Unicode MS" w:cs="Times New Roman"/>
          <w:sz w:val="24"/>
          <w:szCs w:val="23"/>
          <w:lang w:val="es-PE" w:eastAsia="ar-SA"/>
        </w:rPr>
        <w:t xml:space="preserve"> </w:t>
      </w:r>
      <w:r w:rsidRPr="00A323F4" w:rsidR="00F06498">
        <w:rPr>
          <w:rFonts w:ascii="Times New Roman" w:hAnsi="Times New Roman" w:eastAsia="Arial Unicode MS" w:cs="Times New Roman"/>
          <w:sz w:val="24"/>
          <w:szCs w:val="23"/>
          <w:lang w:val="es-PE" w:eastAsia="ar-SA"/>
        </w:rPr>
        <w:t>de 202</w:t>
      </w:r>
      <w:r w:rsidRPr="00A323F4" w:rsidR="00B340D4">
        <w:rPr>
          <w:rFonts w:ascii="Times New Roman" w:hAnsi="Times New Roman" w:eastAsia="Arial Unicode MS" w:cs="Times New Roman"/>
          <w:sz w:val="24"/>
          <w:szCs w:val="23"/>
          <w:lang w:val="es-PE" w:eastAsia="ar-SA"/>
        </w:rPr>
        <w:t>3</w:t>
      </w:r>
      <w:r w:rsidRPr="00A323F4" w:rsidR="00707C99">
        <w:rPr>
          <w:rFonts w:ascii="Times New Roman" w:hAnsi="Times New Roman" w:eastAsia="Times New Roman" w:cs="Times New Roman"/>
          <w:sz w:val="24"/>
          <w:szCs w:val="23"/>
          <w:lang w:val="es-PE" w:eastAsia="ar-SA"/>
        </w:rPr>
        <w:t xml:space="preserve"> </w:t>
      </w:r>
    </w:p>
    <w:p w:rsidRPr="00A323F4"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A323F4"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A323F4"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A323F4">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A323F4"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A323F4" w:rsidR="00A323F4" w:rsidP="00A323F4" w:rsidRDefault="00A323F4" w14:paraId="400E79EA" w14:textId="77777777">
      <w:pPr>
        <w:spacing w:after="0" w:line="360" w:lineRule="auto"/>
        <w:jc w:val="center"/>
        <w:rPr>
          <w:rFonts w:ascii="Times New Roman" w:hAnsi="Times New Roman" w:cs="Times New Roman"/>
          <w:b/>
          <w:bCs/>
          <w:sz w:val="23"/>
          <w:szCs w:val="23"/>
          <w:lang w:val="es-PE"/>
        </w:rPr>
      </w:pPr>
      <w:r w:rsidRPr="00A323F4">
        <w:rPr>
          <w:rFonts w:ascii="Times New Roman" w:hAnsi="Times New Roman" w:cs="Times New Roman"/>
          <w:b/>
          <w:bCs/>
          <w:sz w:val="24"/>
          <w:szCs w:val="23"/>
          <w:lang w:val="es-PE"/>
        </w:rPr>
        <w:t xml:space="preserve">Omar Alfaro Villanueva – </w:t>
      </w:r>
      <w:proofErr w:type="gramStart"/>
      <w:r w:rsidRPr="00A323F4">
        <w:rPr>
          <w:rFonts w:ascii="Times New Roman" w:hAnsi="Times New Roman" w:cs="Times New Roman"/>
          <w:b/>
          <w:bCs/>
          <w:sz w:val="24"/>
          <w:szCs w:val="23"/>
          <w:lang w:val="es-PE"/>
        </w:rPr>
        <w:t>Presidente</w:t>
      </w:r>
      <w:proofErr w:type="gramEnd"/>
    </w:p>
    <w:p w:rsidRPr="00A323F4" w:rsidR="00A323F4" w:rsidP="00A323F4" w:rsidRDefault="00A323F4" w14:paraId="0667E672" w14:textId="77777777">
      <w:pPr>
        <w:spacing w:after="0" w:line="360" w:lineRule="auto"/>
        <w:jc w:val="center"/>
        <w:rPr>
          <w:rFonts w:ascii="Times New Roman" w:hAnsi="Times New Roman" w:cs="Times New Roman"/>
          <w:b/>
          <w:bCs/>
          <w:sz w:val="23"/>
          <w:szCs w:val="23"/>
          <w:lang w:val="es-PE"/>
        </w:rPr>
      </w:pPr>
      <w:r w:rsidRPr="00A323F4">
        <w:rPr>
          <w:rFonts w:ascii="Times New Roman" w:hAnsi="Times New Roman" w:cs="Times New Roman"/>
          <w:b/>
          <w:bCs/>
          <w:sz w:val="24"/>
          <w:szCs w:val="23"/>
          <w:lang w:val="es-PE"/>
        </w:rPr>
        <w:t>María Eugenia Valdez Fernández Baca – Vocal</w:t>
      </w:r>
    </w:p>
    <w:p w:rsidRPr="00A323F4" w:rsidR="00A323F4" w:rsidP="00A323F4" w:rsidRDefault="00A323F4" w14:paraId="5B004E1F" w14:textId="77777777">
      <w:pPr>
        <w:spacing w:after="0" w:line="360" w:lineRule="auto"/>
        <w:jc w:val="center"/>
        <w:rPr>
          <w:rFonts w:ascii="Times New Roman" w:hAnsi="Times New Roman" w:cs="Times New Roman"/>
          <w:b/>
          <w:bCs/>
          <w:sz w:val="23"/>
          <w:szCs w:val="23"/>
          <w:lang w:val="es-PE"/>
        </w:rPr>
      </w:pPr>
      <w:r w:rsidRPr="00A323F4">
        <w:rPr>
          <w:rFonts w:ascii="Times New Roman" w:hAnsi="Times New Roman" w:cs="Times New Roman"/>
          <w:b/>
          <w:bCs/>
          <w:sz w:val="24"/>
          <w:szCs w:val="23"/>
          <w:lang w:val="es-PE"/>
        </w:rPr>
        <w:t xml:space="preserve">Rolando Eyzaguirre </w:t>
      </w:r>
      <w:proofErr w:type="spellStart"/>
      <w:r w:rsidRPr="00A323F4">
        <w:rPr>
          <w:rFonts w:ascii="Times New Roman" w:hAnsi="Times New Roman" w:cs="Times New Roman"/>
          <w:b/>
          <w:bCs/>
          <w:sz w:val="24"/>
          <w:szCs w:val="23"/>
          <w:lang w:val="es-PE"/>
        </w:rPr>
        <w:t>Maccan</w:t>
      </w:r>
      <w:proofErr w:type="spellEnd"/>
      <w:r w:rsidRPr="00A323F4">
        <w:rPr>
          <w:rFonts w:ascii="Times New Roman" w:hAnsi="Times New Roman" w:cs="Times New Roman"/>
          <w:b/>
          <w:bCs/>
          <w:sz w:val="24"/>
          <w:szCs w:val="23"/>
          <w:lang w:val="es-PE"/>
        </w:rPr>
        <w:t xml:space="preserve"> – Vocal</w:t>
      </w:r>
    </w:p>
    <w:p w:rsidRPr="00A323F4" w:rsidR="00A323F4" w:rsidP="00A323F4" w:rsidRDefault="00A323F4" w14:paraId="35C1E9A2" w14:textId="77777777">
      <w:pPr>
        <w:spacing w:after="0" w:line="360" w:lineRule="auto"/>
        <w:jc w:val="center"/>
        <w:rPr>
          <w:rFonts w:ascii="Times New Roman" w:hAnsi="Times New Roman" w:cs="Times New Roman"/>
          <w:sz w:val="23"/>
          <w:szCs w:val="23"/>
          <w:lang w:val="es-PE"/>
        </w:rPr>
      </w:pPr>
      <w:r w:rsidRPr="00A323F4">
        <w:rPr>
          <w:rFonts w:ascii="Times New Roman" w:hAnsi="Times New Roman" w:cs="Times New Roman"/>
          <w:b/>
          <w:bCs/>
          <w:sz w:val="24"/>
          <w:szCs w:val="23"/>
          <w:lang w:val="es-PE"/>
        </w:rPr>
        <w:t>Gonzalo Abad del Busto – Vocal</w:t>
      </w:r>
    </w:p>
    <w:p w:rsidRPr="0013051A"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3D36" w:rsidP="00784355" w:rsidRDefault="002A3D36" w14:paraId="68AD4B90" w14:textId="77777777">
      <w:pPr>
        <w:spacing w:after="0" w:line="240" w:lineRule="auto"/>
      </w:pPr>
      <w:r>
        <w:separator/>
      </w:r>
    </w:p>
  </w:endnote>
  <w:endnote w:type="continuationSeparator" w:id="0">
    <w:p w:rsidR="002A3D36" w:rsidP="00784355" w:rsidRDefault="002A3D36" w14:paraId="2CA471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3D36" w:rsidP="00784355" w:rsidRDefault="002A3D36" w14:paraId="11C10160" w14:textId="77777777">
      <w:pPr>
        <w:spacing w:after="0" w:line="240" w:lineRule="auto"/>
      </w:pPr>
      <w:r>
        <w:separator/>
      </w:r>
    </w:p>
  </w:footnote>
  <w:footnote w:type="continuationSeparator" w:id="0">
    <w:p w:rsidR="002A3D36" w:rsidP="00784355" w:rsidRDefault="002A3D36" w14:paraId="2753ABA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1866"/>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21E9"/>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9D04750"/>
    <w:rsid w:val="18CB3199"/>
    <w:rsid w:val="53622B6C"/>
    <w:rsid w:val="6A74E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e5038010ef5e402f" Type="http://schemas.openxmlformats.org/officeDocument/2006/relationships/hyperlink" Target="http://www.defaseg.com.pe/reglamento" TargetMode="Externa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79F30CD-EE75-4213-B52A-3FA7D380F6E6}"/>
</file>

<file path=customXml/itemProps3.xml><?xml version="1.0" encoding="utf-8"?>
<ds:datastoreItem xmlns:ds="http://schemas.openxmlformats.org/officeDocument/2006/customXml" ds:itemID="{4BB422A0-C3ED-4744-B586-DBCC3FB23830}"/>
</file>

<file path=customXml/itemProps4.xml><?xml version="1.0" encoding="utf-8"?>
<ds:datastoreItem xmlns:ds="http://schemas.openxmlformats.org/officeDocument/2006/customXml" ds:itemID="{44425747-0931-4EF4-8261-63B97E0B7F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38</cp:revision>
  <cp:lastPrinted>2023-05-08T20:04:00Z</cp:lastPrinted>
  <dcterms:created xsi:type="dcterms:W3CDTF">2023-02-14T22:37:00Z</dcterms:created>
  <dcterms:modified xsi:type="dcterms:W3CDTF">2025-12-02T20:14:03Z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