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60D6F" w:rsidR="00707C99" w:rsidP="00272F4F" w:rsidRDefault="00201C0D" w14:paraId="19FE0E96" w14:textId="6E19B940">
      <w:pPr>
        <w:spacing w:after="0" w:line="240" w:lineRule="auto"/>
        <w:jc w:val="center"/>
        <w:rPr>
          <w:rFonts w:ascii="Times New Roman" w:hAnsi="Times New Roman" w:cs="Times New Roman"/>
          <w:b/>
          <w:sz w:val="24"/>
          <w:szCs w:val="24"/>
          <w:lang w:val="es-PE" w:eastAsia="ar-SA"/>
        </w:rPr>
      </w:pPr>
      <w:r w:rsidRPr="00660D6F">
        <w:rPr>
          <w:rFonts w:ascii="Times New Roman" w:hAnsi="Times New Roman" w:cs="Times New Roman"/>
          <w:b/>
          <w:sz w:val="24"/>
          <w:szCs w:val="24"/>
          <w:lang w:val="es-PE" w:eastAsia="ar-SA"/>
        </w:rPr>
        <w:t xml:space="preserve">RESOLUCIÓN DE RECURSO IMPUGNATIVO </w:t>
      </w:r>
      <w:proofErr w:type="spellStart"/>
      <w:r w:rsidRPr="00660D6F" w:rsidR="00707C99">
        <w:rPr>
          <w:rFonts w:ascii="Times New Roman" w:hAnsi="Times New Roman" w:cs="Times New Roman"/>
          <w:b/>
          <w:sz w:val="24"/>
          <w:szCs w:val="24"/>
          <w:lang w:val="es-PE" w:eastAsia="ar-SA"/>
        </w:rPr>
        <w:t>N°</w:t>
      </w:r>
      <w:proofErr w:type="spellEnd"/>
      <w:r w:rsidRPr="00660D6F" w:rsidR="00707C99">
        <w:rPr>
          <w:rFonts w:ascii="Times New Roman" w:hAnsi="Times New Roman" w:cs="Times New Roman"/>
          <w:b/>
          <w:sz w:val="24"/>
          <w:szCs w:val="24"/>
          <w:lang w:val="es-PE" w:eastAsia="ar-SA"/>
        </w:rPr>
        <w:t xml:space="preserve"> </w:t>
      </w:r>
      <w:r w:rsidRPr="00660D6F" w:rsidR="00C671F5">
        <w:rPr>
          <w:rFonts w:ascii="Times New Roman" w:hAnsi="Times New Roman" w:cs="Times New Roman"/>
          <w:b/>
          <w:sz w:val="24"/>
          <w:szCs w:val="24"/>
          <w:lang w:val="es-PE" w:eastAsia="ar-SA"/>
        </w:rPr>
        <w:t>0</w:t>
      </w:r>
      <w:r w:rsidRPr="00660D6F" w:rsidR="00817F65">
        <w:rPr>
          <w:rFonts w:ascii="Times New Roman" w:hAnsi="Times New Roman" w:cs="Times New Roman"/>
          <w:b/>
          <w:sz w:val="24"/>
          <w:szCs w:val="24"/>
          <w:lang w:val="es-PE" w:eastAsia="ar-SA"/>
        </w:rPr>
        <w:t>1</w:t>
      </w:r>
      <w:r w:rsidRPr="00660D6F" w:rsidR="00654FC9">
        <w:rPr>
          <w:rFonts w:ascii="Times New Roman" w:hAnsi="Times New Roman" w:cs="Times New Roman"/>
          <w:b/>
          <w:sz w:val="24"/>
          <w:szCs w:val="24"/>
          <w:lang w:val="es-PE" w:eastAsia="ar-SA"/>
        </w:rPr>
        <w:t>4</w:t>
      </w:r>
      <w:r w:rsidRPr="00660D6F" w:rsidR="00C671F5">
        <w:rPr>
          <w:rFonts w:ascii="Times New Roman" w:hAnsi="Times New Roman" w:cs="Times New Roman"/>
          <w:b/>
          <w:sz w:val="24"/>
          <w:szCs w:val="24"/>
          <w:lang w:val="es-PE" w:eastAsia="ar-SA"/>
        </w:rPr>
        <w:t>/2</w:t>
      </w:r>
      <w:r w:rsidRPr="00660D6F" w:rsidR="00AB7BFE">
        <w:rPr>
          <w:rFonts w:ascii="Times New Roman" w:hAnsi="Times New Roman" w:cs="Times New Roman"/>
          <w:b/>
          <w:sz w:val="24"/>
          <w:szCs w:val="24"/>
          <w:lang w:val="es-PE" w:eastAsia="ar-SA"/>
        </w:rPr>
        <w:t>3</w:t>
      </w:r>
    </w:p>
    <w:p w:rsidRPr="00660D6F" w:rsidR="00411866" w:rsidP="00411866" w:rsidRDefault="00411866" w14:paraId="3FC3AA9F" w14:textId="77777777">
      <w:pPr>
        <w:spacing w:after="0" w:line="240" w:lineRule="auto"/>
        <w:rPr>
          <w:rFonts w:ascii="Times New Roman" w:hAnsi="Times New Roman" w:cs="Times New Roman"/>
          <w:sz w:val="24"/>
          <w:szCs w:val="24"/>
          <w:lang w:val="es-PE"/>
        </w:rPr>
      </w:pPr>
    </w:p>
    <w:p w:rsidRPr="00660D6F" w:rsidR="00660D6F" w:rsidP="00660D6F" w:rsidRDefault="00660D6F" w14:paraId="2EF0EA9E" w14:textId="77777777">
      <w:pPr>
        <w:spacing w:after="0" w:line="240" w:lineRule="auto"/>
        <w:jc w:val="both"/>
        <w:rPr>
          <w:rFonts w:ascii="Times New Roman" w:hAnsi="Times New Roman" w:cs="Times New Roman"/>
          <w:sz w:val="24"/>
          <w:szCs w:val="24"/>
          <w:lang w:val="es-PE"/>
        </w:rPr>
      </w:pPr>
      <w:r w:rsidRPr="00660D6F">
        <w:rPr>
          <w:rFonts w:ascii="Times New Roman" w:hAnsi="Times New Roman" w:cs="Times New Roman"/>
          <w:b/>
          <w:sz w:val="24"/>
          <w:szCs w:val="24"/>
          <w:lang w:val="es-PE"/>
        </w:rPr>
        <w:t xml:space="preserve">Vistos: </w:t>
      </w:r>
    </w:p>
    <w:p w:rsidRPr="00660D6F" w:rsidR="00660D6F" w:rsidP="00660D6F" w:rsidRDefault="00660D6F" w14:paraId="6B657EE5" w14:textId="77777777">
      <w:pPr>
        <w:spacing w:after="0" w:line="240" w:lineRule="auto"/>
        <w:jc w:val="both"/>
        <w:rPr>
          <w:rFonts w:ascii="Times New Roman" w:hAnsi="Times New Roman" w:cs="Times New Roman"/>
          <w:sz w:val="24"/>
          <w:szCs w:val="24"/>
          <w:lang w:val="es-PE"/>
        </w:rPr>
      </w:pPr>
    </w:p>
    <w:p w:rsidRPr="00660D6F" w:rsidR="00660D6F" w:rsidP="00660D6F" w:rsidRDefault="00660D6F" w14:paraId="2FC20CAE" w14:textId="19FCE8C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02 de mayo de 2023 por ............................................................... (en adelante, el asegurado) respecto de la Resolución Nro. 065/23, de fecha 24 de abril de 2023, emitida por esta Defensoría del Asegurado (DEFASEG), que declaró INFUNDADA la reclamación interpuesta contra ............................................................... (en adelante, la aseguradora), a fin de que esta apruebe su solicitud de cobertura por el valor de los bienes que habrían sido sustraídos de su domicilio, conforme al Seguro de Hogar de póliza N° .......................... (en adelante, la póliza).</w:t>
      </w:r>
    </w:p>
    <w:p w:rsidRPr="00660D6F" w:rsidR="00660D6F" w:rsidP="00660D6F" w:rsidRDefault="00660D6F" w14:paraId="426D41DB" w14:textId="77777777">
      <w:pPr>
        <w:spacing w:after="0" w:line="240" w:lineRule="auto"/>
        <w:jc w:val="both"/>
        <w:rPr>
          <w:rFonts w:ascii="Times New Roman" w:hAnsi="Times New Roman" w:cs="Times New Roman"/>
          <w:sz w:val="24"/>
          <w:szCs w:val="24"/>
          <w:lang w:val="es-PE"/>
        </w:rPr>
      </w:pPr>
    </w:p>
    <w:p w:rsidRPr="00660D6F" w:rsidR="00660D6F" w:rsidP="00660D6F" w:rsidRDefault="00660D6F" w14:paraId="748455CF" w14:textId="1B04571D">
      <w:pPr>
        <w:pStyle w:val="Default"/>
        <w:spacing w:line="240" w:lineRule="auto"/>
        <w:jc w:val="both"/>
        <w:rPr>
          <w:rFonts w:ascii="Times New Roman" w:hAnsi="Times New Roman" w:cs="Times New Roman"/>
        </w:rPr>
      </w:pPr>
      <w:r>
        <w:rPr>
          <w:rFonts w:ascii="Times New Roman" w:hAnsi="Times New Roman"/>
          <w:sz w:val="24"/>
        </w:rPr>
        <w:t xml:space="preserve">Que el señalado Recurso Impugnativo se fundamenta resumidamente en lo siguiente: 1) la póliza N° ………………… que el robo por “fractura” a la que hace referencia implique que tales hechos sean específicamente realizados contra la puerta de ingreso del bien asegurado; 2) las conclusiones a las que llega el primer ajustador -A.......................... incluyen lo siguiente: “Según lo verificado, los delincuentes para ingresar a la propiedad del Sr. .........................., tuvieron que abrir la puerta principal a la fuerza, ya sea pateando, golpeando o usando algún tipo de llave maestra (de acuerdo a nuestra experiencia, en muchos casos se ha visto esta modalidad de robo) (…) según lo inspeccionado y como lo demuestran en las fotos, los delincuentes fracturaron las puertas, rompieron vidrios y puerta de vidrio, para así poder llevarse los bienes del asegurado.”; 3) de ser imprescindible la evidencia de violencia específicamente en la puerta de ingreso para que se coberture el siniestro se estaría presumiendo que el asegurado fabricó el siniestro de robo, provocándose a sí mismo, todos los daños evidenciado en las fotos; 4) existe un caso similar sucedido el 14 de agosto que sí fue objeto de indemnización, pese a que tampoco existía violencia en el puerta de ingreso de la vivienda sino, únicamente en el interior de esta; </w:t>
      </w:r>
    </w:p>
    <w:p w:rsidRPr="00660D6F" w:rsidR="00660D6F" w:rsidP="00660D6F" w:rsidRDefault="00660D6F" w14:paraId="13DCCB95" w14:textId="77777777">
      <w:pPr>
        <w:spacing w:after="0" w:line="240" w:lineRule="auto"/>
        <w:jc w:val="both"/>
        <w:rPr>
          <w:rFonts w:ascii="Times New Roman" w:hAnsi="Times New Roman" w:cs="Times New Roman"/>
          <w:sz w:val="24"/>
          <w:szCs w:val="24"/>
          <w:lang w:val="es-PE"/>
        </w:rPr>
      </w:pPr>
    </w:p>
    <w:p w:rsidRPr="00660D6F" w:rsidR="00660D6F" w:rsidP="00660D6F" w:rsidRDefault="00660D6F" w14:paraId="187ABD77"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Que, habiéndose corrido traslado a la asegurada del referido Recurso impugnatorio, mediante comunicación del 15 de mayo de 2023, presentó su escrito de absolución, manifestando lo siguiente: 1) el asegurado insiste -nuevamente- en su recurso impugnatorio que el evento reclamado sí tendría cobertura, toda vez que existen huellas de violencia en distintas puertas, closets y vidrios de ambientes de su hogar y que la póliza N° ………………… que estas huellas deban estar necesariamente en la puerta principal, además de que se estaría dejando entrever que el robo en realidad habría sido fabricado por su persona, lo cual no es cierto; 2) la póliza establece claramente que la modalidad de fractura se configura cuando los hechos violentos se dan para el ingreso al predio, no en las habitaciones una vez que ya se ingresó a este;</w:t>
      </w:r>
    </w:p>
    <w:p w:rsidRPr="00660D6F" w:rsidR="00660D6F" w:rsidP="00660D6F" w:rsidRDefault="00660D6F" w14:paraId="37C349C2"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sz w:val="24"/>
          <w:szCs w:val="24"/>
          <w:lang w:val="es-PE"/>
        </w:rPr>
        <w:t>Que, atendiendo a lo expuesto, esta Defensoría resuelve finalmente lo siguiente:</w:t>
      </w:r>
    </w:p>
    <w:p w:rsidRPr="00660D6F" w:rsidR="00660D6F" w:rsidP="00660D6F" w:rsidRDefault="00660D6F" w14:paraId="59F174E9"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b/>
          <w:sz w:val="24"/>
          <w:szCs w:val="24"/>
          <w:lang w:val="es-PE"/>
        </w:rPr>
        <w:t>PRIMERO:</w:t>
      </w:r>
      <w:r w:rsidRPr="00660D6F">
        <w:rPr>
          <w:rFonts w:ascii="Times New Roman" w:hAnsi="Times New Roman" w:cs="Times New Roman"/>
          <w:sz w:val="24"/>
          <w:szCs w:val="24"/>
          <w:lang w:val="es-PE"/>
        </w:rPr>
        <w:t xml:space="preserve"> Que el artículo 10 (Procedimiento) del Reglamento de la DEFASEG (</w:t>
      </w:r>
      <w:hyperlink w:history="1" r:id="rId8">
        <w:r w:rsidRPr="00660D6F">
          <w:rPr>
            <w:rStyle w:val="Hipervnculo"/>
            <w:rFonts w:ascii="Times New Roman" w:hAnsi="Times New Roman" w:cs="Times New Roman"/>
            <w:sz w:val="24"/>
            <w:szCs w:val="24"/>
            <w:lang w:val="es-PE"/>
          </w:rPr>
          <w:t>http://www.defaseg.com.pe/reglamento</w:t>
        </w:r>
      </w:hyperlink>
      <w:r w:rsidRPr="00660D6F">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w:t>
      </w:r>
      <w:r w:rsidRPr="00660D6F">
        <w:rPr>
          <w:rFonts w:ascii="Times New Roman" w:hAnsi="Times New Roman" w:cs="Times New Roman"/>
          <w:sz w:val="24"/>
          <w:szCs w:val="24"/>
          <w:lang w:val="es-PE"/>
        </w:rPr>
        <w:br/>
      </w:r>
      <w:r w:rsidRPr="00660D6F">
        <w:rPr>
          <w:rFonts w:ascii="Times New Roman" w:hAnsi="Times New Roman" w:cs="Times New Roman"/>
          <w:sz w:val="24"/>
          <w:szCs w:val="24"/>
          <w:lang w:val="es-PE"/>
        </w:rPr>
        <w:t>-razonablemente- la razón de su desacuerdo, destacando el vicio o error en que se habría incurrido y que permitiría fundamentar que lo resuelto no se ajusta a derecho ni a los correspondientes actuados.</w:t>
      </w:r>
    </w:p>
    <w:p w:rsidRPr="00660D6F" w:rsidR="00660D6F" w:rsidP="00660D6F" w:rsidRDefault="00660D6F" w14:paraId="1F1EFBE4"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b/>
          <w:sz w:val="24"/>
          <w:szCs w:val="24"/>
          <w:lang w:val="es-PE"/>
        </w:rPr>
        <w:t>SEGUNDO:</w:t>
      </w:r>
      <w:r w:rsidRPr="00660D6F">
        <w:rPr>
          <w:rFonts w:ascii="Times New Roman" w:hAnsi="Times New Roman" w:cs="Times New Roman"/>
          <w:sz w:val="24"/>
          <w:szCs w:val="24"/>
          <w:lang w:val="es-PE"/>
        </w:rPr>
        <w:t xml:space="preserve"> Que, de la lectura del Recurso Impugnativo interpuesto se aprecia que el asegurado insiste en lo argumentado con ocasión de su escrito de reclamación, siendo que dichos argumentos ya fueron debidamente analizados en los Considerandos, Sexto, Sétimo y Octavo de la Resolución recurrida. Por ello, a juicio de este Colegiado, el contenido del señalado recurso impugnativo evidencia la disconformidad de este último con el sentido de lo resuelto. En consecuencia, el Recurso Impugnativo interpuesto puede ser categorizado, por su contenido mismo, como una solicitud de revisión general, sustentado en el muy respetable criterio del asegurado; sin embargo, dicho criterio no es compartido por este colegiado. Por ello, este Colegiado considera que el asegurado no ha aportado argumento o medio probatorio alguno que le permita -objetivamente- apreciar que habría incurrido efectivamente en un error o vicio al momento de resolver.</w:t>
      </w:r>
    </w:p>
    <w:p w:rsidRPr="00660D6F" w:rsidR="00660D6F" w:rsidP="00660D6F" w:rsidRDefault="00660D6F" w14:paraId="02B22D3A"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sz w:val="24"/>
          <w:szCs w:val="24"/>
          <w:lang w:val="es-PE"/>
        </w:rPr>
        <w:t xml:space="preserve">Que, sin perjuicio de lo señalado, debemos agregar que el presente Colegiado se limita a realizar interpretaciones legales de la póliza. De este modo, luego de un análisis de la posición de las partes y de lo expresado en la póliza, se concluyó lo expresado en la Resolución recurrida respecto de que esta exigía que los daños por fractura debían haberse realizado al </w:t>
      </w:r>
      <w:r w:rsidRPr="00660D6F">
        <w:rPr>
          <w:rFonts w:ascii="Times New Roman" w:hAnsi="Times New Roman" w:cs="Times New Roman"/>
          <w:i/>
          <w:iCs/>
          <w:sz w:val="24"/>
          <w:szCs w:val="24"/>
          <w:lang w:val="es-PE"/>
        </w:rPr>
        <w:t xml:space="preserve">ingreso </w:t>
      </w:r>
      <w:r w:rsidRPr="00660D6F">
        <w:rPr>
          <w:rFonts w:ascii="Times New Roman" w:hAnsi="Times New Roman" w:cs="Times New Roman"/>
          <w:sz w:val="24"/>
          <w:szCs w:val="24"/>
          <w:lang w:val="es-PE"/>
        </w:rPr>
        <w:t>del predio. No obstante, ello no implica -de modo alguno- la atribución de responsabilidades adicionales, conforme lo afirma el asegurado, puesto que el presente Colegiado no tiene competencia para pronunciarse sobre los hechos materia de investigación en distintas sedes, tales como las investigaciones penales (o de cualquier naturaleza) que podrían desarrollarse como consecuencia de los hechos narrados por el asegurado. Así pues, el presente Colegiado no puede -ni debe- pronunciarse sobre la atribución de responsabilidades o autoría de los hechos narrados.</w:t>
      </w:r>
    </w:p>
    <w:p w:rsidRPr="00660D6F" w:rsidR="00660D6F" w:rsidP="00660D6F" w:rsidRDefault="00660D6F" w14:paraId="087DC3EB"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sz w:val="24"/>
          <w:szCs w:val="24"/>
          <w:lang w:val="es-PE"/>
        </w:rPr>
        <w:t>Que, asimismo, resulta pertinente aclarar que la referencia realizada por el asegurado a un siniestro ocurrido en la vivienda de un vecino, no puede ser objeto de análisis en la presente sede, máxime cuando no se ha adjuntado medio probatorio alguno que respalde la tesis del asegurado. En ese sentido, no se conocen las circunstancias, contenido de la póliza, partes que involucran los hechos y demás circunstancias que permitirían evaluar si lo alegado resulta -o no- pertinente para el presente caso. Por ello, la referida mención no resulta pertinente al presente caso, por lo que no puede ser objeto de valoración por parte del presente Colegiado.</w:t>
      </w:r>
    </w:p>
    <w:p w:rsidRPr="00660D6F" w:rsidR="00660D6F" w:rsidP="00660D6F" w:rsidRDefault="00660D6F" w14:paraId="5BD1CA8A"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sz w:val="24"/>
          <w:szCs w:val="24"/>
          <w:lang w:val="es-PE"/>
        </w:rPr>
        <w:t>Que, por consiguiente, este colegiado reitera su análisis contenido en la resolución recurrida.</w:t>
      </w:r>
    </w:p>
    <w:p w:rsidRPr="00660D6F" w:rsidR="00660D6F" w:rsidP="00660D6F" w:rsidRDefault="00660D6F" w14:paraId="1A53FB80" w14:textId="77777777">
      <w:pPr>
        <w:spacing w:line="240" w:lineRule="auto"/>
        <w:jc w:val="both"/>
        <w:rPr>
          <w:rFonts w:ascii="Times New Roman" w:hAnsi="Times New Roman" w:cs="Times New Roman"/>
          <w:sz w:val="24"/>
          <w:szCs w:val="24"/>
          <w:lang w:val="es-PE"/>
        </w:rPr>
      </w:pPr>
      <w:r w:rsidRPr="00660D6F">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660D6F" w:rsidR="00660D6F" w:rsidP="00660D6F" w:rsidRDefault="00660D6F" w14:paraId="22E40CDB" w14:textId="77777777">
      <w:pPr>
        <w:spacing w:line="240" w:lineRule="auto"/>
        <w:jc w:val="both"/>
        <w:rPr>
          <w:rFonts w:ascii="Times New Roman" w:hAnsi="Times New Roman" w:cs="Times New Roman"/>
          <w:b/>
          <w:sz w:val="24"/>
          <w:szCs w:val="24"/>
          <w:lang w:val="es-PE"/>
        </w:rPr>
      </w:pPr>
      <w:r w:rsidRPr="00660D6F">
        <w:rPr>
          <w:rFonts w:ascii="Times New Roman" w:hAnsi="Times New Roman" w:cs="Times New Roman"/>
          <w:b/>
          <w:sz w:val="24"/>
          <w:szCs w:val="24"/>
          <w:lang w:val="es-PE"/>
        </w:rPr>
        <w:t xml:space="preserve">RESUELVE: </w:t>
      </w:r>
    </w:p>
    <w:p w:rsidRPr="00660D6F" w:rsidR="002F478E" w:rsidP="00660D6F" w:rsidRDefault="00660D6F" w14:paraId="13386D2E" w14:textId="10B5A889">
      <w:pPr>
        <w:spacing w:line="240" w:lineRule="auto"/>
        <w:jc w:val="both"/>
        <w:rPr>
          <w:rFonts w:ascii="Times New Roman" w:hAnsi="Times New Roman" w:cs="Times New Roman"/>
          <w:sz w:val="24"/>
          <w:szCs w:val="24"/>
          <w:lang w:val="es-PE"/>
        </w:rPr>
      </w:pPr>
      <w:r w:rsidRPr="3155C02C" w:rsidR="00660D6F">
        <w:rPr>
          <w:rFonts w:ascii="Times New Roman" w:hAnsi="Times New Roman" w:cs="Times New Roman"/>
          <w:sz w:val="24"/>
          <w:szCs w:val="24"/>
          <w:lang w:val="es-PE"/>
        </w:rPr>
        <w:t xml:space="preserve">Declarar </w:t>
      </w:r>
      <w:r w:rsidRPr="3155C02C" w:rsidR="00660D6F">
        <w:rPr>
          <w:rFonts w:ascii="Times New Roman" w:hAnsi="Times New Roman" w:cs="Times New Roman"/>
          <w:b w:val="1"/>
          <w:bCs w:val="1"/>
          <w:sz w:val="24"/>
          <w:szCs w:val="24"/>
          <w:lang w:val="es-PE"/>
        </w:rPr>
        <w:t>INFUNDADO</w:t>
      </w:r>
      <w:r w:rsidRPr="3155C02C" w:rsidR="00660D6F">
        <w:rPr>
          <w:rFonts w:ascii="Times New Roman" w:hAnsi="Times New Roman" w:cs="Times New Roman"/>
          <w:sz w:val="24"/>
          <w:szCs w:val="24"/>
          <w:lang w:val="es-PE"/>
        </w:rPr>
        <w:t xml:space="preserve"> el Recurso Impugnativo interpuesto y, por consiguiente, ratificar la Resolución </w:t>
      </w:r>
      <w:r w:rsidRPr="3155C02C" w:rsidR="00660D6F">
        <w:rPr>
          <w:rFonts w:ascii="Times New Roman" w:hAnsi="Times New Roman" w:cs="Times New Roman"/>
          <w:sz w:val="24"/>
          <w:szCs w:val="24"/>
          <w:lang w:val="es-PE"/>
        </w:rPr>
        <w:t>N°</w:t>
      </w:r>
      <w:r w:rsidRPr="3155C02C" w:rsidR="00660D6F">
        <w:rPr>
          <w:rFonts w:ascii="Times New Roman" w:hAnsi="Times New Roman" w:cs="Times New Roman"/>
          <w:sz w:val="24"/>
          <w:szCs w:val="24"/>
          <w:lang w:val="es-PE"/>
        </w:rPr>
        <w:t xml:space="preserve"> 065/23 que declaró</w:t>
      </w:r>
      <w:r w:rsidRPr="3155C02C" w:rsidR="00660D6F">
        <w:rPr>
          <w:rFonts w:ascii="Times New Roman" w:hAnsi="Times New Roman" w:cs="Times New Roman"/>
          <w:b w:val="1"/>
          <w:bCs w:val="1"/>
          <w:sz w:val="24"/>
          <w:szCs w:val="24"/>
          <w:lang w:val="es-PE"/>
        </w:rPr>
        <w:t xml:space="preserve"> INFUNDADA </w:t>
      </w:r>
      <w:r w:rsidRPr="3155C02C" w:rsidR="00660D6F">
        <w:rPr>
          <w:rFonts w:ascii="Times New Roman" w:hAnsi="Times New Roman" w:cs="Times New Roman"/>
          <w:sz w:val="24"/>
          <w:szCs w:val="24"/>
          <w:lang w:val="es-PE"/>
        </w:rPr>
        <w:t>la reclamación interpuesta</w:t>
      </w:r>
      <w:r w:rsidRPr="3155C02C" w:rsidR="00660D6F">
        <w:rPr>
          <w:rFonts w:ascii="Times New Roman" w:hAnsi="Times New Roman" w:cs="Times New Roman"/>
          <w:b w:val="1"/>
          <w:bCs w:val="1"/>
          <w:sz w:val="24"/>
          <w:szCs w:val="24"/>
          <w:lang w:val="es-PE"/>
        </w:rPr>
        <w:t xml:space="preserve"> </w:t>
      </w:r>
      <w:r w:rsidRPr="3155C02C" w:rsidR="00660D6F">
        <w:rPr>
          <w:rFonts w:ascii="Times New Roman" w:hAnsi="Times New Roman" w:cs="Times New Roman"/>
          <w:sz w:val="24"/>
          <w:szCs w:val="24"/>
          <w:lang w:val="es-PE"/>
        </w:rPr>
        <w:t>contra</w:t>
      </w:r>
      <w:r w:rsidRPr="3155C02C" w:rsidR="00660D6F">
        <w:rPr>
          <w:rFonts w:ascii="Times New Roman" w:hAnsi="Times New Roman" w:cs="Times New Roman"/>
          <w:b w:val="1"/>
          <w:bCs w:val="1"/>
          <w:sz w:val="24"/>
          <w:szCs w:val="24"/>
          <w:lang w:val="es-PE"/>
        </w:rPr>
        <w:t xml:space="preserve"> </w:t>
      </w:r>
      <w:r w:rsidRPr="3155C02C" w:rsidR="730B115D">
        <w:rPr>
          <w:rFonts w:ascii="Times New Roman" w:hAnsi="Times New Roman" w:cs="Times New Roman"/>
          <w:b w:val="1"/>
          <w:bCs w:val="1"/>
          <w:sz w:val="24"/>
          <w:szCs w:val="24"/>
          <w:lang w:val="es-PE"/>
        </w:rPr>
        <w:t>...............................................................</w:t>
      </w:r>
      <w:r w:rsidRPr="3155C02C" w:rsidR="00660D6F">
        <w:rPr>
          <w:rFonts w:ascii="Times New Roman" w:hAnsi="Times New Roman" w:cs="Times New Roman"/>
          <w:b w:val="1"/>
          <w:bCs w:val="1"/>
          <w:sz w:val="24"/>
          <w:szCs w:val="24"/>
          <w:lang w:val="es-PE"/>
        </w:rPr>
        <w:t xml:space="preserve">, </w:t>
      </w:r>
      <w:r w:rsidRPr="3155C02C" w:rsidR="00660D6F">
        <w:rPr>
          <w:rFonts w:ascii="Times New Roman" w:hAnsi="Times New Roman" w:cs="Times New Roman"/>
          <w:sz w:val="24"/>
          <w:szCs w:val="24"/>
          <w:lang w:val="es-PE"/>
        </w:rPr>
        <w:t>dejando a salvo el derecho de esta de acudir a otras instancias que considere pertinente</w:t>
      </w:r>
      <w:r w:rsidRPr="3155C02C" w:rsidR="00660D6F">
        <w:rPr>
          <w:rFonts w:ascii="Times New Roman" w:hAnsi="Times New Roman" w:cs="Times New Roman"/>
          <w:sz w:val="24"/>
          <w:szCs w:val="24"/>
          <w:lang w:val="es-PE"/>
        </w:rPr>
        <w:t>.</w:t>
      </w:r>
    </w:p>
    <w:p w:rsidRPr="00660D6F" w:rsidR="00C671F5" w:rsidP="00547F11" w:rsidRDefault="0091528B" w14:paraId="486C3F46" w14:textId="5A2687E6">
      <w:pPr>
        <w:suppressAutoHyphens/>
        <w:spacing w:after="0" w:line="240" w:lineRule="auto"/>
        <w:jc w:val="right"/>
        <w:outlineLvl w:val="0"/>
        <w:rPr>
          <w:rFonts w:ascii="Times New Roman" w:hAnsi="Times New Roman" w:eastAsia="Arial Unicode MS" w:cs="Times New Roman"/>
          <w:sz w:val="24"/>
          <w:szCs w:val="24"/>
          <w:lang w:val="es-PE" w:eastAsia="ar-SA"/>
        </w:rPr>
      </w:pPr>
      <w:r w:rsidRPr="00660D6F">
        <w:rPr>
          <w:rFonts w:ascii="Times New Roman" w:hAnsi="Times New Roman" w:eastAsia="Arial Unicode MS" w:cs="Times New Roman"/>
          <w:sz w:val="24"/>
          <w:szCs w:val="24"/>
          <w:lang w:val="es-PE" w:eastAsia="ar-SA"/>
        </w:rPr>
        <w:t xml:space="preserve">Lima, </w:t>
      </w:r>
      <w:r w:rsidRPr="00660D6F" w:rsidR="002F478E">
        <w:rPr>
          <w:rFonts w:ascii="Times New Roman" w:hAnsi="Times New Roman" w:eastAsia="Arial Unicode MS" w:cs="Times New Roman"/>
          <w:sz w:val="24"/>
          <w:szCs w:val="24"/>
          <w:lang w:val="es-PE" w:eastAsia="ar-SA"/>
        </w:rPr>
        <w:t xml:space="preserve">06 </w:t>
      </w:r>
      <w:r w:rsidRPr="00660D6F" w:rsidR="00707C99">
        <w:rPr>
          <w:rFonts w:ascii="Times New Roman" w:hAnsi="Times New Roman" w:eastAsia="Arial Unicode MS" w:cs="Times New Roman"/>
          <w:sz w:val="24"/>
          <w:szCs w:val="24"/>
          <w:lang w:val="es-PE" w:eastAsia="ar-SA"/>
        </w:rPr>
        <w:t xml:space="preserve">de </w:t>
      </w:r>
      <w:r w:rsidRPr="00660D6F" w:rsidR="002F478E">
        <w:rPr>
          <w:rFonts w:ascii="Times New Roman" w:hAnsi="Times New Roman" w:eastAsia="Arial Unicode MS" w:cs="Times New Roman"/>
          <w:sz w:val="24"/>
          <w:szCs w:val="24"/>
          <w:lang w:val="es-PE" w:eastAsia="ar-SA"/>
        </w:rPr>
        <w:t xml:space="preserve">junio </w:t>
      </w:r>
      <w:r w:rsidRPr="00660D6F" w:rsidR="00F06498">
        <w:rPr>
          <w:rFonts w:ascii="Times New Roman" w:hAnsi="Times New Roman" w:eastAsia="Arial Unicode MS" w:cs="Times New Roman"/>
          <w:sz w:val="24"/>
          <w:szCs w:val="24"/>
          <w:lang w:val="es-PE" w:eastAsia="ar-SA"/>
        </w:rPr>
        <w:t>de 202</w:t>
      </w:r>
      <w:r w:rsidRPr="00660D6F" w:rsidR="00B340D4">
        <w:rPr>
          <w:rFonts w:ascii="Times New Roman" w:hAnsi="Times New Roman" w:eastAsia="Arial Unicode MS" w:cs="Times New Roman"/>
          <w:sz w:val="24"/>
          <w:szCs w:val="24"/>
          <w:lang w:val="es-PE" w:eastAsia="ar-SA"/>
        </w:rPr>
        <w:t>3</w:t>
      </w:r>
      <w:r w:rsidRPr="00660D6F" w:rsidR="00707C99">
        <w:rPr>
          <w:rFonts w:ascii="Times New Roman" w:hAnsi="Times New Roman" w:eastAsia="Times New Roman" w:cs="Times New Roman"/>
          <w:sz w:val="24"/>
          <w:szCs w:val="24"/>
          <w:lang w:val="es-PE" w:eastAsia="ar-SA"/>
        </w:rPr>
        <w:t xml:space="preserve"> </w:t>
      </w:r>
    </w:p>
    <w:p w:rsidRPr="00660D6F"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60D6F"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60D6F"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660D6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60D6F"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660D6F"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660D6F">
        <w:rPr>
          <w:rFonts w:ascii="Times New Roman" w:hAnsi="Times New Roman" w:cs="Times New Roman"/>
          <w:b/>
          <w:bCs/>
          <w:sz w:val="24"/>
          <w:szCs w:val="24"/>
          <w:lang w:val="es-PE"/>
        </w:rPr>
        <w:t xml:space="preserve">Omar Alfaro Villanueva – </w:t>
      </w:r>
      <w:proofErr w:type="gramStart"/>
      <w:r w:rsidRPr="00660D6F">
        <w:rPr>
          <w:rFonts w:ascii="Times New Roman" w:hAnsi="Times New Roman" w:cs="Times New Roman"/>
          <w:b/>
          <w:bCs/>
          <w:sz w:val="24"/>
          <w:szCs w:val="24"/>
          <w:lang w:val="es-PE"/>
        </w:rPr>
        <w:t>Presidente</w:t>
      </w:r>
      <w:proofErr w:type="gramEnd"/>
    </w:p>
    <w:p w:rsidRPr="00660D6F"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660D6F">
        <w:rPr>
          <w:rFonts w:ascii="Times New Roman" w:hAnsi="Times New Roman" w:cs="Times New Roman"/>
          <w:b/>
          <w:bCs/>
          <w:sz w:val="24"/>
          <w:szCs w:val="24"/>
          <w:lang w:val="es-PE"/>
        </w:rPr>
        <w:t>María Eugenia Valdez Fernández Baca – Vocal</w:t>
      </w:r>
    </w:p>
    <w:p w:rsidRPr="00660D6F"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660D6F">
        <w:rPr>
          <w:rFonts w:ascii="Times New Roman" w:hAnsi="Times New Roman" w:cs="Times New Roman"/>
          <w:b/>
          <w:bCs/>
          <w:sz w:val="24"/>
          <w:szCs w:val="24"/>
          <w:lang w:val="es-PE"/>
        </w:rPr>
        <w:t xml:space="preserve">Rolando Eyzaguirre </w:t>
      </w:r>
      <w:proofErr w:type="spellStart"/>
      <w:r w:rsidRPr="00660D6F">
        <w:rPr>
          <w:rFonts w:ascii="Times New Roman" w:hAnsi="Times New Roman" w:cs="Times New Roman"/>
          <w:b/>
          <w:bCs/>
          <w:sz w:val="24"/>
          <w:szCs w:val="24"/>
          <w:lang w:val="es-PE"/>
        </w:rPr>
        <w:t>Maccan</w:t>
      </w:r>
      <w:proofErr w:type="spellEnd"/>
      <w:r w:rsidRPr="00660D6F">
        <w:rPr>
          <w:rFonts w:ascii="Times New Roman" w:hAnsi="Times New Roman" w:cs="Times New Roman"/>
          <w:b/>
          <w:bCs/>
          <w:sz w:val="24"/>
          <w:szCs w:val="24"/>
          <w:lang w:val="es-PE"/>
        </w:rPr>
        <w:t xml:space="preserve"> – Vocal</w:t>
      </w:r>
    </w:p>
    <w:p w:rsidRPr="00660D6F"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660D6F">
        <w:rPr>
          <w:rFonts w:ascii="Times New Roman" w:hAnsi="Times New Roman" w:cs="Times New Roman"/>
          <w:b/>
          <w:bCs/>
          <w:sz w:val="24"/>
          <w:szCs w:val="24"/>
          <w:lang w:val="es-PE"/>
        </w:rPr>
        <w:t>Gonzalo Abad del Busto – 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283A" w:rsidP="00784355" w:rsidRDefault="00EC283A" w14:paraId="52BF77F4" w14:textId="77777777">
      <w:pPr>
        <w:spacing w:after="0" w:line="240" w:lineRule="auto"/>
      </w:pPr>
      <w:r>
        <w:separator/>
      </w:r>
    </w:p>
  </w:endnote>
  <w:endnote w:type="continuationSeparator" w:id="0">
    <w:p w:rsidR="00EC283A" w:rsidP="00784355" w:rsidRDefault="00EC283A" w14:paraId="71D5452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283A" w:rsidP="00784355" w:rsidRDefault="00EC283A" w14:paraId="6C50E21D" w14:textId="77777777">
      <w:pPr>
        <w:spacing w:after="0" w:line="240" w:lineRule="auto"/>
      </w:pPr>
      <w:r>
        <w:separator/>
      </w:r>
    </w:p>
  </w:footnote>
  <w:footnote w:type="continuationSeparator" w:id="0">
    <w:p w:rsidR="00EC283A" w:rsidP="00784355" w:rsidRDefault="00EC283A" w14:paraId="610D2EF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6906D"/>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F29E162"/>
    <w:rsid w:val="2F842900"/>
    <w:rsid w:val="3155C02C"/>
    <w:rsid w:val="57E47AE6"/>
    <w:rsid w:val="673D97FD"/>
    <w:rsid w:val="730B115D"/>
    <w:rsid w:val="77672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3715E8B-6C11-4DAC-AD99-B07722CA2916}"/>
</file>

<file path=customXml/itemProps3.xml><?xml version="1.0" encoding="utf-8"?>
<ds:datastoreItem xmlns:ds="http://schemas.openxmlformats.org/officeDocument/2006/customXml" ds:itemID="{DAAD711E-8164-4E5E-BE7E-DCCA2BEF75BA}"/>
</file>

<file path=customXml/itemProps4.xml><?xml version="1.0" encoding="utf-8"?>
<ds:datastoreItem xmlns:ds="http://schemas.openxmlformats.org/officeDocument/2006/customXml" ds:itemID="{DABD0E4A-51D5-4806-AE3F-6AB99D12DA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48</cp:revision>
  <cp:lastPrinted>2023-06-06T20:49:00Z</cp:lastPrinted>
  <dcterms:created xsi:type="dcterms:W3CDTF">2023-02-14T22:37:00Z</dcterms:created>
  <dcterms:modified xsi:type="dcterms:W3CDTF">2025-12-02T20:23:52Z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