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C3551" w:rsidR="00707C99" w:rsidP="00272F4F" w:rsidRDefault="00201C0D" w14:paraId="19FE0E96" w14:textId="47AB1A21">
      <w:pPr>
        <w:spacing w:after="0" w:line="240" w:lineRule="auto"/>
        <w:jc w:val="center"/>
        <w:rPr>
          <w:rFonts w:ascii="Times New Roman" w:hAnsi="Times New Roman" w:cs="Times New Roman"/>
          <w:b/>
          <w:sz w:val="24"/>
          <w:szCs w:val="24"/>
          <w:lang w:val="es-PE" w:eastAsia="ar-SA"/>
        </w:rPr>
      </w:pPr>
      <w:r w:rsidRPr="00EC3551">
        <w:rPr>
          <w:rFonts w:ascii="Times New Roman" w:hAnsi="Times New Roman" w:cs="Times New Roman"/>
          <w:b/>
          <w:sz w:val="24"/>
          <w:szCs w:val="24"/>
          <w:lang w:val="es-PE" w:eastAsia="ar-SA"/>
        </w:rPr>
        <w:t xml:space="preserve">RESOLUCIÓN DE RECURSO IMPUGNATIVO </w:t>
      </w:r>
      <w:r w:rsidRPr="00EC3551" w:rsidR="00707C99">
        <w:rPr>
          <w:rFonts w:ascii="Times New Roman" w:hAnsi="Times New Roman" w:cs="Times New Roman"/>
          <w:b/>
          <w:sz w:val="24"/>
          <w:szCs w:val="24"/>
          <w:lang w:val="es-PE" w:eastAsia="ar-SA"/>
        </w:rPr>
        <w:t xml:space="preserve">N° </w:t>
      </w:r>
      <w:r w:rsidRPr="00EC3551" w:rsidR="00516293">
        <w:rPr>
          <w:rFonts w:ascii="Times New Roman" w:hAnsi="Times New Roman" w:cs="Times New Roman"/>
          <w:b/>
          <w:sz w:val="24"/>
          <w:szCs w:val="24"/>
          <w:lang w:val="es-PE" w:eastAsia="ar-SA"/>
        </w:rPr>
        <w:t>021</w:t>
      </w:r>
      <w:r w:rsidRPr="00EC3551" w:rsidR="00C671F5">
        <w:rPr>
          <w:rFonts w:ascii="Times New Roman" w:hAnsi="Times New Roman" w:cs="Times New Roman"/>
          <w:b/>
          <w:sz w:val="24"/>
          <w:szCs w:val="24"/>
          <w:lang w:val="es-PE" w:eastAsia="ar-SA"/>
        </w:rPr>
        <w:t>/2</w:t>
      </w:r>
      <w:r w:rsidRPr="00EC3551" w:rsidR="00AB7BFE">
        <w:rPr>
          <w:rFonts w:ascii="Times New Roman" w:hAnsi="Times New Roman" w:cs="Times New Roman"/>
          <w:b/>
          <w:sz w:val="24"/>
          <w:szCs w:val="24"/>
          <w:lang w:val="es-PE" w:eastAsia="ar-SA"/>
        </w:rPr>
        <w:t>3</w:t>
      </w:r>
    </w:p>
    <w:p w:rsidRPr="00EC3551" w:rsidR="00EC3551" w:rsidP="00EC3551" w:rsidRDefault="00EC3551" w14:paraId="750085DE" w14:textId="77777777">
      <w:pPr>
        <w:spacing w:after="0" w:line="240" w:lineRule="auto"/>
        <w:jc w:val="both"/>
        <w:rPr>
          <w:rFonts w:ascii="Times New Roman" w:hAnsi="Times New Roman" w:cs="Times New Roman"/>
          <w:sz w:val="24"/>
          <w:szCs w:val="24"/>
          <w:lang w:val="es-PE"/>
        </w:rPr>
      </w:pPr>
      <w:r w:rsidRPr="00EC3551">
        <w:rPr>
          <w:rFonts w:ascii="Times New Roman" w:hAnsi="Times New Roman" w:cs="Times New Roman"/>
          <w:b/>
          <w:sz w:val="24"/>
          <w:szCs w:val="24"/>
          <w:lang w:val="es-PE"/>
        </w:rPr>
        <w:t xml:space="preserve">Vistos: </w:t>
      </w:r>
    </w:p>
    <w:p w:rsidRPr="00EC3551" w:rsidR="00EC3551" w:rsidP="00EC3551" w:rsidRDefault="00EC3551" w14:paraId="301C7E66" w14:textId="77777777">
      <w:pPr>
        <w:spacing w:after="0" w:line="240" w:lineRule="auto"/>
        <w:jc w:val="both"/>
        <w:rPr>
          <w:rFonts w:ascii="Times New Roman" w:hAnsi="Times New Roman" w:cs="Times New Roman"/>
          <w:sz w:val="24"/>
          <w:szCs w:val="24"/>
          <w:lang w:val="es-PE"/>
        </w:rPr>
      </w:pPr>
    </w:p>
    <w:p w:rsidRPr="00EC3551" w:rsidR="00EC3551" w:rsidP="00EC3551" w:rsidRDefault="00EC3551" w14:paraId="5029E67F" w14:textId="316798E2">
      <w:pPr>
        <w:spacing w:line="240" w:lineRule="auto"/>
        <w:jc w:val="both"/>
        <w:rPr>
          <w:rFonts w:ascii="Times New Roman" w:hAnsi="Times New Roman" w:cs="Times New Roman"/>
          <w:sz w:val="24"/>
          <w:szCs w:val="24"/>
          <w:lang w:val="es-PE"/>
        </w:rPr>
      </w:pPr>
      <w:r w:rsidRPr="55821F34" w:rsidR="00EC3551">
        <w:rPr>
          <w:rFonts w:ascii="Times New Roman" w:hAnsi="Times New Roman" w:cs="Times New Roman"/>
          <w:sz w:val="24"/>
          <w:szCs w:val="24"/>
          <w:lang w:val="es-PE"/>
        </w:rPr>
        <w:t xml:space="preserve">El Recurso Impugnativo presentado el 22 de marzo de 2023 por </w:t>
      </w:r>
      <w:r w:rsidRPr="55821F34" w:rsidR="1EC8C275">
        <w:rPr>
          <w:rFonts w:ascii="Times New Roman" w:hAnsi="Times New Roman" w:cs="Times New Roman"/>
          <w:sz w:val="24"/>
          <w:szCs w:val="24"/>
          <w:lang w:val="es-PE"/>
        </w:rPr>
        <w:t>.....................</w:t>
      </w:r>
      <w:r w:rsidRPr="55821F34" w:rsidR="00EC3551">
        <w:rPr>
          <w:rFonts w:ascii="Times New Roman" w:hAnsi="Times New Roman" w:cs="Times New Roman"/>
          <w:sz w:val="24"/>
          <w:szCs w:val="24"/>
          <w:lang w:val="es-PE"/>
        </w:rPr>
        <w:t xml:space="preserve">, respecto de la Resolución </w:t>
      </w:r>
      <w:r w:rsidRPr="55821F34" w:rsidR="00EC3551">
        <w:rPr>
          <w:rFonts w:ascii="Times New Roman" w:hAnsi="Times New Roman" w:cs="Times New Roman"/>
          <w:sz w:val="24"/>
          <w:szCs w:val="24"/>
          <w:lang w:val="es-PE"/>
        </w:rPr>
        <w:t>N°</w:t>
      </w:r>
      <w:r w:rsidRPr="55821F34" w:rsidR="00EC3551">
        <w:rPr>
          <w:rFonts w:ascii="Times New Roman" w:hAnsi="Times New Roman" w:cs="Times New Roman"/>
          <w:sz w:val="24"/>
          <w:szCs w:val="24"/>
          <w:lang w:val="es-PE"/>
        </w:rPr>
        <w:t xml:space="preserve"> 045/23 de fecha 15 de marzo de 2023 emitida por esta Defensoría del Asegurado (DEFASEG) que declaró INFUNDADA la reclamación interpuesta, sobre otorgamiento de cobertura al siniestro ocurrido bajo la Póliza de Seguro de Transporte Nacional contratada</w:t>
      </w:r>
    </w:p>
    <w:p w:rsidRPr="00EC3551" w:rsidR="00EC3551" w:rsidP="00EC3551" w:rsidRDefault="00EC3551" w14:paraId="727C6F00" w14:textId="0EB051C6">
      <w:pPr>
        <w:spacing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Que, estando al análisis y conclusiones de la DEFASEG, la asegurada contradice los supuestos de la Defensoría, siendo su decisión parcializada a favor de la aseguradora; no ha realizado un análisis de los establecido en la póliza, contraviniendo su decisión la propia normativa vigente. 2) Que, con respecto a la vigencia de la póliza, la Defensoría indica que, al momento de realizarse la transportación, esta no se encontraba vigente, empero, conforme es de verse de la propia póliza esta en la página 1 en el ítem “Condiciones Particulares” indica vigencia de la póliza: 15/………………… – 15/07/2022, información que causa confusión con lo descrito en la misma que se indica vigencia desde: 15/06/2022 12:00 Hrs. Hasta 15/07/2022 12:00 Hrs. 3) Que, con ello es de advertirse que la Ley 29946 Título 1 Artículo IV inciso 3 indica expresamente: “Tercera: Los términos del contrato que generan ambigüedad o dudas son interpretadas en el sentido y con alcance más favorable al asegurado. La intermediación a cargo del corredor de seguros no afecta dicha regla ni la naturaleza del seguro como contrato celebrado por adhesión”. 4) Que, siendo evidente que a simple vista se advierte que los términos de la póliza en cuestión causan confusión por ambigüedad, habiendo el reclamante entendido que la póliza tiene vigencia sin distinción de horas, existiendo esta controversia, debió resolverse a favor del recurrente. 4) Que, con relación que se habría incumplido lo que se refiere a que el vehículo transportador debía contar con el chofer y un ayudante una vez que el vehículo sale del almacén hasta el ingreso al local de destino, esta condición es materialmente imposible de cumplir, ya que la situación de inseguridad que venimos atravesando, así como la propia locación del almacén, pondría en riesgo la transportación a efectos que aborde el vehículo un ayudante, por lo que el uso con ese particular es el ingreso del ayudante a las instalaciones del almacén, lo que a la fecha por disposiciones propias de ADUANAS en las que ha dispuesto que los transportes solo ingresarán a sus instalaciones con el conductor, por lo que dicha condición exigida en la póliza es en detrimento del asegurado, por lo que se causa desprotección al asegurado, sin perjuicio de que las condiciones del transporte contaba con un agente de seguridad. 5) Que, en relación al GPS, si bien es cierto que se monitoreo al vehículo hasta la ocurrencia del siniestro, el coordinador de Operador Logístico del ..................... a pesar de haber recibido la alerta de pérdida de la señal del GPS y no tener contacto con el chofer del vehículo asegurado, recién se informó al reclamante a las 21:38 horas y se interpone la denuncia policial a las 01:30 horas. Que, la asegurada cumplió con las disposiciones de ..................... y que la empresa ………………… a la aseguradora, eso la asegurada no lo puede administrar.</w:t>
      </w:r>
    </w:p>
    <w:p w:rsidRPr="00EC3551" w:rsidR="00EC3551" w:rsidP="00EC3551" w:rsidRDefault="00EC3551" w14:paraId="2ABB3D2D" w14:textId="5CD44C92">
      <w:pPr>
        <w:spacing w:line="240" w:lineRule="auto"/>
        <w:jc w:val="both"/>
        <w:rPr>
          <w:rFonts w:ascii="Times New Roman" w:hAnsi="Times New Roman" w:cs="Times New Roman"/>
          <w:sz w:val="24"/>
          <w:szCs w:val="24"/>
          <w:lang w:val="es-PE"/>
        </w:rPr>
      </w:pPr>
      <w:r w:rsidRPr="55821F34" w:rsidR="00EC3551">
        <w:rPr>
          <w:rFonts w:ascii="Times New Roman" w:hAnsi="Times New Roman" w:cs="Times New Roman"/>
          <w:sz w:val="24"/>
          <w:szCs w:val="24"/>
          <w:lang w:val="es-PE"/>
        </w:rPr>
        <w:t xml:space="preserve">Que, habiéndose corrido traslado a </w:t>
      </w:r>
      <w:r w:rsidRPr="55821F34" w:rsidR="7802A68C">
        <w:rPr>
          <w:rFonts w:ascii="Times New Roman" w:hAnsi="Times New Roman" w:cs="Times New Roman"/>
          <w:sz w:val="24"/>
          <w:szCs w:val="24"/>
          <w:lang w:val="es-PE"/>
        </w:rPr>
        <w:t>.....................</w:t>
      </w:r>
      <w:r w:rsidRPr="55821F34" w:rsidR="00EC3551">
        <w:rPr>
          <w:rFonts w:ascii="Times New Roman" w:hAnsi="Times New Roman" w:cs="Times New Roman"/>
          <w:sz w:val="24"/>
          <w:szCs w:val="24"/>
          <w:lang w:val="es-PE"/>
        </w:rPr>
        <w:t xml:space="preserve"> Seguros del referido Recurso impugnatorio, con fecha 22 de marzo de 2023 ha presentado contestación al mismo exponiendo lo siguiente: 1) Que, sobre la vigencia de la póliza, se puede apreciar en cada una de sus páginas se destaca la fecha y hora de su vigencia. Que, por otro lado, se reitera que carece de toda verdad lo señalado por la reclamante respecto a la confusión que pueda causar la póliza y, ciertamente realiza una errónea interpretación del Título 1 Artículo IV inciso 3 de la Ley, dado que ese mismo cuerpo </w:t>
      </w:r>
      <w:r w:rsidRPr="55821F34" w:rsidR="00EC3551">
        <w:rPr>
          <w:rFonts w:ascii="Times New Roman" w:hAnsi="Times New Roman" w:cs="Times New Roman"/>
          <w:sz w:val="24"/>
          <w:szCs w:val="24"/>
          <w:lang w:val="es-PE"/>
        </w:rPr>
        <w:t>normativo en sus artículos 48° y 49°, claramente estipulan las condiciones respecto de la vigencia de los contratos:</w:t>
      </w:r>
    </w:p>
    <w:p w:rsidRPr="00EC3551" w:rsidR="00EC3551" w:rsidP="00EC3551" w:rsidRDefault="00EC3551" w14:paraId="6C26A9A8"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“VIGENCIA</w:t>
      </w:r>
    </w:p>
    <w:p w:rsidRPr="00EC3551" w:rsidR="00EC3551" w:rsidP="00EC3551" w:rsidRDefault="00EC3551" w14:paraId="224788B8"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Artículo 48. Duración del contrato</w:t>
      </w:r>
    </w:p>
    <w:p w:rsidRPr="00EC3551" w:rsidR="00EC3551" w:rsidP="00EC3551" w:rsidRDefault="00EC3551" w14:paraId="2D54C9E5"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Se presume que la duración del contrato es de un (1) año, salvo que se pacte un plazo distinto.</w:t>
      </w:r>
    </w:p>
    <w:p w:rsidRPr="00EC3551" w:rsidR="00EC3551" w:rsidP="00EC3551" w:rsidRDefault="00EC3551" w14:paraId="28D221DF"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Artículo 49. Comienzo y fin de la cobertura</w:t>
      </w:r>
    </w:p>
    <w:p w:rsidRPr="00EC3551" w:rsidR="00EC3551" w:rsidP="00EC3551" w:rsidRDefault="00EC3551" w14:paraId="206A2D06"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La cobertura del asegurador comienza a las doce (12) horas del día en que inicia la vigencia y termina a las doce (12) horas del último día de vigencia del contrato, salvo pacto en contrario”</w:t>
      </w:r>
    </w:p>
    <w:p w:rsidRPr="00EC3551" w:rsidR="00EC3551" w:rsidP="00EC3551" w:rsidRDefault="00EC3551" w14:paraId="244DFDD2"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2) Que, la asegurada señala que la condición establecida en la póliza sobre la obligación que el vehículo transportador deba contar con un chofer más un ayudante, desde que sale del almacén hasta su ingreso al local de destino es imposible de cumplir, ciertamente es un razonamiento que contraviene las condiciones de la póliza; que las garantías de la póliza claramente indica lo siguiente:</w:t>
      </w:r>
    </w:p>
    <w:p w:rsidRPr="00EC3551" w:rsidR="00EC3551" w:rsidP="00EC3551" w:rsidRDefault="00EC3551" w14:paraId="5F0F356F"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“Garantía para Transporte Terrestre</w:t>
      </w:r>
    </w:p>
    <w:p w:rsidRPr="00EC3551" w:rsidR="00EC3551" w:rsidP="00EC3551" w:rsidRDefault="00EC3551" w14:paraId="6581BC7D"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w:t>
      </w:r>
    </w:p>
    <w:p w:rsidRPr="00EC3551" w:rsidR="00EC3551" w:rsidP="00EC3551" w:rsidRDefault="00EC3551" w14:paraId="3D28E718"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En todo momento el vehículo transportador deberá de contar con chofer mas un ayudante, desde que sale del almacén o local de origen, hasta su ingreso al local de destino final”.</w:t>
      </w:r>
    </w:p>
    <w:p w:rsidRPr="00EC3551" w:rsidR="00EC3551" w:rsidP="00EC3551" w:rsidRDefault="00EC3551" w14:paraId="65365BD5"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Que, la lógica dicta que, al leer la condición de la póliza, el vehículo debe estar acompañado de un chofer más un ayudante en todo el trayecto. Si bien puede que existan restricciones de acceso a las instalaciones del almacén de IMUPESA, ello no es excusa para incumplir las garantías que ordena el contrato de seguro, dado que el ayudante pudo haber abordado el vehículo a la salida del almacén. Que, por otro lado, el ayudante le indicó al chofer que avanzara y que lo esperaría en Habich, sin embargo, lo más preocupante es que era la segunda vez que lo hacía, según se puede apreciar de las declaraciones del mismo conductor.</w:t>
      </w:r>
    </w:p>
    <w:p w:rsidRPr="00EC3551" w:rsidR="00EC3551" w:rsidP="00EC3551" w:rsidRDefault="00EC3551" w14:paraId="716DEB98"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3) Que, respecto al GPS, el reclamante indica que cumplió con el requisito de contar con tal dispositivo, sin embargo, no es su responsabilidad el hecho que la empresa ………………… inmediato. Se debe precisar que, luego de la comunicación del señor…………………, realizada a las 21:38 horas, la reclamante recién interpone la denuncia policial a las 01:30 horas, es decir, después de cuatro (4) horas.</w:t>
      </w:r>
    </w:p>
    <w:p w:rsidRPr="00EC3551" w:rsidR="00EC3551" w:rsidP="00EC3551" w:rsidRDefault="00EC3551" w14:paraId="20F411AB"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 xml:space="preserve"> En consecuencia y atendiendo a lo expuesto, esta Defensoría resuelve finalmente lo siguiente:</w:t>
      </w:r>
    </w:p>
    <w:p w:rsidRPr="00EC3551" w:rsidR="00EC3551" w:rsidP="00EC3551" w:rsidRDefault="00EC3551" w14:paraId="4E5692E1" w14:textId="143305B8">
      <w:pPr>
        <w:spacing w:line="240" w:lineRule="auto"/>
        <w:jc w:val="both"/>
        <w:rPr>
          <w:rFonts w:ascii="Times New Roman" w:hAnsi="Times New Roman" w:cs="Times New Roman"/>
          <w:sz w:val="24"/>
          <w:szCs w:val="24"/>
          <w:lang w:val="es-PE"/>
        </w:rPr>
      </w:pPr>
      <w:r w:rsidRPr="55821F34" w:rsidR="00EC3551">
        <w:rPr>
          <w:rFonts w:ascii="Times New Roman" w:hAnsi="Times New Roman" w:cs="Times New Roman"/>
          <w:b w:val="1"/>
          <w:bCs w:val="1"/>
          <w:sz w:val="24"/>
          <w:szCs w:val="24"/>
          <w:lang w:val="es-PE"/>
        </w:rPr>
        <w:t>PRIMERO:</w:t>
      </w:r>
      <w:r w:rsidRPr="55821F34" w:rsidR="00EC3551">
        <w:rPr>
          <w:rFonts w:ascii="Times New Roman" w:hAnsi="Times New Roman" w:cs="Times New Roman"/>
          <w:sz w:val="24"/>
          <w:szCs w:val="24"/>
          <w:lang w:val="es-PE"/>
        </w:rPr>
        <w:t xml:space="preserve"> Que el artículo 10 (Procedimiento) del Reglamento de la DEFASEG (</w:t>
      </w:r>
      <w:hyperlink r:id="R83988c8a97134581">
        <w:r w:rsidRPr="55821F34" w:rsidR="00EC3551">
          <w:rPr>
            <w:rStyle w:val="Hipervnculo"/>
            <w:rFonts w:ascii="Times New Roman" w:hAnsi="Times New Roman" w:cs="Times New Roman"/>
            <w:sz w:val="24"/>
            <w:szCs w:val="24"/>
            <w:lang w:val="es-PE"/>
          </w:rPr>
          <w:t>http://www.defaseg.com.pe/reglamento</w:t>
        </w:r>
      </w:hyperlink>
      <w:r w:rsidRPr="55821F34" w:rsidR="00EC3551">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55821F34" w:rsidR="1EC8C275">
        <w:rPr>
          <w:rFonts w:ascii="Times New Roman" w:hAnsi="Times New Roman" w:cs="Times New Roman"/>
          <w:sz w:val="24"/>
          <w:szCs w:val="24"/>
          <w:lang w:val="es-PE"/>
        </w:rPr>
        <w:t>.....................</w:t>
      </w:r>
      <w:r w:rsidRPr="55821F34" w:rsidR="00EC3551">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EC3551" w:rsidR="00EC3551" w:rsidP="00EC3551" w:rsidRDefault="00EC3551" w14:paraId="6A4D9FB2" w14:textId="3809FE64">
      <w:pPr>
        <w:spacing w:line="240" w:lineRule="auto"/>
        <w:jc w:val="both"/>
        <w:rPr>
          <w:rFonts w:ascii="Times New Roman" w:hAnsi="Times New Roman" w:cs="Times New Roman"/>
          <w:sz w:val="24"/>
          <w:szCs w:val="24"/>
          <w:lang w:val="es-PE"/>
        </w:rPr>
      </w:pPr>
      <w:r w:rsidRPr="55821F34" w:rsidR="00EC3551">
        <w:rPr>
          <w:rFonts w:ascii="Times New Roman" w:hAnsi="Times New Roman" w:cs="Times New Roman"/>
          <w:b w:val="1"/>
          <w:bCs w:val="1"/>
          <w:sz w:val="24"/>
          <w:szCs w:val="24"/>
          <w:lang w:val="es-PE"/>
        </w:rPr>
        <w:t>SEGUNDO:</w:t>
      </w:r>
      <w:r w:rsidRPr="55821F34" w:rsidR="00EC3551">
        <w:rPr>
          <w:rFonts w:ascii="Times New Roman" w:hAnsi="Times New Roman" w:cs="Times New Roman"/>
          <w:sz w:val="24"/>
          <w:szCs w:val="24"/>
          <w:lang w:val="es-PE"/>
        </w:rPr>
        <w:t xml:space="preserve"> Que, de la lectura del Recurso Im</w:t>
      </w:r>
      <w:r w:rsidRPr="55821F34" w:rsidR="00EC3551">
        <w:rPr>
          <w:rFonts w:ascii="Times New Roman" w:hAnsi="Times New Roman" w:cs="Times New Roman"/>
          <w:sz w:val="24"/>
          <w:szCs w:val="24"/>
          <w:lang w:val="es-PE"/>
        </w:rPr>
        <w:t>vicio al momento de resolver.</w:t>
      </w:r>
    </w:p>
    <w:p w:rsidRPr="00EC3551" w:rsidR="00EC3551" w:rsidP="00EC3551" w:rsidRDefault="00EC3551" w14:paraId="3EF46753"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 xml:space="preserve">Que, sin perjuicio de lo anterior, esta Defensoría considera oportuno mencionar lo siguiente: </w:t>
      </w:r>
    </w:p>
    <w:p w:rsidRPr="00EC3551" w:rsidR="00EC3551" w:rsidP="00EC3551" w:rsidRDefault="00EC3551" w14:paraId="412CB810" w14:textId="77777777">
      <w:pPr>
        <w:pStyle w:val="Prrafodelista"/>
        <w:numPr>
          <w:ilvl w:val="0"/>
          <w:numId w:val="8"/>
        </w:numPr>
        <w:spacing w:after="200"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Que, al inicio de la primera página de la póliza se indica claramente la fecha y hora del inicio y fin de la vigencia.</w:t>
      </w:r>
    </w:p>
    <w:p w:rsidRPr="00EC3551" w:rsidR="00EC3551" w:rsidP="00EC3551" w:rsidRDefault="00EC3551" w14:paraId="6B9E20A4" w14:textId="77777777">
      <w:pPr>
        <w:pStyle w:val="Prrafodelista"/>
        <w:numPr>
          <w:ilvl w:val="0"/>
          <w:numId w:val="8"/>
        </w:numPr>
        <w:spacing w:after="200"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Que, adicionalmente, la Ley 29946 – Ley de Contrato de Seguro, la misma que regula el sistema de seguros del país, en su artículo 48 expresa lo siguiente:</w:t>
      </w:r>
    </w:p>
    <w:p w:rsidRPr="00EC3551" w:rsidR="00EC3551" w:rsidP="00EC3551" w:rsidRDefault="00EC3551" w14:paraId="2C5723D2"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Artículo 48 – Duración del Contrato</w:t>
      </w:r>
    </w:p>
    <w:p w:rsidRPr="00EC3551" w:rsidR="00EC3551" w:rsidP="00EC3551" w:rsidRDefault="00EC3551" w14:paraId="26060D07"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Se presume que la duración del contrato es de un (1) año, salvo que se pacte un plazo distinto.</w:t>
      </w:r>
    </w:p>
    <w:p w:rsidRPr="00EC3551" w:rsidR="00EC3551" w:rsidP="00EC3551" w:rsidRDefault="00EC3551" w14:paraId="512E81EF"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Que, así mismo, el artículo 49 expresa lo siguiente:</w:t>
      </w:r>
    </w:p>
    <w:p w:rsidRPr="00EC3551" w:rsidR="00EC3551" w:rsidP="00EC3551" w:rsidRDefault="00EC3551" w14:paraId="003B971A"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Artículo 49 – Comienzo y fin de la cobertura</w:t>
      </w:r>
    </w:p>
    <w:p w:rsidRPr="00EC3551" w:rsidR="00EC3551" w:rsidP="00EC3551" w:rsidRDefault="00EC3551" w14:paraId="09207BCB"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La cobertura del asegurador comienza a las doce (12) horas del día que comienza la vigencia y termina a las doce (12) horas del último día de vigencia del contrato, salvo pacto en contrario.</w:t>
      </w:r>
    </w:p>
    <w:p w:rsidRPr="00EC3551" w:rsidR="00EC3551" w:rsidP="00EC3551" w:rsidRDefault="00EC3551" w14:paraId="3E39C8D4" w14:textId="77777777">
      <w:pPr>
        <w:spacing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Que, como se puede apreciar, en el presente caso no existe ningún pacto en contrario.</w:t>
      </w:r>
    </w:p>
    <w:p w:rsidRPr="00EC3551" w:rsidR="00EC3551" w:rsidP="00EC3551" w:rsidRDefault="00EC3551" w14:paraId="49DA4A11" w14:textId="77777777">
      <w:pPr>
        <w:pStyle w:val="Prrafodelista"/>
        <w:numPr>
          <w:ilvl w:val="0"/>
          <w:numId w:val="8"/>
        </w:numPr>
        <w:spacing w:after="200"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Que, respecto al ayudante del chofer, si existen restricciones de acceso a las instalaciones del almacén de IMUPESA, ello no es excusa para no cumplir las garantías establecidas en el contrato de seguro, dado que el ayudante pudo haber abordado el vehículo a la salida del almacén. Que, así mismo, es necesario aclarar que el chofer en su declaración dijo que, efectivamente existía la disposición de contar con un ayudante pero que, sin embargo, dicho ayudante le dijo al chofer que avanzara y que lo esperaría en Habich lo que no ocurrió, sin embargo, lo más preocupante es que era la segunda vez que lo hacía.</w:t>
      </w:r>
    </w:p>
    <w:p w:rsidRPr="00EC3551" w:rsidR="00EC3551" w:rsidP="00EC3551" w:rsidRDefault="00EC3551" w14:paraId="56584FA8" w14:textId="77777777">
      <w:pPr>
        <w:pStyle w:val="Prrafodelista"/>
        <w:spacing w:line="240" w:lineRule="auto"/>
        <w:jc w:val="both"/>
        <w:rPr>
          <w:rFonts w:ascii="Times New Roman" w:hAnsi="Times New Roman" w:cs="Times New Roman"/>
          <w:sz w:val="24"/>
          <w:szCs w:val="24"/>
          <w:lang w:val="es-PE"/>
        </w:rPr>
      </w:pPr>
    </w:p>
    <w:p w:rsidRPr="00EC3551" w:rsidR="00EC3551" w:rsidP="00EC3551" w:rsidRDefault="00EC3551" w14:paraId="14F4C5F0" w14:textId="77777777">
      <w:pPr>
        <w:pStyle w:val="Prrafodelista"/>
        <w:numPr>
          <w:ilvl w:val="0"/>
          <w:numId w:val="8"/>
        </w:numPr>
        <w:spacing w:after="200"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Que, en relación al GPS, no es materia controvertida que, una vez avisado el asegurado del hecho, recién interpone la denuncia policial a las 01:30 horas, es decir, después de cuatro (4) horas.</w:t>
      </w:r>
    </w:p>
    <w:p w:rsidRPr="00EC3551" w:rsidR="00EC3551" w:rsidP="00EC3551" w:rsidRDefault="00EC3551" w14:paraId="0D5A3CDE" w14:textId="77777777">
      <w:pPr>
        <w:pStyle w:val="Prrafodelista"/>
        <w:spacing w:after="0" w:line="240" w:lineRule="auto"/>
        <w:jc w:val="both"/>
        <w:rPr>
          <w:rFonts w:ascii="Times New Roman" w:hAnsi="Times New Roman" w:cs="Times New Roman"/>
          <w:sz w:val="24"/>
          <w:szCs w:val="24"/>
          <w:lang w:val="es-PE"/>
        </w:rPr>
      </w:pPr>
    </w:p>
    <w:p w:rsidRPr="00EC3551" w:rsidR="00EC3551" w:rsidP="00EC3551" w:rsidRDefault="00EC3551" w14:paraId="59DDB85C" w14:textId="77777777">
      <w:pPr>
        <w:spacing w:after="0" w:line="240" w:lineRule="auto"/>
        <w:jc w:val="both"/>
        <w:rPr>
          <w:rFonts w:ascii="Times New Roman" w:hAnsi="Times New Roman" w:cs="Times New Roman"/>
          <w:sz w:val="24"/>
          <w:szCs w:val="24"/>
          <w:lang w:val="es-PE"/>
        </w:rPr>
      </w:pPr>
      <w:r w:rsidRPr="00EC3551">
        <w:rPr>
          <w:rFonts w:ascii="Times New Roman" w:hAnsi="Times New Roman" w:cs="Times New Roman"/>
          <w:sz w:val="24"/>
          <w:szCs w:val="24"/>
          <w:lang w:val="es-PE"/>
        </w:rPr>
        <w:t>Que, por lo tanto y, en atención a las consideraciones precedentes, este colegiado no aprecia mérito ni razón objetiva para revocar la resolución recurrida y, por lo tanto</w:t>
      </w:r>
    </w:p>
    <w:p w:rsidRPr="00EC3551" w:rsidR="00EC3551" w:rsidP="00EC3551" w:rsidRDefault="00EC3551" w14:paraId="71703929" w14:textId="77777777">
      <w:pPr>
        <w:spacing w:line="240" w:lineRule="auto"/>
        <w:jc w:val="both"/>
        <w:rPr>
          <w:rFonts w:ascii="Times New Roman" w:hAnsi="Times New Roman" w:cs="Times New Roman"/>
          <w:b/>
          <w:sz w:val="24"/>
          <w:szCs w:val="24"/>
          <w:lang w:val="es-PE"/>
        </w:rPr>
      </w:pPr>
      <w:r w:rsidRPr="00EC3551">
        <w:rPr>
          <w:rFonts w:ascii="Times New Roman" w:hAnsi="Times New Roman" w:cs="Times New Roman"/>
          <w:b/>
          <w:sz w:val="24"/>
          <w:szCs w:val="24"/>
          <w:lang w:val="es-PE"/>
        </w:rPr>
        <w:t xml:space="preserve">RESUELVE: </w:t>
      </w:r>
    </w:p>
    <w:p w:rsidRPr="00EC3551" w:rsidR="00EC3551" w:rsidP="00EC3551" w:rsidRDefault="00EC3551" w14:paraId="794DE063" w14:textId="71C0EC6E">
      <w:pPr>
        <w:spacing w:line="240" w:lineRule="auto"/>
        <w:jc w:val="both"/>
        <w:rPr>
          <w:rFonts w:ascii="Times New Roman" w:hAnsi="Times New Roman" w:cs="Times New Roman"/>
          <w:sz w:val="24"/>
          <w:szCs w:val="24"/>
          <w:lang w:val="es-PE"/>
        </w:rPr>
      </w:pPr>
      <w:r w:rsidRPr="55821F34" w:rsidR="00EC3551">
        <w:rPr>
          <w:rFonts w:ascii="Times New Roman" w:hAnsi="Times New Roman" w:cs="Times New Roman"/>
          <w:sz w:val="24"/>
          <w:szCs w:val="24"/>
          <w:lang w:val="es-PE"/>
        </w:rPr>
        <w:t xml:space="preserve">Declarar </w:t>
      </w:r>
      <w:r w:rsidRPr="55821F34" w:rsidR="00EC3551">
        <w:rPr>
          <w:rFonts w:ascii="Times New Roman" w:hAnsi="Times New Roman" w:cs="Times New Roman"/>
          <w:b w:val="1"/>
          <w:bCs w:val="1"/>
          <w:sz w:val="24"/>
          <w:szCs w:val="24"/>
          <w:lang w:val="es-PE"/>
        </w:rPr>
        <w:t>INFUNDADO</w:t>
      </w:r>
      <w:r w:rsidRPr="55821F34" w:rsidR="00EC3551">
        <w:rPr>
          <w:rFonts w:ascii="Times New Roman" w:hAnsi="Times New Roman" w:cs="Times New Roman"/>
          <w:sz w:val="24"/>
          <w:szCs w:val="24"/>
          <w:lang w:val="es-PE"/>
        </w:rPr>
        <w:t xml:space="preserve"> el Recurso Impugnativo interpuesto y, por consiguiente, ratificar la Resolución </w:t>
      </w:r>
      <w:r w:rsidRPr="55821F34" w:rsidR="00EC3551">
        <w:rPr>
          <w:rFonts w:ascii="Times New Roman" w:hAnsi="Times New Roman" w:cs="Times New Roman"/>
          <w:sz w:val="24"/>
          <w:szCs w:val="24"/>
          <w:lang w:val="es-PE"/>
        </w:rPr>
        <w:t>N°</w:t>
      </w:r>
      <w:r w:rsidRPr="55821F34" w:rsidR="00EC3551">
        <w:rPr>
          <w:rFonts w:ascii="Times New Roman" w:hAnsi="Times New Roman" w:cs="Times New Roman"/>
          <w:sz w:val="24"/>
          <w:szCs w:val="24"/>
          <w:lang w:val="es-PE"/>
        </w:rPr>
        <w:t xml:space="preserve"> 042/23 que declaró</w:t>
      </w:r>
      <w:r w:rsidRPr="55821F34" w:rsidR="00EC3551">
        <w:rPr>
          <w:rFonts w:ascii="Times New Roman" w:hAnsi="Times New Roman" w:cs="Times New Roman"/>
          <w:b w:val="1"/>
          <w:bCs w:val="1"/>
          <w:sz w:val="24"/>
          <w:szCs w:val="24"/>
          <w:lang w:val="es-PE"/>
        </w:rPr>
        <w:t xml:space="preserve"> INFUNDADA </w:t>
      </w:r>
      <w:r w:rsidRPr="55821F34" w:rsidR="00EC3551">
        <w:rPr>
          <w:rFonts w:ascii="Times New Roman" w:hAnsi="Times New Roman" w:cs="Times New Roman"/>
          <w:sz w:val="24"/>
          <w:szCs w:val="24"/>
          <w:lang w:val="es-PE"/>
        </w:rPr>
        <w:t>la reclamación interpuesta</w:t>
      </w:r>
      <w:r w:rsidRPr="55821F34" w:rsidR="00EC3551">
        <w:rPr>
          <w:rFonts w:ascii="Times New Roman" w:hAnsi="Times New Roman" w:cs="Times New Roman"/>
          <w:b w:val="1"/>
          <w:bCs w:val="1"/>
          <w:sz w:val="24"/>
          <w:szCs w:val="24"/>
          <w:lang w:val="es-PE"/>
        </w:rPr>
        <w:t xml:space="preserve"> </w:t>
      </w:r>
      <w:r w:rsidRPr="55821F34" w:rsidR="00EC3551">
        <w:rPr>
          <w:rFonts w:ascii="Times New Roman" w:hAnsi="Times New Roman" w:cs="Times New Roman"/>
          <w:sz w:val="24"/>
          <w:szCs w:val="24"/>
          <w:lang w:val="es-PE"/>
        </w:rPr>
        <w:t>contra</w:t>
      </w:r>
      <w:r w:rsidRPr="55821F34" w:rsidR="00EC3551">
        <w:rPr>
          <w:rFonts w:ascii="Times New Roman" w:hAnsi="Times New Roman" w:cs="Times New Roman"/>
          <w:b w:val="1"/>
          <w:bCs w:val="1"/>
          <w:sz w:val="24"/>
          <w:szCs w:val="24"/>
          <w:lang w:val="es-PE"/>
        </w:rPr>
        <w:t xml:space="preserve"> </w:t>
      </w:r>
      <w:r w:rsidRPr="55821F34" w:rsidR="7802A68C">
        <w:rPr>
          <w:rFonts w:ascii="Times New Roman" w:hAnsi="Times New Roman" w:cs="Times New Roman"/>
          <w:b w:val="1"/>
          <w:bCs w:val="1"/>
          <w:sz w:val="24"/>
          <w:szCs w:val="24"/>
          <w:lang w:val="es-PE"/>
        </w:rPr>
        <w:t>.....................</w:t>
      </w:r>
      <w:r w:rsidRPr="55821F34" w:rsidR="6696E955">
        <w:rPr>
          <w:rFonts w:ascii="Times New Roman" w:hAnsi="Times New Roman" w:cs="Times New Roman"/>
          <w:b w:val="1"/>
          <w:bCs w:val="1"/>
          <w:sz w:val="24"/>
          <w:szCs w:val="24"/>
          <w:lang w:val="es-PE"/>
        </w:rPr>
        <w:t xml:space="preserve">........ </w:t>
      </w:r>
      <w:r w:rsidRPr="55821F34" w:rsidR="00EC3551">
        <w:rPr>
          <w:rFonts w:ascii="Times New Roman" w:hAnsi="Times New Roman" w:cs="Times New Roman"/>
          <w:b w:val="1"/>
          <w:bCs w:val="1"/>
          <w:sz w:val="24"/>
          <w:szCs w:val="24"/>
          <w:lang w:val="es-PE"/>
        </w:rPr>
        <w:t xml:space="preserve">, </w:t>
      </w:r>
      <w:r w:rsidRPr="55821F34" w:rsidR="00EC3551">
        <w:rPr>
          <w:rFonts w:ascii="Times New Roman" w:hAnsi="Times New Roman" w:cs="Times New Roman"/>
          <w:sz w:val="24"/>
          <w:szCs w:val="24"/>
          <w:lang w:val="es-PE"/>
        </w:rPr>
        <w:t>dejando a salvo el derecho de la reclamante de acudir a otras instancias que considere pertinente</w:t>
      </w:r>
      <w:r w:rsidRPr="55821F34" w:rsidR="00EC3551">
        <w:rPr>
          <w:rFonts w:ascii="Times New Roman" w:hAnsi="Times New Roman" w:cs="Times New Roman"/>
          <w:sz w:val="24"/>
          <w:szCs w:val="24"/>
          <w:lang w:val="es-PE"/>
        </w:rPr>
        <w:t>.</w:t>
      </w:r>
    </w:p>
    <w:p w:rsidRPr="00EC3551" w:rsidR="006A2ADE" w:rsidP="00547F11" w:rsidRDefault="006A2ADE" w14:paraId="1ADAEBCF"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EC3551" w:rsidR="00231C58" w:rsidP="005A40A4" w:rsidRDefault="0091528B" w14:paraId="2B9BAAC8" w14:textId="105F206A">
      <w:pPr>
        <w:suppressAutoHyphens/>
        <w:spacing w:after="0" w:line="240" w:lineRule="auto"/>
        <w:jc w:val="right"/>
        <w:outlineLvl w:val="0"/>
        <w:rPr>
          <w:rFonts w:ascii="Times New Roman" w:hAnsi="Times New Roman" w:eastAsia="Arial Unicode MS" w:cs="Times New Roman"/>
          <w:sz w:val="24"/>
          <w:szCs w:val="24"/>
          <w:lang w:val="es-PE" w:eastAsia="ar-SA"/>
        </w:rPr>
      </w:pPr>
      <w:r w:rsidRPr="00EC3551">
        <w:rPr>
          <w:rFonts w:ascii="Times New Roman" w:hAnsi="Times New Roman" w:eastAsia="Arial Unicode MS" w:cs="Times New Roman"/>
          <w:sz w:val="24"/>
          <w:szCs w:val="24"/>
          <w:lang w:val="es-PE" w:eastAsia="ar-SA"/>
        </w:rPr>
        <w:t xml:space="preserve">Lima, </w:t>
      </w:r>
      <w:r w:rsidRPr="00EC3551" w:rsidR="002F478E">
        <w:rPr>
          <w:rFonts w:ascii="Times New Roman" w:hAnsi="Times New Roman" w:eastAsia="Arial Unicode MS" w:cs="Times New Roman"/>
          <w:sz w:val="24"/>
          <w:szCs w:val="24"/>
          <w:lang w:val="es-PE" w:eastAsia="ar-SA"/>
        </w:rPr>
        <w:t>0</w:t>
      </w:r>
      <w:r w:rsidRPr="00EC3551" w:rsidR="006A2ADE">
        <w:rPr>
          <w:rFonts w:ascii="Times New Roman" w:hAnsi="Times New Roman" w:eastAsia="Arial Unicode MS" w:cs="Times New Roman"/>
          <w:sz w:val="24"/>
          <w:szCs w:val="24"/>
          <w:lang w:val="es-PE" w:eastAsia="ar-SA"/>
        </w:rPr>
        <w:t>8</w:t>
      </w:r>
      <w:r w:rsidRPr="00EC3551" w:rsidR="002F478E">
        <w:rPr>
          <w:rFonts w:ascii="Times New Roman" w:hAnsi="Times New Roman" w:eastAsia="Arial Unicode MS" w:cs="Times New Roman"/>
          <w:sz w:val="24"/>
          <w:szCs w:val="24"/>
          <w:lang w:val="es-PE" w:eastAsia="ar-SA"/>
        </w:rPr>
        <w:t xml:space="preserve"> </w:t>
      </w:r>
      <w:r w:rsidRPr="00EC3551" w:rsidR="00707C99">
        <w:rPr>
          <w:rFonts w:ascii="Times New Roman" w:hAnsi="Times New Roman" w:eastAsia="Arial Unicode MS" w:cs="Times New Roman"/>
          <w:sz w:val="24"/>
          <w:szCs w:val="24"/>
          <w:lang w:val="es-PE" w:eastAsia="ar-SA"/>
        </w:rPr>
        <w:t xml:space="preserve">de </w:t>
      </w:r>
      <w:r w:rsidRPr="00EC3551" w:rsidR="002F478E">
        <w:rPr>
          <w:rFonts w:ascii="Times New Roman" w:hAnsi="Times New Roman" w:eastAsia="Arial Unicode MS" w:cs="Times New Roman"/>
          <w:sz w:val="24"/>
          <w:szCs w:val="24"/>
          <w:lang w:val="es-PE" w:eastAsia="ar-SA"/>
        </w:rPr>
        <w:t xml:space="preserve">junio </w:t>
      </w:r>
      <w:r w:rsidRPr="00EC3551" w:rsidR="00F06498">
        <w:rPr>
          <w:rFonts w:ascii="Times New Roman" w:hAnsi="Times New Roman" w:eastAsia="Arial Unicode MS" w:cs="Times New Roman"/>
          <w:sz w:val="24"/>
          <w:szCs w:val="24"/>
          <w:lang w:val="es-PE" w:eastAsia="ar-SA"/>
        </w:rPr>
        <w:t>de 202</w:t>
      </w:r>
      <w:r w:rsidRPr="00EC3551" w:rsidR="00B340D4">
        <w:rPr>
          <w:rFonts w:ascii="Times New Roman" w:hAnsi="Times New Roman" w:eastAsia="Arial Unicode MS" w:cs="Times New Roman"/>
          <w:sz w:val="24"/>
          <w:szCs w:val="24"/>
          <w:lang w:val="es-PE" w:eastAsia="ar-SA"/>
        </w:rPr>
        <w:t>3</w:t>
      </w:r>
      <w:r w:rsidRPr="00EC3551" w:rsidR="00707C99">
        <w:rPr>
          <w:rFonts w:ascii="Times New Roman" w:hAnsi="Times New Roman" w:eastAsia="Times New Roman" w:cs="Times New Roman"/>
          <w:sz w:val="24"/>
          <w:szCs w:val="24"/>
          <w:lang w:val="es-PE" w:eastAsia="ar-SA"/>
        </w:rPr>
        <w:t xml:space="preserve"> </w:t>
      </w:r>
    </w:p>
    <w:p w:rsidRPr="00EC3551"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C3551"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EC355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C355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EC3551" w:rsidR="00A323F4" w:rsidP="00A323F4" w:rsidRDefault="00A323F4" w14:paraId="400E79EA" w14:textId="77777777">
      <w:pPr>
        <w:spacing w:after="0" w:line="360" w:lineRule="auto"/>
        <w:jc w:val="center"/>
        <w:rPr>
          <w:rFonts w:ascii="Times New Roman" w:hAnsi="Times New Roman" w:cs="Times New Roman"/>
          <w:b/>
          <w:bCs/>
          <w:sz w:val="24"/>
          <w:szCs w:val="24"/>
          <w:lang w:val="es-PE"/>
        </w:rPr>
      </w:pPr>
      <w:r w:rsidRPr="00EC3551">
        <w:rPr>
          <w:rFonts w:ascii="Times New Roman" w:hAnsi="Times New Roman" w:cs="Times New Roman"/>
          <w:b/>
          <w:bCs/>
          <w:sz w:val="24"/>
          <w:szCs w:val="24"/>
          <w:lang w:val="es-PE"/>
        </w:rPr>
        <w:t>Omar Alfaro Villanueva – Presidente</w:t>
      </w:r>
    </w:p>
    <w:p w:rsidRPr="00EC3551"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EC3551">
        <w:rPr>
          <w:rFonts w:ascii="Times New Roman" w:hAnsi="Times New Roman" w:cs="Times New Roman"/>
          <w:b/>
          <w:bCs/>
          <w:sz w:val="24"/>
          <w:szCs w:val="24"/>
          <w:lang w:val="es-PE"/>
        </w:rPr>
        <w:t>María Eugenia Valdez Fernández Baca – Vocal</w:t>
      </w:r>
    </w:p>
    <w:p w:rsidRPr="00EC3551"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EC3551">
        <w:rPr>
          <w:rFonts w:ascii="Times New Roman" w:hAnsi="Times New Roman" w:cs="Times New Roman"/>
          <w:b/>
          <w:bCs/>
          <w:sz w:val="24"/>
          <w:szCs w:val="24"/>
          <w:lang w:val="es-PE"/>
        </w:rPr>
        <w:t>Rolando Eyzaguirre Maccan – Vocal</w:t>
      </w:r>
    </w:p>
    <w:p w:rsidRPr="00EC3551"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EC3551">
        <w:rPr>
          <w:rFonts w:ascii="Times New Roman" w:hAnsi="Times New Roman" w:cs="Times New Roman"/>
          <w:b/>
          <w:bCs/>
          <w:sz w:val="24"/>
          <w:szCs w:val="24"/>
          <w:lang w:val="es-PE"/>
        </w:rPr>
        <w:t>Gonzalo Abad del Busto – Vocal</w:t>
      </w:r>
    </w:p>
    <w:p w:rsidRPr="000619A2"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A3D48" w:rsidP="00784355" w:rsidRDefault="009A3D48" w14:paraId="29F8AD69" w14:textId="77777777">
      <w:pPr>
        <w:spacing w:after="0" w:line="240" w:lineRule="auto"/>
      </w:pPr>
      <w:r>
        <w:separator/>
      </w:r>
    </w:p>
  </w:endnote>
  <w:endnote w:type="continuationSeparator" w:id="0">
    <w:p w:rsidR="009A3D48" w:rsidP="00784355" w:rsidRDefault="009A3D48" w14:paraId="4EC8CC7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3D48" w:rsidP="00784355" w:rsidRDefault="009A3D48" w14:paraId="286B3F6B" w14:textId="77777777">
      <w:pPr>
        <w:spacing w:after="0" w:line="240" w:lineRule="auto"/>
      </w:pPr>
      <w:r>
        <w:separator/>
      </w:r>
    </w:p>
  </w:footnote>
  <w:footnote w:type="continuationSeparator" w:id="0">
    <w:p w:rsidR="009A3D48" w:rsidP="00784355" w:rsidRDefault="009A3D48" w14:paraId="28514FA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6"/>
  </w:num>
  <w:num w:numId="3" w16cid:durableId="333261791">
    <w:abstractNumId w:val="4"/>
  </w:num>
  <w:num w:numId="4" w16cid:durableId="1770345525">
    <w:abstractNumId w:val="3"/>
  </w:num>
  <w:num w:numId="5" w16cid:durableId="1816144979">
    <w:abstractNumId w:val="5"/>
  </w:num>
  <w:num w:numId="6" w16cid:durableId="1304313350">
    <w:abstractNumId w:val="0"/>
  </w:num>
  <w:num w:numId="7" w16cid:durableId="16682880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C1B0C34"/>
    <w:rsid w:val="1EC8C275"/>
    <w:rsid w:val="2EDBCEE1"/>
    <w:rsid w:val="32B0620A"/>
    <w:rsid w:val="55821F34"/>
    <w:rsid w:val="6696E955"/>
    <w:rsid w:val="738AB5D7"/>
    <w:rsid w:val="7802A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83988c8a97134581" Type="http://schemas.openxmlformats.org/officeDocument/2006/relationships/hyperlink" Target="http://www.defaseg.com.pe/reglamento"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441F36D-8A49-406A-A177-C6FCC39A1197}"/>
</file>

<file path=customXml/itemProps3.xml><?xml version="1.0" encoding="utf-8"?>
<ds:datastoreItem xmlns:ds="http://schemas.openxmlformats.org/officeDocument/2006/customXml" ds:itemID="{53552912-D5D8-4CFE-B918-6FB6FA27F4A1}"/>
</file>

<file path=customXml/itemProps4.xml><?xml version="1.0" encoding="utf-8"?>
<ds:datastoreItem xmlns:ds="http://schemas.openxmlformats.org/officeDocument/2006/customXml" ds:itemID="{853A8B9F-8882-491A-96D3-FC49275F12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54</cp:revision>
  <cp:lastPrinted>2023-06-09T13:53:00Z</cp:lastPrinted>
  <dcterms:created xsi:type="dcterms:W3CDTF">2023-02-14T22:37:00Z</dcterms:created>
  <dcterms:modified xsi:type="dcterms:W3CDTF">2025-12-02T21:06:14Z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