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58A1" w:rsidR="00707C99" w:rsidP="00272F4F" w:rsidRDefault="00201C0D" w14:paraId="19FE0E96" w14:textId="6DD3CACE">
      <w:pPr>
        <w:spacing w:after="0" w:line="240" w:lineRule="auto"/>
        <w:jc w:val="center"/>
        <w:rPr>
          <w:rFonts w:ascii="Times New Roman" w:hAnsi="Times New Roman" w:cs="Times New Roman"/>
          <w:b/>
          <w:sz w:val="24"/>
          <w:szCs w:val="24"/>
          <w:lang w:val="es-PE" w:eastAsia="ar-SA"/>
        </w:rPr>
      </w:pPr>
      <w:r w:rsidRPr="00AE58A1">
        <w:rPr>
          <w:rFonts w:ascii="Times New Roman" w:hAnsi="Times New Roman" w:cs="Times New Roman"/>
          <w:b/>
          <w:sz w:val="24"/>
          <w:szCs w:val="24"/>
          <w:lang w:val="es-PE" w:eastAsia="ar-SA"/>
        </w:rPr>
        <w:t xml:space="preserve">RESOLUCIÓN DE RECURSO IMPUGNATIVO </w:t>
      </w:r>
      <w:proofErr w:type="spellStart"/>
      <w:r w:rsidRPr="00AE58A1" w:rsidR="00707C99">
        <w:rPr>
          <w:rFonts w:ascii="Times New Roman" w:hAnsi="Times New Roman" w:cs="Times New Roman"/>
          <w:b/>
          <w:sz w:val="24"/>
          <w:szCs w:val="24"/>
          <w:lang w:val="es-PE" w:eastAsia="ar-SA"/>
        </w:rPr>
        <w:t>N°</w:t>
      </w:r>
      <w:proofErr w:type="spellEnd"/>
      <w:r w:rsidRPr="00AE58A1" w:rsidR="00707C99">
        <w:rPr>
          <w:rFonts w:ascii="Times New Roman" w:hAnsi="Times New Roman" w:cs="Times New Roman"/>
          <w:b/>
          <w:sz w:val="24"/>
          <w:szCs w:val="24"/>
          <w:lang w:val="es-PE" w:eastAsia="ar-SA"/>
        </w:rPr>
        <w:t xml:space="preserve"> </w:t>
      </w:r>
      <w:r w:rsidRPr="00AE58A1" w:rsidR="00516293">
        <w:rPr>
          <w:rFonts w:ascii="Times New Roman" w:hAnsi="Times New Roman" w:cs="Times New Roman"/>
          <w:b/>
          <w:sz w:val="24"/>
          <w:szCs w:val="24"/>
          <w:lang w:val="es-PE" w:eastAsia="ar-SA"/>
        </w:rPr>
        <w:t>02</w:t>
      </w:r>
      <w:r w:rsidRPr="00AE58A1" w:rsidR="008D1D39">
        <w:rPr>
          <w:rFonts w:ascii="Times New Roman" w:hAnsi="Times New Roman" w:cs="Times New Roman"/>
          <w:b/>
          <w:sz w:val="24"/>
          <w:szCs w:val="24"/>
          <w:lang w:val="es-PE" w:eastAsia="ar-SA"/>
        </w:rPr>
        <w:t>2</w:t>
      </w:r>
      <w:r w:rsidRPr="00AE58A1" w:rsidR="00C671F5">
        <w:rPr>
          <w:rFonts w:ascii="Times New Roman" w:hAnsi="Times New Roman" w:cs="Times New Roman"/>
          <w:b/>
          <w:sz w:val="24"/>
          <w:szCs w:val="24"/>
          <w:lang w:val="es-PE" w:eastAsia="ar-SA"/>
        </w:rPr>
        <w:t>/2</w:t>
      </w:r>
      <w:r w:rsidRPr="00AE58A1" w:rsidR="00AB7BFE">
        <w:rPr>
          <w:rFonts w:ascii="Times New Roman" w:hAnsi="Times New Roman" w:cs="Times New Roman"/>
          <w:b/>
          <w:sz w:val="24"/>
          <w:szCs w:val="24"/>
          <w:lang w:val="es-PE" w:eastAsia="ar-SA"/>
        </w:rPr>
        <w:t>3</w:t>
      </w:r>
    </w:p>
    <w:p w:rsidR="00AE58A1" w:rsidP="00AE58A1" w:rsidRDefault="00AE58A1" w14:paraId="4B624050" w14:textId="77777777">
      <w:pPr>
        <w:suppressAutoHyphens/>
        <w:spacing w:line="240" w:lineRule="auto"/>
        <w:jc w:val="both"/>
        <w:outlineLvl w:val="0"/>
        <w:rPr>
          <w:rFonts w:ascii="Times New Roman" w:hAnsi="Times New Roman" w:eastAsia="Times New Roman" w:cs="Times New Roman"/>
          <w:b/>
          <w:bCs/>
          <w:sz w:val="24"/>
          <w:szCs w:val="24"/>
          <w:lang w:val="es-MX" w:eastAsia="ar-SA"/>
        </w:rPr>
      </w:pPr>
      <w:r w:rsidRPr="00AE58A1">
        <w:rPr>
          <w:rFonts w:ascii="Times New Roman" w:hAnsi="Times New Roman" w:eastAsia="Times New Roman" w:cs="Times New Roman"/>
          <w:b/>
          <w:bCs/>
          <w:sz w:val="24"/>
          <w:szCs w:val="24"/>
          <w:lang w:val="es-MX" w:eastAsia="ar-SA"/>
        </w:rPr>
        <w:t>Vistos:</w:t>
      </w:r>
    </w:p>
    <w:p w:rsidRPr="00AE58A1" w:rsidR="00AE58A1" w:rsidP="00AE58A1" w:rsidRDefault="00AE58A1" w14:paraId="6C8749E8" w14:textId="4F0B6553">
      <w:pPr>
        <w:suppressAutoHyphens/>
        <w:spacing w:line="240" w:lineRule="auto"/>
        <w:jc w:val="both"/>
        <w:outlineLvl w:val="0"/>
        <w:rPr>
          <w:rFonts w:ascii="Times New Roman" w:hAnsi="Times New Roman" w:eastAsia="Times New Roman" w:cs="Times New Roman"/>
          <w:b w:val="1"/>
          <w:bCs w:val="1"/>
          <w:sz w:val="24"/>
          <w:szCs w:val="24"/>
          <w:lang w:val="es-MX" w:eastAsia="ar-SA"/>
        </w:rPr>
      </w:pPr>
      <w:r>
        <w:rPr>
          <w:rFonts w:ascii="Times New Roman" w:hAnsi="Times New Roman"/>
          <w:sz w:val="24"/>
        </w:rPr>
        <w:t xml:space="preserve">El Recurso de Impugnación presentado con fecha 15 de mayo de 2023 por ..................................................................... respecto de la Resolución Nº 080/23 de fecha 09 de mayo de 2023, que declaró INFUNDADA la reclamación interpuesta contra ..............................  respecto del Seguro Protección de Tarjeta.</w:t>
      </w:r>
    </w:p>
    <w:bookmarkEnd w:id="0"/>
    <w:p w:rsidRPr="00AE58A1" w:rsidR="00AE58A1" w:rsidP="00AE58A1" w:rsidRDefault="00AE58A1" w14:paraId="1BD74B96" w14:textId="77777777">
      <w:pPr>
        <w:pStyle w:val="Default"/>
        <w:spacing w:line="240" w:lineRule="auto"/>
        <w:jc w:val="both"/>
        <w:rPr>
          <w:rFonts w:ascii="Times New Roman" w:hAnsi="Times New Roman" w:cs="Times New Roman"/>
          <w:bCs/>
          <w:lang w:val="es-MX" w:eastAsia="ar-SA"/>
        </w:rPr>
      </w:pPr>
      <w:r w:rsidRPr="00AE58A1">
        <w:rPr>
          <w:rFonts w:ascii="Times New Roman" w:hAnsi="Times New Roman" w:cs="Times New Roman"/>
          <w:bCs/>
          <w:sz w:val="24"/>
          <w:lang w:val="es-MX" w:eastAsia="ar-SA"/>
        </w:rPr>
        <w:t>Que, a través del señalado recurso el reclamante manifiesta su disconformidad con lo resuelto señalando resumidamente lo siguiente: a) el colegiado asume que debía realizar el bloqueo de la tarjeta de crédito luego de haber realizado su celular, pero ello no figura en su póliza; el realizó el bloqueo cuando tomó conocimiento de los consumos indebidos y eso ocurrió a las 16:00 horas y los bloqueos fueron realizados a las 18:31 y 18:35; es decir, dentro de las 4 horas; b) no existe incumplimiento ni negligencia; c) tampoco sabía cómo se habían realizado las compras, de ello se enteró al solicitar información al banco; d) añade que la póliza confunde cuando dice que se cubren los eventos previos a las 72 horas previas al aviso, pues da a entender que se tiene un plazo de hasta 72 horas para realizar el bloqueo; por lo que solicita se atienda su reclamo.</w:t>
      </w:r>
    </w:p>
    <w:p w:rsidRPr="00AE58A1" w:rsidR="00AE58A1" w:rsidP="00AE58A1" w:rsidRDefault="00AE58A1" w14:paraId="2D7B81B9" w14:textId="77777777">
      <w:pPr>
        <w:pStyle w:val="Default"/>
        <w:spacing w:line="240" w:lineRule="auto"/>
        <w:jc w:val="both"/>
        <w:rPr>
          <w:rFonts w:ascii="Times New Roman" w:hAnsi="Times New Roman" w:cs="Times New Roman"/>
          <w:bCs/>
          <w:lang w:val="es-MX" w:eastAsia="ar-SA"/>
        </w:rPr>
      </w:pPr>
    </w:p>
    <w:p w:rsidRPr="00AE58A1" w:rsidR="00AE58A1" w:rsidP="00AE58A1" w:rsidRDefault="00AE58A1" w14:paraId="762C73F0" w14:textId="77777777">
      <w:pPr>
        <w:pStyle w:val="Default"/>
        <w:spacing w:line="240" w:lineRule="auto"/>
        <w:jc w:val="both"/>
        <w:rPr>
          <w:rFonts w:ascii="Times New Roman" w:hAnsi="Times New Roman" w:cs="Times New Roman"/>
          <w:bCs/>
          <w:lang w:val="es-MX" w:eastAsia="ar-SA"/>
        </w:rPr>
      </w:pPr>
      <w:r w:rsidRPr="00AE58A1">
        <w:rPr>
          <w:rFonts w:ascii="Times New Roman" w:hAnsi="Times New Roman" w:cs="Times New Roman"/>
          <w:bCs/>
          <w:sz w:val="24"/>
          <w:lang w:val="es-MX" w:eastAsia="ar-SA"/>
        </w:rPr>
        <w:t>Que habiéndose corrido traslado de la impugnación a la aseguradora esta no se ha pronunciado a la fecha, habiendo vencido el plazo otorgado para el efecto; por lo que el expediente se encuentra en condiciones para que este colegiado expida su pronunciamiento.</w:t>
      </w:r>
    </w:p>
    <w:p w:rsidR="00AE58A1" w:rsidP="00AE58A1" w:rsidRDefault="00AE58A1" w14:paraId="4A83D836" w14:textId="77777777">
      <w:pPr>
        <w:suppressAutoHyphens/>
        <w:spacing w:line="240" w:lineRule="auto"/>
        <w:jc w:val="both"/>
        <w:rPr>
          <w:rFonts w:ascii="Times New Roman" w:hAnsi="Times New Roman" w:eastAsia="Times New Roman" w:cs="Times New Roman"/>
          <w:bCs/>
          <w:sz w:val="24"/>
          <w:szCs w:val="24"/>
          <w:lang w:val="es-MX" w:eastAsia="ar-SA"/>
        </w:rPr>
      </w:pPr>
    </w:p>
    <w:p w:rsidRPr="00AE58A1" w:rsidR="00AE58A1" w:rsidP="00AE58A1" w:rsidRDefault="00AE58A1" w14:paraId="28B2E4C3" w14:textId="3D03814A">
      <w:pPr>
        <w:suppressAutoHyphens/>
        <w:spacing w:line="240" w:lineRule="auto"/>
        <w:jc w:val="both"/>
        <w:rPr>
          <w:rFonts w:ascii="Times New Roman" w:hAnsi="Times New Roman" w:eastAsia="Times New Roman" w:cs="Times New Roman"/>
          <w:bCs/>
          <w:sz w:val="24"/>
          <w:szCs w:val="24"/>
          <w:lang w:val="es-MX" w:eastAsia="ar-SA"/>
        </w:rPr>
      </w:pPr>
      <w:r w:rsidRPr="00AE58A1">
        <w:rPr>
          <w:rFonts w:ascii="Times New Roman" w:hAnsi="Times New Roman" w:eastAsia="Times New Roman" w:cs="Times New Roman"/>
          <w:b/>
          <w:bCs/>
          <w:sz w:val="24"/>
          <w:szCs w:val="24"/>
          <w:lang w:val="es-MX" w:eastAsia="ar-SA"/>
        </w:rPr>
        <w:t>Considerando:</w:t>
      </w:r>
    </w:p>
    <w:p w:rsidRPr="00AE58A1" w:rsidR="00AE58A1" w:rsidP="00AE58A1" w:rsidRDefault="00AE58A1" w14:paraId="58692F76"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el reclamante ha ejercido formalmente su derecho a contradecir lo resuelto por la Defensoría.</w:t>
      </w:r>
    </w:p>
    <w:p w:rsidRPr="00AE58A1" w:rsidR="00AE58A1" w:rsidP="00AE58A1" w:rsidRDefault="00AE58A1" w14:paraId="24EB500F" w14:textId="77777777">
      <w:pPr>
        <w:tabs>
          <w:tab w:val="left" w:pos="0"/>
          <w:tab w:val="left" w:pos="2160"/>
        </w:tabs>
        <w:spacing w:line="240" w:lineRule="auto"/>
        <w:jc w:val="both"/>
        <w:rPr>
          <w:rFonts w:ascii="Times New Roman" w:hAnsi="Times New Roman" w:cs="Times New Roman"/>
          <w:sz w:val="24"/>
          <w:szCs w:val="24"/>
          <w:lang w:val="es-ES"/>
        </w:rPr>
      </w:pPr>
      <w:r w:rsidRPr="00AE58A1">
        <w:rPr>
          <w:rFonts w:ascii="Times New Roman" w:hAnsi="Times New Roman" w:cs="Times New Roman"/>
          <w:b/>
          <w:sz w:val="24"/>
          <w:szCs w:val="24"/>
          <w:u w:val="single"/>
          <w:lang w:val="es-PE"/>
        </w:rPr>
        <w:t>Segundo</w:t>
      </w:r>
      <w:r w:rsidRPr="00AE58A1">
        <w:rPr>
          <w:rFonts w:ascii="Times New Roman" w:hAnsi="Times New Roman" w:cs="Times New Roman"/>
          <w:b/>
          <w:sz w:val="24"/>
          <w:szCs w:val="24"/>
          <w:lang w:val="es-PE"/>
        </w:rPr>
        <w:t>:</w:t>
      </w:r>
      <w:r w:rsidRPr="00AE58A1">
        <w:rPr>
          <w:rFonts w:ascii="Times New Roman" w:hAnsi="Times New Roman" w:cs="Times New Roman"/>
          <w:sz w:val="24"/>
          <w:szCs w:val="24"/>
          <w:lang w:val="es-PE"/>
        </w:rPr>
        <w:t xml:space="preserve"> Atendiendo a los fundamentos de la impugnación interpuesta, se advierte que el reclamante insiste en sus argumentos ya analizados, </w:t>
      </w:r>
      <w:r w:rsidRPr="00AE58A1">
        <w:rPr>
          <w:rFonts w:ascii="Times New Roman" w:hAnsi="Times New Roman" w:cs="Times New Roman"/>
          <w:bCs/>
          <w:sz w:val="24"/>
          <w:szCs w:val="24"/>
          <w:lang w:val="es-PE"/>
        </w:rPr>
        <w:t xml:space="preserve">de manera que el </w:t>
      </w:r>
      <w:r w:rsidRPr="00AE58A1">
        <w:rPr>
          <w:rFonts w:ascii="Times New Roman" w:hAnsi="Times New Roman" w:cs="Times New Roman"/>
          <w:sz w:val="24"/>
          <w:szCs w:val="24"/>
          <w:lang w:val="es-ES"/>
        </w:rPr>
        <w:t>recurso impugnativo interpuesto por el reclamante puede ser categorizado, por su contenido mismo, como una solicitud de revisión general, sustentada exclusivamente en el criterio del reclamante, que esta Defensoría respeta pero no comparte,  sin aportar nuevo medio probatorio que permita efectivamente concluir que este colegiado incurrió en error o vicio al momento de resolver. En efecto, de la lectura del recurso impugnativo se aprecia dicha disconformidad, descalificando lo resuelto por la DEFASEG por el solo hecho que no se han recogido los argumentos de la parte reclamante.</w:t>
      </w:r>
    </w:p>
    <w:p w:rsidRPr="00AE58A1" w:rsidR="00AE58A1" w:rsidP="00AE58A1" w:rsidRDefault="00AE58A1" w14:paraId="1307D9F9" w14:textId="78019F87">
      <w:pPr>
        <w:tabs>
          <w:tab w:val="left" w:pos="0"/>
          <w:tab w:val="left" w:pos="2160"/>
        </w:tabs>
        <w:spacing w:line="240" w:lineRule="auto"/>
        <w:jc w:val="both"/>
        <w:rPr>
          <w:rFonts w:ascii="Times New Roman" w:hAnsi="Times New Roman" w:cs="Times New Roman"/>
          <w:sz w:val="24"/>
          <w:szCs w:val="24"/>
          <w:lang w:val="es-ES"/>
        </w:rPr>
      </w:pPr>
      <w:r>
        <w:rPr>
          <w:rFonts w:ascii="Times New Roman" w:hAnsi="Times New Roman"/>
          <w:sz w:val="24"/>
        </w:rPr>
        <w:t xml:space="preserve">Como fue referido en la Resolución Impugnada, el reclamante sufrió dos tipos de consumos no reconocidos: (i) retiros en cajeros en efectivo, no cubiertos por la póliza; y (ii) consumos en establecimientos comerciales con su tarjeta de crédito incorporada en su celular a través del applicativo ............................... </w:t>
      </w:r>
    </w:p>
    <w:p w:rsidRPr="00AE58A1" w:rsidR="00AE58A1" w:rsidP="00AE58A1" w:rsidRDefault="00AE58A1" w14:paraId="0DEC8653" w14:textId="77777777">
      <w:pPr>
        <w:tabs>
          <w:tab w:val="left" w:pos="0"/>
          <w:tab w:val="left" w:pos="2160"/>
        </w:tabs>
        <w:spacing w:line="240" w:lineRule="auto"/>
        <w:jc w:val="both"/>
        <w:rPr>
          <w:rFonts w:ascii="Times New Roman" w:hAnsi="Times New Roman" w:cs="Times New Roman"/>
          <w:sz w:val="24"/>
          <w:szCs w:val="24"/>
          <w:lang w:val="es-ES"/>
        </w:rPr>
      </w:pPr>
      <w:r>
        <w:rPr>
          <w:rFonts w:ascii="Times New Roman" w:hAnsi="Times New Roman"/>
          <w:sz w:val="24"/>
        </w:rPr>
        <w:t xml:space="preserve">En opinión de la aseguradora dichos consumos con la tarjeta de crédito virtual incorporada en el celular, no están cubiertos por la póliza pues debían haber sido realizados con la tarjeta física. Dicha posición no fue recogida por este colegiado por las razones expuestas en la Resolución Impugnada. Es en virtud de dicha interpretación, que se concluye que el bloqueo de la tarjeta de crédito incorporada en el celular debe computarse desde la pérdida de la tarjeta virtual contenida en el celular. </w:t>
      </w:r>
    </w:p>
    <w:p w:rsidRPr="00AE58A1" w:rsidR="00AE58A1" w:rsidP="00AE58A1" w:rsidRDefault="00AE58A1" w14:paraId="376F0FE7" w14:textId="478C0DA5">
      <w:pPr>
        <w:tabs>
          <w:tab w:val="left" w:pos="0"/>
          <w:tab w:val="left" w:pos="2160"/>
        </w:tabs>
        <w:spacing w:line="240" w:lineRule="auto"/>
        <w:jc w:val="both"/>
        <w:rPr>
          <w:rFonts w:ascii="Times New Roman" w:hAnsi="Times New Roman" w:cs="Times New Roman"/>
          <w:sz w:val="24"/>
          <w:szCs w:val="24"/>
          <w:lang w:val="es-ES"/>
        </w:rPr>
      </w:pPr>
      <w:r w:rsidRPr="1BE90FE8" w:rsidR="00AE58A1">
        <w:rPr>
          <w:rFonts w:ascii="Times New Roman" w:hAnsi="Times New Roman" w:cs="Times New Roman"/>
          <w:sz w:val="24"/>
          <w:szCs w:val="24"/>
          <w:lang w:val="es-ES"/>
        </w:rPr>
        <w:t xml:space="preserve">Si concluyéramos que el celular no incorpora la tarjeta de crédito del asegurado estaríamos fuera del ámbito de aplicación de la póliza, tal como sostiene la aseguradora, toda vez que esta solo cubre los consumos indebidos en establecimientos cuando son realizados con la tarjeta de crédito (en este caso -reiteramos- fueron realizados con el celular que incorpora la tarjeta de crédito bajo el </w:t>
      </w:r>
      <w:r w:rsidRPr="1BE90FE8" w:rsidR="00AE58A1">
        <w:rPr>
          <w:rFonts w:ascii="Times New Roman" w:hAnsi="Times New Roman" w:cs="Times New Roman"/>
          <w:sz w:val="24"/>
          <w:szCs w:val="24"/>
          <w:lang w:val="es-ES"/>
        </w:rPr>
        <w:t>applicativo</w:t>
      </w:r>
      <w:r w:rsidRPr="1BE90FE8" w:rsidR="00AE58A1">
        <w:rPr>
          <w:rFonts w:ascii="Times New Roman" w:hAnsi="Times New Roman" w:cs="Times New Roman"/>
          <w:sz w:val="24"/>
          <w:szCs w:val="24"/>
          <w:lang w:val="es-ES"/>
        </w:rPr>
        <w:t xml:space="preserve"> </w:t>
      </w:r>
      <w:r w:rsidRPr="1BE90FE8" w:rsidR="6CFA45EF">
        <w:rPr>
          <w:rFonts w:ascii="Times New Roman" w:hAnsi="Times New Roman" w:cs="Times New Roman"/>
          <w:sz w:val="24"/>
          <w:szCs w:val="24"/>
          <w:lang w:val="es-ES"/>
        </w:rPr>
        <w:t>..............................</w:t>
      </w:r>
      <w:r w:rsidRPr="1BE90FE8" w:rsidR="00AE58A1">
        <w:rPr>
          <w:rFonts w:ascii="Times New Roman" w:hAnsi="Times New Roman" w:cs="Times New Roman"/>
          <w:sz w:val="24"/>
          <w:szCs w:val="24"/>
          <w:lang w:val="es-ES"/>
        </w:rPr>
        <w:t>).</w:t>
      </w:r>
    </w:p>
    <w:p w:rsidRPr="00AE58A1" w:rsidR="00AE58A1" w:rsidP="00AE58A1" w:rsidRDefault="00AE58A1" w14:paraId="386413AC" w14:textId="77777777">
      <w:pPr>
        <w:tabs>
          <w:tab w:val="left" w:pos="0"/>
          <w:tab w:val="left" w:pos="2160"/>
        </w:tabs>
        <w:spacing w:line="240" w:lineRule="auto"/>
        <w:jc w:val="both"/>
        <w:rPr>
          <w:rFonts w:ascii="Times New Roman" w:hAnsi="Times New Roman" w:cs="Times New Roman"/>
          <w:sz w:val="24"/>
          <w:szCs w:val="24"/>
          <w:lang w:val="es-ES"/>
        </w:rPr>
      </w:pPr>
      <w:r w:rsidRPr="00AE58A1">
        <w:rPr>
          <w:rFonts w:ascii="Times New Roman" w:hAnsi="Times New Roman" w:cs="Times New Roman"/>
          <w:sz w:val="24"/>
          <w:szCs w:val="24"/>
          <w:lang w:val="es-ES"/>
        </w:rPr>
        <w:t xml:space="preserve">Es importante destacar, que la incorporación de la tarjeta de crédito en el celular a través del aplicativo que utilizaba el </w:t>
      </w:r>
      <w:proofErr w:type="gramStart"/>
      <w:r w:rsidRPr="00AE58A1">
        <w:rPr>
          <w:rFonts w:ascii="Times New Roman" w:hAnsi="Times New Roman" w:cs="Times New Roman"/>
          <w:sz w:val="24"/>
          <w:szCs w:val="24"/>
          <w:lang w:val="es-ES"/>
        </w:rPr>
        <w:t>reclamante,</w:t>
      </w:r>
      <w:proofErr w:type="gramEnd"/>
      <w:r w:rsidRPr="00AE58A1">
        <w:rPr>
          <w:rFonts w:ascii="Times New Roman" w:hAnsi="Times New Roman" w:cs="Times New Roman"/>
          <w:sz w:val="24"/>
          <w:szCs w:val="24"/>
          <w:lang w:val="es-ES"/>
        </w:rPr>
        <w:t xml:space="preserve"> fue realizado por voluntad y elección del mismo, pues dicha afiliación no es automática, solo se realiza cuando el titular así lo decide, lo que implica asumir la responsabilidad por el uso del celular como medio de pago.</w:t>
      </w:r>
    </w:p>
    <w:p w:rsidRPr="00AE58A1" w:rsidR="00AE58A1" w:rsidP="00AE58A1" w:rsidRDefault="00AE58A1" w14:paraId="08561A05" w14:textId="77777777">
      <w:pPr>
        <w:tabs>
          <w:tab w:val="left" w:pos="0"/>
          <w:tab w:val="left" w:pos="2160"/>
        </w:tabs>
        <w:spacing w:line="240" w:lineRule="auto"/>
        <w:jc w:val="both"/>
        <w:rPr>
          <w:rFonts w:ascii="Times New Roman" w:hAnsi="Times New Roman" w:cs="Times New Roman"/>
          <w:sz w:val="24"/>
          <w:szCs w:val="24"/>
          <w:lang w:val="es-ES"/>
        </w:rPr>
      </w:pPr>
      <w:r w:rsidRPr="00AE58A1">
        <w:rPr>
          <w:rFonts w:ascii="Times New Roman" w:hAnsi="Times New Roman" w:cs="Times New Roman"/>
          <w:b/>
          <w:bCs/>
          <w:sz w:val="24"/>
          <w:szCs w:val="24"/>
          <w:u w:val="single"/>
          <w:lang w:val="es-PE"/>
        </w:rPr>
        <w:t>Tercero:</w:t>
      </w:r>
      <w:r w:rsidRPr="00AE58A1">
        <w:rPr>
          <w:rFonts w:ascii="Times New Roman" w:hAnsi="Times New Roman" w:cs="Times New Roman"/>
          <w:sz w:val="24"/>
          <w:szCs w:val="24"/>
          <w:lang w:val="es-PE"/>
        </w:rPr>
        <w:t xml:space="preserve">  </w:t>
      </w:r>
      <w:bookmarkStart w:name="_Hlk114153333" w:id="1"/>
      <w:r w:rsidRPr="00AE58A1">
        <w:rPr>
          <w:rFonts w:ascii="Times New Roman" w:hAnsi="Times New Roman" w:cs="Times New Roman"/>
          <w:sz w:val="24"/>
          <w:szCs w:val="24"/>
          <w:lang w:val="es-PE"/>
        </w:rPr>
        <w:t xml:space="preserve">Finalmente, </w:t>
      </w:r>
      <w:r w:rsidRPr="00AE58A1">
        <w:rPr>
          <w:rFonts w:ascii="Times New Roman" w:hAnsi="Times New Roman" w:cs="Times New Roman"/>
          <w:sz w:val="24"/>
          <w:szCs w:val="24"/>
          <w:lang w:val="es-ES"/>
        </w:rPr>
        <w:t xml:space="preserve">este colegiado tiene a bien precisar que </w:t>
      </w:r>
      <w:r w:rsidRPr="00AE58A1">
        <w:rPr>
          <w:rFonts w:ascii="Times New Roman" w:hAnsi="Times New Roman" w:cs="Times New Roman"/>
          <w:sz w:val="24"/>
          <w:szCs w:val="24"/>
          <w:lang w:val="es-419"/>
        </w:rPr>
        <w:t xml:space="preserve">la Defensoría del Asegurado es una entidad privada y por ende no constituye una instancia administrativa regida por la ley del procedimiento administrativo general, siendo que se rige por su propio reglamento, conforme al cual </w:t>
      </w:r>
      <w:r w:rsidRPr="00AE58A1">
        <w:rPr>
          <w:rFonts w:ascii="Times New Roman" w:hAnsi="Times New Roman" w:cs="Times New Roman"/>
          <w:sz w:val="24"/>
          <w:szCs w:val="24"/>
          <w:lang w:val="es-ES"/>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bookmarkEnd w:id="1"/>
    <w:p w:rsidRPr="00AE58A1" w:rsidR="00AE58A1" w:rsidP="00AE58A1" w:rsidRDefault="00AE58A1" w14:paraId="7088C389" w14:textId="77777777">
      <w:pPr>
        <w:tabs>
          <w:tab w:val="left" w:pos="2160"/>
        </w:tabs>
        <w:spacing w:line="240" w:lineRule="auto"/>
        <w:jc w:val="both"/>
        <w:rPr>
          <w:rFonts w:ascii="Times New Roman" w:hAnsi="Times New Roman" w:cs="Times New Roman"/>
          <w:sz w:val="24"/>
          <w:szCs w:val="24"/>
          <w:lang w:val="es-ES"/>
        </w:rPr>
      </w:pPr>
      <w:r w:rsidRPr="00AE58A1">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AE58A1" w:rsidR="00AE58A1" w:rsidP="00AE58A1" w:rsidRDefault="00AE58A1" w14:paraId="40BC8876" w14:textId="77777777">
      <w:pPr>
        <w:spacing w:line="240" w:lineRule="auto"/>
        <w:jc w:val="both"/>
        <w:rPr>
          <w:rFonts w:ascii="Times New Roman" w:hAnsi="Times New Roman" w:eastAsia="Arial Unicode MS" w:cs="Times New Roman"/>
          <w:b/>
          <w:bCs/>
          <w:sz w:val="24"/>
          <w:szCs w:val="24"/>
          <w:lang w:val="es-PE"/>
        </w:rPr>
      </w:pPr>
      <w:r w:rsidRPr="00AE58A1">
        <w:rPr>
          <w:rFonts w:ascii="Times New Roman" w:hAnsi="Times New Roman" w:eastAsia="Arial Unicode MS" w:cs="Times New Roman"/>
          <w:b/>
          <w:bCs/>
          <w:sz w:val="24"/>
          <w:szCs w:val="24"/>
          <w:lang w:val="es-ES"/>
        </w:rPr>
        <w:t xml:space="preserve">RESUELVE: </w:t>
      </w:r>
    </w:p>
    <w:p w:rsidRPr="00AE58A1" w:rsidR="00AE58A1" w:rsidP="00AE58A1" w:rsidRDefault="00AE58A1" w14:paraId="7C1467F2" w14:textId="617F3BF6">
      <w:pPr>
        <w:spacing w:line="240" w:lineRule="auto"/>
        <w:jc w:val="both"/>
        <w:rPr>
          <w:rFonts w:ascii="Times New Roman" w:hAnsi="Times New Roman" w:eastAsia="Times New Roman" w:cs="Times New Roman"/>
          <w:sz w:val="24"/>
          <w:szCs w:val="24"/>
          <w:lang w:val="es-ES" w:eastAsia="ar-SA"/>
        </w:rPr>
      </w:pPr>
      <w:r w:rsidRPr="1BE90FE8" w:rsidR="00AE58A1">
        <w:rPr>
          <w:rFonts w:ascii="Times New Roman" w:hAnsi="Times New Roman" w:eastAsia="Arial Unicode MS" w:cs="Times New Roman"/>
          <w:b w:val="1"/>
          <w:bCs w:val="1"/>
          <w:sz w:val="24"/>
          <w:szCs w:val="24"/>
          <w:lang w:val="es-PE"/>
        </w:rPr>
        <w:t xml:space="preserve">Declarar INFUNDADO el recurso impugnativo </w:t>
      </w:r>
      <w:r w:rsidRPr="1BE90FE8" w:rsidR="00AE58A1">
        <w:rPr>
          <w:rFonts w:ascii="Times New Roman" w:hAnsi="Times New Roman" w:eastAsia="Arial Unicode MS" w:cs="Times New Roman"/>
          <w:sz w:val="24"/>
          <w:szCs w:val="24"/>
          <w:lang w:val="es-PE"/>
        </w:rPr>
        <w:t>interpuesto y,</w:t>
      </w:r>
      <w:r w:rsidRPr="1BE90FE8" w:rsidR="00AE58A1">
        <w:rPr>
          <w:rFonts w:ascii="Times New Roman" w:hAnsi="Times New Roman" w:cs="Times New Roman"/>
          <w:sz w:val="24"/>
          <w:szCs w:val="24"/>
          <w:lang w:val="es-ES"/>
        </w:rPr>
        <w:t xml:space="preserve"> por consiguiente, ratificar</w:t>
      </w:r>
      <w:r w:rsidRPr="1BE90FE8" w:rsidR="00AE58A1">
        <w:rPr>
          <w:rFonts w:ascii="Times New Roman" w:hAnsi="Times New Roman" w:eastAsia="Times New Roman" w:cs="Times New Roman"/>
          <w:sz w:val="24"/>
          <w:szCs w:val="24"/>
          <w:lang w:val="es-ES" w:eastAsia="ar-SA"/>
        </w:rPr>
        <w:t xml:space="preserve"> la Resolución </w:t>
      </w:r>
      <w:r w:rsidRPr="1BE90FE8" w:rsidR="00AE58A1">
        <w:rPr>
          <w:rFonts w:ascii="Times New Roman" w:hAnsi="Times New Roman" w:eastAsia="Times New Roman" w:cs="Times New Roman"/>
          <w:sz w:val="24"/>
          <w:szCs w:val="24"/>
          <w:lang w:val="es-ES" w:eastAsia="ar-SA"/>
        </w:rPr>
        <w:t>Nº</w:t>
      </w:r>
      <w:r w:rsidRPr="1BE90FE8" w:rsidR="00AE58A1">
        <w:rPr>
          <w:rFonts w:ascii="Times New Roman" w:hAnsi="Times New Roman" w:eastAsia="Times New Roman" w:cs="Times New Roman"/>
          <w:sz w:val="24"/>
          <w:szCs w:val="24"/>
          <w:lang w:val="es-ES" w:eastAsia="ar-SA"/>
        </w:rPr>
        <w:t xml:space="preserve"> 080/23 de fecha 09 de mayo de 2023 que declaró INFUNDADA la reclamación interpuesta por don </w:t>
      </w:r>
      <w:r w:rsidRPr="1BE90FE8" w:rsidR="20CBBEEC">
        <w:rPr>
          <w:rFonts w:ascii="Times New Roman" w:hAnsi="Times New Roman" w:eastAsia="Times New Roman" w:cs="Times New Roman"/>
          <w:sz w:val="24"/>
          <w:szCs w:val="24"/>
          <w:lang w:val="es-ES" w:eastAsia="ar-SA"/>
        </w:rPr>
        <w:t>.....................................................................</w:t>
      </w:r>
      <w:r w:rsidRPr="1BE90FE8" w:rsidR="00AE58A1">
        <w:rPr>
          <w:rFonts w:ascii="Times New Roman" w:hAnsi="Times New Roman" w:eastAsia="Times New Roman" w:cs="Times New Roman"/>
          <w:sz w:val="24"/>
          <w:szCs w:val="24"/>
          <w:lang w:val="es-ES" w:eastAsia="ar-SA"/>
        </w:rPr>
        <w:t>, dejando a salvo el derecho del reclamante de acudir ante las instancias que estime pertinente.</w:t>
      </w:r>
    </w:p>
    <w:p w:rsidRPr="00AE58A1"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AE58A1" w:rsidR="00231C58" w:rsidP="005A40A4" w:rsidRDefault="0091528B" w14:paraId="2B9BAAC8" w14:textId="105F206A">
      <w:pPr>
        <w:suppressAutoHyphens/>
        <w:spacing w:after="0" w:line="240" w:lineRule="auto"/>
        <w:jc w:val="right"/>
        <w:outlineLvl w:val="0"/>
        <w:rPr>
          <w:rFonts w:ascii="Times New Roman" w:hAnsi="Times New Roman" w:eastAsia="Arial Unicode MS" w:cs="Times New Roman"/>
          <w:sz w:val="24"/>
          <w:szCs w:val="24"/>
          <w:lang w:val="es-PE" w:eastAsia="ar-SA"/>
        </w:rPr>
      </w:pPr>
      <w:r w:rsidRPr="00AE58A1">
        <w:rPr>
          <w:rFonts w:ascii="Times New Roman" w:hAnsi="Times New Roman" w:eastAsia="Arial Unicode MS" w:cs="Times New Roman"/>
          <w:sz w:val="24"/>
          <w:szCs w:val="24"/>
          <w:lang w:val="es-PE" w:eastAsia="ar-SA"/>
        </w:rPr>
        <w:t xml:space="preserve">Lima, </w:t>
      </w:r>
      <w:r w:rsidRPr="00AE58A1" w:rsidR="002F478E">
        <w:rPr>
          <w:rFonts w:ascii="Times New Roman" w:hAnsi="Times New Roman" w:eastAsia="Arial Unicode MS" w:cs="Times New Roman"/>
          <w:sz w:val="24"/>
          <w:szCs w:val="24"/>
          <w:lang w:val="es-PE" w:eastAsia="ar-SA"/>
        </w:rPr>
        <w:t>0</w:t>
      </w:r>
      <w:r w:rsidRPr="00AE58A1" w:rsidR="006A2ADE">
        <w:rPr>
          <w:rFonts w:ascii="Times New Roman" w:hAnsi="Times New Roman" w:eastAsia="Arial Unicode MS" w:cs="Times New Roman"/>
          <w:sz w:val="24"/>
          <w:szCs w:val="24"/>
          <w:lang w:val="es-PE" w:eastAsia="ar-SA"/>
        </w:rPr>
        <w:t>8</w:t>
      </w:r>
      <w:r w:rsidRPr="00AE58A1" w:rsidR="002F478E">
        <w:rPr>
          <w:rFonts w:ascii="Times New Roman" w:hAnsi="Times New Roman" w:eastAsia="Arial Unicode MS" w:cs="Times New Roman"/>
          <w:sz w:val="24"/>
          <w:szCs w:val="24"/>
          <w:lang w:val="es-PE" w:eastAsia="ar-SA"/>
        </w:rPr>
        <w:t xml:space="preserve"> </w:t>
      </w:r>
      <w:r w:rsidRPr="00AE58A1" w:rsidR="00707C99">
        <w:rPr>
          <w:rFonts w:ascii="Times New Roman" w:hAnsi="Times New Roman" w:eastAsia="Arial Unicode MS" w:cs="Times New Roman"/>
          <w:sz w:val="24"/>
          <w:szCs w:val="24"/>
          <w:lang w:val="es-PE" w:eastAsia="ar-SA"/>
        </w:rPr>
        <w:t xml:space="preserve">de </w:t>
      </w:r>
      <w:r w:rsidRPr="00AE58A1" w:rsidR="002F478E">
        <w:rPr>
          <w:rFonts w:ascii="Times New Roman" w:hAnsi="Times New Roman" w:eastAsia="Arial Unicode MS" w:cs="Times New Roman"/>
          <w:sz w:val="24"/>
          <w:szCs w:val="24"/>
          <w:lang w:val="es-PE" w:eastAsia="ar-SA"/>
        </w:rPr>
        <w:t xml:space="preserve">junio </w:t>
      </w:r>
      <w:r w:rsidRPr="00AE58A1" w:rsidR="00F06498">
        <w:rPr>
          <w:rFonts w:ascii="Times New Roman" w:hAnsi="Times New Roman" w:eastAsia="Arial Unicode MS" w:cs="Times New Roman"/>
          <w:sz w:val="24"/>
          <w:szCs w:val="24"/>
          <w:lang w:val="es-PE" w:eastAsia="ar-SA"/>
        </w:rPr>
        <w:t>de 202</w:t>
      </w:r>
      <w:r w:rsidRPr="00AE58A1" w:rsidR="00B340D4">
        <w:rPr>
          <w:rFonts w:ascii="Times New Roman" w:hAnsi="Times New Roman" w:eastAsia="Arial Unicode MS" w:cs="Times New Roman"/>
          <w:sz w:val="24"/>
          <w:szCs w:val="24"/>
          <w:lang w:val="es-PE" w:eastAsia="ar-SA"/>
        </w:rPr>
        <w:t>3</w:t>
      </w:r>
      <w:r w:rsidRPr="00AE58A1" w:rsidR="00707C99">
        <w:rPr>
          <w:rFonts w:ascii="Times New Roman" w:hAnsi="Times New Roman" w:eastAsia="Times New Roman" w:cs="Times New Roman"/>
          <w:sz w:val="24"/>
          <w:szCs w:val="24"/>
          <w:lang w:val="es-PE" w:eastAsia="ar-SA"/>
        </w:rPr>
        <w:t xml:space="preserve"> </w:t>
      </w:r>
    </w:p>
    <w:p w:rsidRPr="00AE58A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E58A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E58A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E58A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E58A1"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 xml:space="preserve">Omar Alfaro Villanueva – </w:t>
      </w:r>
      <w:proofErr w:type="gramStart"/>
      <w:r w:rsidRPr="00AE58A1">
        <w:rPr>
          <w:rFonts w:ascii="Times New Roman" w:hAnsi="Times New Roman" w:cs="Times New Roman"/>
          <w:b/>
          <w:bCs/>
          <w:sz w:val="24"/>
          <w:szCs w:val="24"/>
          <w:lang w:val="es-PE"/>
        </w:rPr>
        <w:t>Presidente</w:t>
      </w:r>
      <w:proofErr w:type="gramEnd"/>
    </w:p>
    <w:p w:rsidRPr="00AE58A1"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María Eugenia Valdez Fernández Baca – Vocal</w:t>
      </w:r>
    </w:p>
    <w:p w:rsidRPr="00AE58A1"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lastRenderedPageBreak/>
        <w:t xml:space="preserve">Rolando Eyzaguirre </w:t>
      </w:r>
      <w:proofErr w:type="spellStart"/>
      <w:r w:rsidRPr="00AE58A1">
        <w:rPr>
          <w:rFonts w:ascii="Times New Roman" w:hAnsi="Times New Roman" w:cs="Times New Roman"/>
          <w:b/>
          <w:bCs/>
          <w:sz w:val="24"/>
          <w:szCs w:val="24"/>
          <w:lang w:val="es-PE"/>
        </w:rPr>
        <w:t>Maccan</w:t>
      </w:r>
      <w:proofErr w:type="spellEnd"/>
      <w:r w:rsidRPr="00AE58A1">
        <w:rPr>
          <w:rFonts w:ascii="Times New Roman" w:hAnsi="Times New Roman" w:cs="Times New Roman"/>
          <w:b/>
          <w:bCs/>
          <w:sz w:val="24"/>
          <w:szCs w:val="24"/>
          <w:lang w:val="es-PE"/>
        </w:rPr>
        <w:t xml:space="preserve"> – Vocal</w:t>
      </w:r>
    </w:p>
    <w:p w:rsidRPr="00AE58A1"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AE58A1">
        <w:rPr>
          <w:rFonts w:ascii="Times New Roman" w:hAnsi="Times New Roman" w:cs="Times New Roman"/>
          <w:b/>
          <w:bCs/>
          <w:sz w:val="24"/>
          <w:szCs w:val="24"/>
          <w:lang w:val="es-PE"/>
        </w:rPr>
        <w:t>Gonzalo Abad del Busto – Vocal</w:t>
      </w:r>
    </w:p>
    <w:p w:rsidRPr="00AE58A1"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1DF3" w:rsidP="00784355" w:rsidRDefault="00171DF3" w14:paraId="1B19E54E" w14:textId="77777777">
      <w:pPr>
        <w:spacing w:after="0" w:line="240" w:lineRule="auto"/>
      </w:pPr>
      <w:r>
        <w:separator/>
      </w:r>
    </w:p>
  </w:endnote>
  <w:endnote w:type="continuationSeparator" w:id="0">
    <w:p w:rsidR="00171DF3" w:rsidP="00784355" w:rsidRDefault="00171DF3" w14:paraId="538CD0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1DF3" w:rsidP="00784355" w:rsidRDefault="00171DF3" w14:paraId="1EE492F4" w14:textId="77777777">
      <w:pPr>
        <w:spacing w:after="0" w:line="240" w:lineRule="auto"/>
      </w:pPr>
      <w:r>
        <w:separator/>
      </w:r>
    </w:p>
  </w:footnote>
  <w:footnote w:type="continuationSeparator" w:id="0">
    <w:p w:rsidR="00171DF3" w:rsidP="00784355" w:rsidRDefault="00171DF3" w14:paraId="3F071B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6"/>
  </w:num>
  <w:num w:numId="3" w16cid:durableId="333261791">
    <w:abstractNumId w:val="4"/>
  </w:num>
  <w:num w:numId="4" w16cid:durableId="1770345525">
    <w:abstractNumId w:val="3"/>
  </w:num>
  <w:num w:numId="5" w16cid:durableId="1816144979">
    <w:abstractNumId w:val="5"/>
  </w:num>
  <w:num w:numId="6" w16cid:durableId="1304313350">
    <w:abstractNumId w:val="0"/>
  </w:num>
  <w:num w:numId="7" w16cid:durableId="16682880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1BE90FE8"/>
    <w:rsid w:val="20CBBEEC"/>
    <w:rsid w:val="39B9049A"/>
    <w:rsid w:val="6CFA45EF"/>
    <w:rsid w:val="6F11A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030CC47-C8EC-4782-8EBD-3506A9B3F390}"/>
</file>

<file path=customXml/itemProps3.xml><?xml version="1.0" encoding="utf-8"?>
<ds:datastoreItem xmlns:ds="http://schemas.openxmlformats.org/officeDocument/2006/customXml" ds:itemID="{A52DCD00-4E15-4896-B432-5C6F7E73EF6A}"/>
</file>

<file path=customXml/itemProps4.xml><?xml version="1.0" encoding="utf-8"?>
<ds:datastoreItem xmlns:ds="http://schemas.openxmlformats.org/officeDocument/2006/customXml" ds:itemID="{D6ECDBA7-D2E8-4E69-8E11-A2E4D18EC4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57</cp:revision>
  <cp:lastPrinted>2023-06-12T14:36:00Z</cp:lastPrinted>
  <dcterms:created xsi:type="dcterms:W3CDTF">2023-02-14T22:37:00Z</dcterms:created>
  <dcterms:modified xsi:type="dcterms:W3CDTF">2025-12-02T21:10:31Z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