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C6AB8" w:rsidR="00707C99" w:rsidP="00272F4F" w:rsidRDefault="00201C0D" w14:paraId="19FE0E96" w14:textId="450905BF">
      <w:pPr>
        <w:spacing w:after="0" w:line="240" w:lineRule="auto"/>
        <w:jc w:val="center"/>
        <w:rPr>
          <w:rFonts w:ascii="Times New Roman" w:hAnsi="Times New Roman" w:cs="Times New Roman"/>
          <w:b/>
          <w:sz w:val="24"/>
          <w:szCs w:val="24"/>
          <w:lang w:val="es-PE" w:eastAsia="ar-SA"/>
        </w:rPr>
      </w:pPr>
      <w:r w:rsidRPr="005C6AB8">
        <w:rPr>
          <w:rFonts w:ascii="Times New Roman" w:hAnsi="Times New Roman" w:cs="Times New Roman"/>
          <w:b/>
          <w:sz w:val="24"/>
          <w:szCs w:val="24"/>
          <w:lang w:val="es-PE" w:eastAsia="ar-SA"/>
        </w:rPr>
        <w:t xml:space="preserve">RESOLUCIÓN DE RECURSO IMPUGNATIVO </w:t>
      </w:r>
      <w:proofErr w:type="spellStart"/>
      <w:r w:rsidRPr="005C6AB8" w:rsidR="00707C99">
        <w:rPr>
          <w:rFonts w:ascii="Times New Roman" w:hAnsi="Times New Roman" w:cs="Times New Roman"/>
          <w:b/>
          <w:sz w:val="24"/>
          <w:szCs w:val="24"/>
          <w:lang w:val="es-PE" w:eastAsia="ar-SA"/>
        </w:rPr>
        <w:t>N°</w:t>
      </w:r>
      <w:proofErr w:type="spellEnd"/>
      <w:r w:rsidRPr="005C6AB8" w:rsidR="00707C99">
        <w:rPr>
          <w:rFonts w:ascii="Times New Roman" w:hAnsi="Times New Roman" w:cs="Times New Roman"/>
          <w:b/>
          <w:sz w:val="24"/>
          <w:szCs w:val="24"/>
          <w:lang w:val="es-PE" w:eastAsia="ar-SA"/>
        </w:rPr>
        <w:t xml:space="preserve"> </w:t>
      </w:r>
      <w:r w:rsidRPr="005C6AB8" w:rsidR="00516293">
        <w:rPr>
          <w:rFonts w:ascii="Times New Roman" w:hAnsi="Times New Roman" w:cs="Times New Roman"/>
          <w:b/>
          <w:sz w:val="24"/>
          <w:szCs w:val="24"/>
          <w:lang w:val="es-PE" w:eastAsia="ar-SA"/>
        </w:rPr>
        <w:t>02</w:t>
      </w:r>
      <w:r w:rsidRPr="005C6AB8" w:rsidR="00C51445">
        <w:rPr>
          <w:rFonts w:ascii="Times New Roman" w:hAnsi="Times New Roman" w:cs="Times New Roman"/>
          <w:b/>
          <w:sz w:val="24"/>
          <w:szCs w:val="24"/>
          <w:lang w:val="es-PE" w:eastAsia="ar-SA"/>
        </w:rPr>
        <w:t>3</w:t>
      </w:r>
      <w:r w:rsidRPr="005C6AB8" w:rsidR="00C671F5">
        <w:rPr>
          <w:rFonts w:ascii="Times New Roman" w:hAnsi="Times New Roman" w:cs="Times New Roman"/>
          <w:b/>
          <w:sz w:val="24"/>
          <w:szCs w:val="24"/>
          <w:lang w:val="es-PE" w:eastAsia="ar-SA"/>
        </w:rPr>
        <w:t>/2</w:t>
      </w:r>
      <w:r w:rsidRPr="005C6AB8" w:rsidR="00AB7BFE">
        <w:rPr>
          <w:rFonts w:ascii="Times New Roman" w:hAnsi="Times New Roman" w:cs="Times New Roman"/>
          <w:b/>
          <w:sz w:val="24"/>
          <w:szCs w:val="24"/>
          <w:lang w:val="es-PE" w:eastAsia="ar-SA"/>
        </w:rPr>
        <w:t>3</w:t>
      </w:r>
    </w:p>
    <w:p w:rsidR="005C6AB8" w:rsidP="005C6AB8" w:rsidRDefault="005C6AB8" w14:paraId="3A98C1EC" w14:textId="77777777">
      <w:pPr>
        <w:spacing w:after="0" w:line="240" w:lineRule="auto"/>
        <w:jc w:val="both"/>
        <w:rPr>
          <w:rFonts w:ascii="Times New Roman" w:hAnsi="Times New Roman" w:cs="Times New Roman"/>
          <w:b/>
          <w:sz w:val="24"/>
          <w:szCs w:val="24"/>
          <w:lang w:val="es-PE"/>
        </w:rPr>
      </w:pPr>
    </w:p>
    <w:p w:rsidRPr="005C6AB8" w:rsidR="005C6AB8" w:rsidP="005C6AB8" w:rsidRDefault="005C6AB8" w14:paraId="660BF0D7" w14:textId="5B327AAA">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b/>
          <w:sz w:val="24"/>
          <w:szCs w:val="24"/>
          <w:lang w:val="es-PE"/>
        </w:rPr>
        <w:t xml:space="preserve">Vistos: </w:t>
      </w:r>
    </w:p>
    <w:p w:rsidRPr="005C6AB8" w:rsidR="005C6AB8" w:rsidP="005C6AB8" w:rsidRDefault="005C6AB8" w14:paraId="732356EC" w14:textId="77777777">
      <w:pPr>
        <w:spacing w:after="0" w:line="240" w:lineRule="auto"/>
        <w:jc w:val="both"/>
        <w:rPr>
          <w:rFonts w:ascii="Times New Roman" w:hAnsi="Times New Roman" w:cs="Times New Roman"/>
          <w:sz w:val="24"/>
          <w:szCs w:val="24"/>
          <w:lang w:val="es-PE"/>
        </w:rPr>
      </w:pPr>
    </w:p>
    <w:p w:rsidRPr="005C6AB8" w:rsidR="005C6AB8" w:rsidP="005C6AB8" w:rsidRDefault="005C6AB8" w14:paraId="2DCA8E60" w14:textId="705A147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el 30 de mayo de 2023 por doña ................................................... (en adelante, la asegurada) respecto de la Resolución Nro. 089/23, de fecha 23 de mayo de 2023, emitida por esta Defensoría del Asegurado (DEFASEG), que declaró IMPROCEDENTE la reclamación interpuesta contra LA ................................................... (en adelante, la aseguradora), a fin de que se le otorgue cobertura al siniestro que corresponde al pedido de cobertura por invalidez permanente originado en su diagnóstico médico, conforme al Seguro de Desgravamen / Póliza N° ………………… ................. (en adelante, la póliza).</w:t>
      </w:r>
    </w:p>
    <w:p w:rsidRPr="005C6AB8" w:rsidR="005C6AB8" w:rsidP="005C6AB8" w:rsidRDefault="005C6AB8" w14:paraId="4EC4CF6B"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p>
    <w:p w:rsidRPr="005C6AB8" w:rsidR="005C6AB8" w:rsidP="005C6AB8" w:rsidRDefault="005C6AB8" w14:paraId="6F560DD7" w14:textId="77777777">
      <w:pPr>
        <w:pStyle w:val="Default"/>
        <w:spacing w:line="240" w:lineRule="auto"/>
        <w:jc w:val="both"/>
        <w:rPr>
          <w:rFonts w:ascii="Times New Roman" w:hAnsi="Times New Roman" w:cs="Times New Roman"/>
        </w:rPr>
      </w:pPr>
      <w:r w:rsidRPr="005C6AB8">
        <w:rPr>
          <w:rFonts w:ascii="Times New Roman" w:hAnsi="Times New Roman" w:cs="Times New Roman"/>
          <w:sz w:val="24"/>
        </w:rPr>
        <w:t xml:space="preserve">Que el señalado Recurso Impugnativo se fundamenta resumidamente en lo siguiente: 1) se vulneró el debido procedimiento, por cuanto DEFASEG se limitó a señalar que no resulta competente para conocer el presente caso, debido a la cuantía del mismo, pero no tuvo en cuenta que la solicitud no está referida -principalmente- a que se determine y exija a la aseguradora que active la póliza, sino que disponga que esta realice la evaluación médica correspondiente; 2) el monto de la cuantía no resultaba determinante para resolver lo solicitado por la asegurada, ya que esto resultaría necesario ser aplicado solo en el caso que se hubiese solicitado la activación de la póliza; 3) no existe pronunciamiento respecto de lo expuesto en el escrito de absolución presentado por la asegurada, en el cual hemos precisado que, si bien el monto de la deuda que mantiene la reclamante con la entidad financiera asciende a S/. 206,470.20, siendo que hasta la fecha se han cancelado 38 cuotas de las 180 contratadas; 4) no ha solicitado la activación de la póliza ni ha requerido el pago del monto adeudado, sino que pretende revocar el rechazo de la aseguradora a reconocer el siniestro y facilitar que se efectúen las evaluaciones médicas pertinentes, lo que tendrá como resultado que la póliza se active; </w:t>
      </w:r>
    </w:p>
    <w:p w:rsidRPr="005C6AB8" w:rsidR="005C6AB8" w:rsidP="005C6AB8" w:rsidRDefault="005C6AB8" w14:paraId="535DE65E" w14:textId="77777777">
      <w:pPr>
        <w:pStyle w:val="Default"/>
        <w:spacing w:line="240" w:lineRule="auto"/>
        <w:jc w:val="both"/>
        <w:rPr>
          <w:rFonts w:ascii="Times New Roman" w:hAnsi="Times New Roman" w:cs="Times New Roman"/>
        </w:rPr>
      </w:pPr>
    </w:p>
    <w:p w:rsidRPr="005C6AB8" w:rsidR="005C6AB8" w:rsidP="005C6AB8" w:rsidRDefault="005C6AB8" w14:paraId="545B8854" w14:textId="77777777">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sz w:val="24"/>
          <w:szCs w:val="24"/>
          <w:lang w:val="es-PE"/>
        </w:rPr>
        <w:t xml:space="preserve">Que, habiéndose corrido traslado el 06 de junio de 2023, la aseguradora cumplió con absolver los argumentos expuestos por la asegurada en los siguientes términos: 1) la asegurada no ha presentado medio de prueba adicional que acredite sus alegaciones; y, que cambie el sentido de la decisión de la primera instancia; 2) la asegurada afirma que su pretensión es poder pasar los exámenes médicos que determinen su incapacidad; no obstante, lo cierto es que la aseguradora no se encuentra obligada legalmente a ello; 3) solo se evidencia el porcentaje de menoscabo en 19.12%, debido a que es solo un certificado de discapacidad y no de invalidez, siendo que, en lo que respecta a la discapacidad, ese porcentaje es el más alto; 4) mediante carta de fecha 24 de agosto de 2022, se informó a la asegurada que el caso estará pendiente hasta que presente el Dictamen de Invalidez emitido por COMAFP, COMEC, MINSA, ESSALUD y/o INR Hospitales de las FF.A.A y FF.PP; asimismo, se informó que el dictamen deberá contener la fecha de inicio de invalidez, los porcentajes (%) de menoscabo; así como la Naturaleza de la invalidez (temporal o permanente); 5) el 06 de diciembre de 2022, en vista de que la asegurada no cumplió con lo requerido, se le informó la “no atención del caso”; asimismo, se le informó a la asegurada que, según la condición incluida dentro de la póliza: ¨se entiende por invalidez total y permanente, la pérdida o disminución de la fuerza física o intelectual que produzca menoscabo igual o superior a 2/3 de la capacidad de trabajo¨; 6) lo indicado implica que el certificado de discapacidad o dictamen de invalidez debe de tener un porcentaje de menoscabo mayor o igual del 66.7%, no obstante en el certificado que presentó la asegurada indicó un porcentaje de menoscabo de 19.12%; por tanto, no corresponde la cobertura de seguros; 7) la </w:t>
      </w:r>
      <w:r w:rsidRPr="005C6AB8">
        <w:rPr>
          <w:rFonts w:ascii="Times New Roman" w:hAnsi="Times New Roman" w:cs="Times New Roman"/>
          <w:sz w:val="24"/>
          <w:szCs w:val="24"/>
          <w:lang w:val="es-PE"/>
        </w:rPr>
        <w:lastRenderedPageBreak/>
        <w:t xml:space="preserve">aseguradora no cuenta con una junta médica, ni con una comisión médica calificadora, por lo que, en tanto no es un mandato legal de esta, no se le puede obligar a realizar la evaluación médica requerida; 8) la carga de probar la discapacidad materia de reclamo le corresponde únicamente a la asegurada, siendo que ella es la que debe presentar la información completa para la evaluación de su solicitud de cobertura; 9) este caso no debe ser materia de conocimiento de la Defensoría, toda vez que, sobrepasa el monto de cuantía, ya que la cobertura de seguros y pretensión supera los $50,000.00 dólares americanos. </w:t>
      </w:r>
    </w:p>
    <w:p w:rsidRPr="005C6AB8" w:rsidR="005C6AB8" w:rsidP="005C6AB8" w:rsidRDefault="005C6AB8" w14:paraId="5689D2BC" w14:textId="77777777">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sz w:val="24"/>
          <w:szCs w:val="24"/>
          <w:lang w:val="es-PE"/>
        </w:rPr>
        <w:t xml:space="preserve"> </w:t>
      </w:r>
    </w:p>
    <w:p w:rsidRPr="005C6AB8" w:rsidR="005C6AB8" w:rsidP="005C6AB8" w:rsidRDefault="005C6AB8" w14:paraId="0066566F" w14:textId="77777777">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sz w:val="24"/>
          <w:szCs w:val="24"/>
          <w:lang w:val="es-PE"/>
        </w:rPr>
        <w:t>Que, atendiendo a lo expuesto, esta Defensoría resuelve finalmente lo siguiente:</w:t>
      </w:r>
    </w:p>
    <w:p w:rsidRPr="005C6AB8" w:rsidR="005C6AB8" w:rsidP="005C6AB8" w:rsidRDefault="005C6AB8" w14:paraId="710E9585" w14:textId="77777777">
      <w:pPr>
        <w:spacing w:after="0" w:line="240" w:lineRule="auto"/>
        <w:jc w:val="both"/>
        <w:rPr>
          <w:rFonts w:ascii="Times New Roman" w:hAnsi="Times New Roman" w:cs="Times New Roman"/>
          <w:b/>
          <w:sz w:val="24"/>
          <w:szCs w:val="24"/>
          <w:lang w:val="es-PE"/>
        </w:rPr>
      </w:pPr>
    </w:p>
    <w:p w:rsidRPr="005C6AB8" w:rsidR="005C6AB8" w:rsidP="005C6AB8" w:rsidRDefault="005C6AB8" w14:paraId="578B0E2C" w14:textId="77777777">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b/>
          <w:sz w:val="24"/>
          <w:szCs w:val="24"/>
          <w:lang w:val="es-PE"/>
        </w:rPr>
        <w:t>PRIMERO:</w:t>
      </w:r>
      <w:r w:rsidRPr="005C6AB8">
        <w:rPr>
          <w:rFonts w:ascii="Times New Roman" w:hAnsi="Times New Roman" w:cs="Times New Roman"/>
          <w:sz w:val="24"/>
          <w:szCs w:val="24"/>
          <w:lang w:val="es-PE"/>
        </w:rPr>
        <w:t xml:space="preserve"> Que el artículo 10 (Procedimiento) del Reglamento de la DEFASEG (</w:t>
      </w:r>
      <w:hyperlink w:history="1" r:id="rId8">
        <w:r w:rsidRPr="005C6AB8">
          <w:rPr>
            <w:rStyle w:val="Hipervnculo"/>
            <w:rFonts w:ascii="Times New Roman" w:hAnsi="Times New Roman" w:cs="Times New Roman"/>
            <w:sz w:val="24"/>
            <w:szCs w:val="24"/>
            <w:lang w:val="es-PE"/>
          </w:rPr>
          <w:t>http://www.defaseg.com.pe/reglamento</w:t>
        </w:r>
      </w:hyperlink>
      <w:r w:rsidRPr="005C6AB8">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rsidRPr="005C6AB8" w:rsidR="005C6AB8" w:rsidP="005C6AB8" w:rsidRDefault="005C6AB8" w14:paraId="0CAB83C8" w14:textId="77777777">
      <w:pPr>
        <w:spacing w:after="0" w:line="240" w:lineRule="auto"/>
        <w:jc w:val="both"/>
        <w:rPr>
          <w:rFonts w:ascii="Times New Roman" w:hAnsi="Times New Roman" w:cs="Times New Roman"/>
          <w:b/>
          <w:sz w:val="24"/>
          <w:szCs w:val="24"/>
          <w:lang w:val="es-PE"/>
        </w:rPr>
      </w:pPr>
    </w:p>
    <w:p w:rsidRPr="005C6AB8" w:rsidR="005C6AB8" w:rsidP="005C6AB8" w:rsidRDefault="005C6AB8" w14:paraId="2AEB424F" w14:textId="77777777">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b/>
          <w:sz w:val="24"/>
          <w:szCs w:val="24"/>
          <w:lang w:val="es-PE"/>
        </w:rPr>
        <w:t>SEGUNDO:</w:t>
      </w:r>
      <w:r w:rsidRPr="005C6AB8">
        <w:rPr>
          <w:rFonts w:ascii="Times New Roman" w:hAnsi="Times New Roman" w:cs="Times New Roman"/>
          <w:sz w:val="24"/>
          <w:szCs w:val="24"/>
          <w:lang w:val="es-PE"/>
        </w:rPr>
        <w:t xml:space="preserve"> Que, de la lectura del recurso de vistos se aprecia que la asegurada impugna lo resuelto por la DEFASEG manifestando su disconformidad. A juicio de este colegiado, el recurso impugnativo interpuesto puede ser categorizado, por su contenido mismo, como una solicitud de revisión general, sustentado en el muy respetable criterio de la reclamante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w:t>
      </w:r>
    </w:p>
    <w:p w:rsidRPr="005C6AB8" w:rsidR="005C6AB8" w:rsidP="005C6AB8" w:rsidRDefault="005C6AB8" w14:paraId="1E5BA273" w14:textId="77777777">
      <w:pPr>
        <w:spacing w:after="0" w:line="240" w:lineRule="auto"/>
        <w:jc w:val="both"/>
        <w:rPr>
          <w:rFonts w:ascii="Times New Roman" w:hAnsi="Times New Roman" w:cs="Times New Roman"/>
          <w:sz w:val="24"/>
          <w:szCs w:val="24"/>
          <w:lang w:val="es-PE"/>
        </w:rPr>
      </w:pPr>
    </w:p>
    <w:p w:rsidRPr="005C6AB8" w:rsidR="005C6AB8" w:rsidP="005C6AB8" w:rsidRDefault="005C6AB8" w14:paraId="3C73CFC6" w14:textId="76D62543">
      <w:pPr>
        <w:spacing w:after="0" w:line="240" w:lineRule="auto"/>
        <w:jc w:val="both"/>
        <w:rPr>
          <w:rFonts w:ascii="Times New Roman" w:hAnsi="Times New Roman" w:cs="Times New Roman"/>
          <w:sz w:val="24"/>
          <w:szCs w:val="24"/>
          <w:lang w:val="es-PE"/>
        </w:rPr>
      </w:pPr>
      <w:r>
        <w:rPr>
          <w:rFonts w:ascii="Times New Roman" w:hAnsi="Times New Roman"/>
          <w:sz w:val="24"/>
        </w:rPr>
        <w:t xml:space="preserve">TERCERO: Que, sin perjuicio de lo señalado, debemos precisar que resulta cierto que mediante escrito de absolución del 11 de mayo de 2023 la asegurada manifestó que “el saldo que la reclamante adeuda en la ............................................ es de S/. 206,470.20, siendo que hasta la fecha se han cancelado 38 cuotas de las 180 contratadas”. No obstante, no existe sustento o medio probatorio alguno que acredite tal afirmación; de hecho, ni siquiera informa a cuánto asciende el saldo del crédito luego de los pagos alegados. Por ello, no resulta posible evaluar tal argumento, el mismo que no puede enervar las conclusiones de la Resolución Impugnada. </w:t>
      </w:r>
    </w:p>
    <w:p w:rsidRPr="005C6AB8" w:rsidR="005C6AB8" w:rsidP="005C6AB8" w:rsidRDefault="005C6AB8" w14:paraId="41F6A909" w14:textId="77777777">
      <w:pPr>
        <w:spacing w:after="0" w:line="240" w:lineRule="auto"/>
        <w:jc w:val="both"/>
        <w:rPr>
          <w:rFonts w:ascii="Times New Roman" w:hAnsi="Times New Roman" w:cs="Times New Roman"/>
          <w:sz w:val="24"/>
          <w:szCs w:val="24"/>
          <w:lang w:val="es-PE"/>
        </w:rPr>
      </w:pPr>
    </w:p>
    <w:p w:rsidRPr="005C6AB8" w:rsidR="005C6AB8" w:rsidP="005C6AB8" w:rsidRDefault="005C6AB8" w14:paraId="2EBF8A66" w14:textId="77777777">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b/>
          <w:sz w:val="24"/>
          <w:szCs w:val="24"/>
          <w:lang w:val="es-PE"/>
        </w:rPr>
        <w:t>CUARTO:</w:t>
      </w:r>
      <w:r w:rsidRPr="005C6AB8">
        <w:rPr>
          <w:rFonts w:ascii="Times New Roman" w:hAnsi="Times New Roman" w:cs="Times New Roman"/>
          <w:sz w:val="24"/>
          <w:szCs w:val="24"/>
          <w:lang w:val="es-PE"/>
        </w:rPr>
        <w:t xml:space="preserve"> Que, asimismo, debemos tener en cuenta que el cuestionamiento realizado por la asegurada con ocasión de su reclamo fue el siguiente:</w:t>
      </w:r>
    </w:p>
    <w:p w:rsidRPr="005C6AB8" w:rsidR="005C6AB8" w:rsidP="1388FB91" w:rsidRDefault="005C6AB8" w14:paraId="321DF4DE" w14:textId="0614F4C6">
      <w:pPr>
        <w:pStyle w:val="Normal"/>
        <w:spacing w:after="0" w:line="240" w:lineRule="auto"/>
        <w:jc w:val="both"/>
        <w:rPr>
          <w:rFonts w:ascii="Times New Roman" w:hAnsi="Times New Roman" w:cs="Times New Roman"/>
          <w:sz w:val="24"/>
          <w:szCs w:val="24"/>
          <w:lang w:val="es-PE"/>
        </w:rPr>
      </w:pPr>
      <w:r w:rsidRPr="1388FB91" w:rsidR="121F9D24">
        <w:rPr>
          <w:rFonts w:ascii="Times New Roman" w:hAnsi="Times New Roman" w:cs="Times New Roman"/>
          <w:sz w:val="24"/>
          <w:szCs w:val="24"/>
          <w:lang w:val="es-PE"/>
        </w:rPr>
        <w:t>....................................................................................................................................................</w:t>
      </w:r>
    </w:p>
    <w:p w:rsidRPr="005C6AB8" w:rsidR="005C6AB8" w:rsidP="005C6AB8" w:rsidRDefault="005C6AB8" w14:paraId="4247BF0A" w14:textId="77777777">
      <w:pPr>
        <w:spacing w:after="0" w:line="240" w:lineRule="auto"/>
        <w:jc w:val="both"/>
        <w:rPr>
          <w:rFonts w:ascii="Times New Roman" w:hAnsi="Times New Roman" w:cs="Times New Roman"/>
          <w:sz w:val="24"/>
          <w:szCs w:val="24"/>
        </w:rPr>
      </w:pPr>
    </w:p>
    <w:p w:rsidRPr="005C6AB8" w:rsidR="005C6AB8" w:rsidP="005C6AB8" w:rsidRDefault="005C6AB8" w14:paraId="5578CD08" w14:textId="77777777">
      <w:pPr>
        <w:spacing w:after="0" w:line="240" w:lineRule="auto"/>
        <w:jc w:val="both"/>
        <w:rPr>
          <w:rFonts w:ascii="Times New Roman" w:hAnsi="Times New Roman" w:cs="Times New Roman"/>
          <w:sz w:val="24"/>
          <w:szCs w:val="24"/>
        </w:rPr>
      </w:pPr>
    </w:p>
    <w:p w:rsidRPr="005C6AB8" w:rsidR="005C6AB8" w:rsidP="005C6AB8" w:rsidRDefault="005C6AB8" w14:paraId="165E830D"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Como resulta evidente, el motivo del presente procedimiento es atender el reclamo de la asegurada, respecto de la activación de su cobertura. En ese sentido, resulta innegable que el presente procedimiento implica el reclamo respecto del procedimiento iniciado por la asegurada para obtener la aprobación de su cobertura. Por ello, resulta menester evaluar la cuantía que representa la activación de dicha cobertura; de este modo, como resultado de dicha evaluación, tal como se señaló en la Resolución Impugnada, se aprecia que dicha cuantía supera lo que resulta competencia del presente Colegiado y, por lo tanto, es preciso que esta declare su incompetencia para conocer del presente caso.</w:t>
      </w:r>
    </w:p>
    <w:p w:rsidRPr="005C6AB8" w:rsidR="005C6AB8" w:rsidP="005C6AB8" w:rsidRDefault="005C6AB8" w14:paraId="42D646B7" w14:textId="77777777">
      <w:pPr>
        <w:spacing w:after="0" w:line="240" w:lineRule="auto"/>
        <w:jc w:val="both"/>
        <w:rPr>
          <w:rFonts w:ascii="Times New Roman" w:hAnsi="Times New Roman" w:cs="Times New Roman"/>
          <w:sz w:val="24"/>
          <w:szCs w:val="24"/>
          <w:lang w:val="es-PE"/>
        </w:rPr>
      </w:pPr>
    </w:p>
    <w:p w:rsidRPr="005C6AB8" w:rsidR="005C6AB8" w:rsidP="005C6AB8" w:rsidRDefault="005C6AB8" w14:paraId="3163AEC7" w14:textId="77777777">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b/>
          <w:sz w:val="24"/>
          <w:szCs w:val="24"/>
          <w:lang w:val="es-PE"/>
        </w:rPr>
        <w:t>QUINTO:</w:t>
      </w:r>
      <w:r w:rsidRPr="005C6AB8">
        <w:rPr>
          <w:rFonts w:ascii="Times New Roman" w:hAnsi="Times New Roman" w:cs="Times New Roman"/>
          <w:sz w:val="24"/>
          <w:szCs w:val="24"/>
          <w:lang w:val="es-PE"/>
        </w:rPr>
        <w:t xml:space="preserve"> Que, además, debemos precisar que el reglamento de DEFASEG dispone lo siguiente:</w:t>
      </w:r>
    </w:p>
    <w:p w:rsidRPr="005C6AB8" w:rsidR="005C6AB8" w:rsidP="005C6AB8" w:rsidRDefault="005C6AB8" w14:paraId="5834C908" w14:textId="77777777">
      <w:pPr>
        <w:spacing w:after="0" w:line="240" w:lineRule="auto"/>
        <w:jc w:val="both"/>
        <w:rPr>
          <w:rFonts w:ascii="Times New Roman" w:hAnsi="Times New Roman" w:cs="Times New Roman"/>
          <w:sz w:val="24"/>
          <w:szCs w:val="24"/>
          <w:lang w:val="es-PE"/>
        </w:rPr>
      </w:pPr>
    </w:p>
    <w:p w:rsidRPr="005C6AB8" w:rsidR="005C6AB8" w:rsidP="005C6AB8" w:rsidRDefault="005C6AB8" w14:paraId="7C110F58" w14:textId="77777777">
      <w:pPr>
        <w:spacing w:after="0" w:line="240" w:lineRule="auto"/>
        <w:ind w:left="1418"/>
        <w:jc w:val="both"/>
        <w:rPr>
          <w:rFonts w:ascii="Times New Roman" w:hAnsi="Times New Roman" w:cs="Times New Roman"/>
          <w:sz w:val="24"/>
          <w:szCs w:val="24"/>
          <w:lang w:val="es-PE"/>
        </w:rPr>
      </w:pPr>
      <w:r w:rsidRPr="005C6AB8">
        <w:rPr>
          <w:rFonts w:ascii="Times New Roman" w:hAnsi="Times New Roman" w:cs="Times New Roman"/>
          <w:sz w:val="24"/>
          <w:szCs w:val="24"/>
          <w:lang w:val="es-PE"/>
        </w:rPr>
        <w:t>“La Defensoría conoce los reclamos que plantean los usuarios de seguros, ello siempre y cuando cumplan con los siguientes requisitos de admisibilidad de manera concurrente:</w:t>
      </w:r>
    </w:p>
    <w:p w:rsidRPr="005C6AB8" w:rsidR="005C6AB8" w:rsidP="005C6AB8" w:rsidRDefault="005C6AB8" w14:paraId="3586A233" w14:textId="77777777">
      <w:pPr>
        <w:numPr>
          <w:ilvl w:val="0"/>
          <w:numId w:val="9"/>
        </w:numPr>
        <w:spacing w:after="0" w:line="240" w:lineRule="auto"/>
        <w:ind w:left="1418" w:firstLine="0"/>
        <w:jc w:val="both"/>
        <w:rPr>
          <w:rFonts w:ascii="Times New Roman" w:hAnsi="Times New Roman" w:cs="Times New Roman"/>
          <w:sz w:val="24"/>
          <w:szCs w:val="24"/>
          <w:lang w:val="es-PE"/>
        </w:rPr>
      </w:pPr>
      <w:r>
        <w:rPr>
          <w:rFonts w:ascii="Times New Roman" w:hAnsi="Times New Roman"/>
          <w:sz w:val="24"/>
        </w:rPr>
        <w:t xml:space="preserve">El reclamo debe estar referido a un rechazo o liquidación de siniestro por parte de una empresa …………………,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w:t>
      </w:r>
    </w:p>
    <w:p w:rsidRPr="005C6AB8" w:rsidR="005C6AB8" w:rsidP="005C6AB8" w:rsidRDefault="005C6AB8" w14:paraId="0909427E" w14:textId="77777777">
      <w:pPr>
        <w:spacing w:after="0" w:line="240" w:lineRule="auto"/>
        <w:ind w:left="1418"/>
        <w:jc w:val="both"/>
        <w:rPr>
          <w:rFonts w:ascii="Times New Roman" w:hAnsi="Times New Roman" w:cs="Times New Roman"/>
          <w:sz w:val="24"/>
          <w:szCs w:val="24"/>
          <w:lang w:val="es-PE"/>
        </w:rPr>
      </w:pPr>
      <w:r w:rsidRPr="005C6AB8">
        <w:rPr>
          <w:rFonts w:ascii="Times New Roman" w:hAnsi="Times New Roman" w:cs="Times New Roman"/>
          <w:b/>
          <w:bCs/>
          <w:sz w:val="24"/>
          <w:szCs w:val="24"/>
          <w:lang w:val="es-PE"/>
        </w:rPr>
        <w:t xml:space="preserve">Cualquier reclamo que no se encuentre comprendido en el párrafo anterior, </w:t>
      </w:r>
      <w:proofErr w:type="gramStart"/>
      <w:r w:rsidRPr="005C6AB8">
        <w:rPr>
          <w:rFonts w:ascii="Times New Roman" w:hAnsi="Times New Roman" w:cs="Times New Roman"/>
          <w:b/>
          <w:bCs/>
          <w:sz w:val="24"/>
          <w:szCs w:val="24"/>
          <w:lang w:val="es-PE"/>
        </w:rPr>
        <w:t>como</w:t>
      </w:r>
      <w:proofErr w:type="gramEnd"/>
      <w:r w:rsidRPr="005C6AB8">
        <w:rPr>
          <w:rFonts w:ascii="Times New Roman" w:hAnsi="Times New Roman" w:cs="Times New Roman"/>
          <w:b/>
          <w:bCs/>
          <w:sz w:val="24"/>
          <w:szCs w:val="24"/>
          <w:lang w:val="es-PE"/>
        </w:rPr>
        <w:t xml:space="preserve"> por ejemplo</w:t>
      </w:r>
      <w:r w:rsidRPr="005C6AB8">
        <w:rPr>
          <w:rFonts w:ascii="Times New Roman" w:hAnsi="Times New Roman" w:cs="Times New Roman"/>
          <w:sz w:val="24"/>
          <w:szCs w:val="24"/>
          <w:lang w:val="es-PE"/>
        </w:rPr>
        <w:t xml:space="preserve">: pretensiones indemnizatorias por daños y perjuicios, por reembolso de gastos, o idoneidad de servicios, entre otros, </w:t>
      </w:r>
      <w:r w:rsidRPr="005C6AB8">
        <w:rPr>
          <w:rFonts w:ascii="Times New Roman" w:hAnsi="Times New Roman" w:cs="Times New Roman"/>
          <w:b/>
          <w:bCs/>
          <w:sz w:val="24"/>
          <w:szCs w:val="24"/>
          <w:lang w:val="es-PE"/>
        </w:rPr>
        <w:t>son ajenos a la competencia funcional de esta Defensoría.</w:t>
      </w:r>
    </w:p>
    <w:p w:rsidRPr="005C6AB8" w:rsidR="005C6AB8" w:rsidP="005C6AB8" w:rsidRDefault="005C6AB8" w14:paraId="43488595" w14:textId="77777777">
      <w:pPr>
        <w:spacing w:after="0" w:line="240" w:lineRule="auto"/>
        <w:ind w:left="1418"/>
        <w:jc w:val="both"/>
        <w:rPr>
          <w:rFonts w:ascii="Times New Roman" w:hAnsi="Times New Roman" w:cs="Times New Roman"/>
          <w:sz w:val="24"/>
          <w:szCs w:val="24"/>
          <w:lang w:val="es-PE"/>
        </w:rPr>
      </w:pPr>
      <w:r w:rsidRPr="005C6AB8">
        <w:rPr>
          <w:rFonts w:ascii="Times New Roman" w:hAnsi="Times New Roman" w:cs="Times New Roman"/>
          <w:sz w:val="24"/>
          <w:szCs w:val="24"/>
          <w:lang w:val="es-PE"/>
        </w:rPr>
        <w:t>(…)”</w:t>
      </w:r>
    </w:p>
    <w:p w:rsidRPr="005C6AB8" w:rsidR="005C6AB8" w:rsidP="005C6AB8" w:rsidRDefault="005C6AB8" w14:paraId="50398C9B" w14:textId="77777777">
      <w:pPr>
        <w:spacing w:after="0" w:line="240" w:lineRule="auto"/>
        <w:ind w:left="1418"/>
        <w:jc w:val="right"/>
        <w:rPr>
          <w:rFonts w:ascii="Times New Roman" w:hAnsi="Times New Roman" w:cs="Times New Roman"/>
          <w:sz w:val="24"/>
          <w:szCs w:val="24"/>
          <w:lang w:val="es-PE"/>
        </w:rPr>
      </w:pPr>
      <w:r w:rsidRPr="005C6AB8">
        <w:rPr>
          <w:rFonts w:ascii="Times New Roman" w:hAnsi="Times New Roman" w:cs="Times New Roman"/>
          <w:sz w:val="24"/>
          <w:szCs w:val="24"/>
          <w:lang w:val="es-PE"/>
        </w:rPr>
        <w:t>[resaltado en negritas de nuestra autoría]</w:t>
      </w:r>
    </w:p>
    <w:p w:rsidRPr="005C6AB8" w:rsidR="005C6AB8" w:rsidP="005C6AB8" w:rsidRDefault="005C6AB8" w14:paraId="4AD3EA3A" w14:textId="77777777">
      <w:pPr>
        <w:spacing w:after="0" w:line="240" w:lineRule="auto"/>
        <w:jc w:val="both"/>
        <w:rPr>
          <w:rFonts w:ascii="Times New Roman" w:hAnsi="Times New Roman" w:cs="Times New Roman"/>
          <w:sz w:val="24"/>
          <w:szCs w:val="24"/>
          <w:lang w:val="es-PE"/>
        </w:rPr>
      </w:pPr>
    </w:p>
    <w:p w:rsidRPr="005C6AB8" w:rsidR="005C6AB8" w:rsidP="005C6AB8" w:rsidRDefault="005C6AB8" w14:paraId="3ECD9DB2" w14:textId="77777777">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sz w:val="24"/>
          <w:szCs w:val="24"/>
          <w:lang w:val="es-PE"/>
        </w:rPr>
        <w:t>Como resulta evidente, para que DEFASEG cuente con competencia para conocer de un caso, este debe haber provenido de un rechazo o liquidación de siniestro. De lo contrario, no será posible atender dicho caso por no encontrarse dentro de las competencias de DEFASEG.</w:t>
      </w:r>
    </w:p>
    <w:p w:rsidRPr="005C6AB8" w:rsidR="005C6AB8" w:rsidP="005C6AB8" w:rsidRDefault="005C6AB8" w14:paraId="71277B58" w14:textId="77777777">
      <w:pPr>
        <w:spacing w:after="0" w:line="240" w:lineRule="auto"/>
        <w:jc w:val="both"/>
        <w:rPr>
          <w:rFonts w:ascii="Times New Roman" w:hAnsi="Times New Roman" w:cs="Times New Roman"/>
          <w:sz w:val="24"/>
          <w:szCs w:val="24"/>
          <w:lang w:val="es-PE"/>
        </w:rPr>
      </w:pPr>
    </w:p>
    <w:p w:rsidRPr="005C6AB8" w:rsidR="005C6AB8" w:rsidP="005C6AB8" w:rsidRDefault="005C6AB8" w14:paraId="12B3DC54" w14:textId="77777777">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sz w:val="24"/>
          <w:szCs w:val="24"/>
          <w:lang w:val="es-PE"/>
        </w:rPr>
        <w:t xml:space="preserve">En ese sentido, en el negado caso de que el presente procedimiento tenga como objetivo ordenar a la aseguradora que realice las evaluaciones médicas requeridas, DEFASEG tampoco podría declararse competente para ello, toda vez que dicho reclamo no referiría a la discusión respecto del rechazo o liquidación de un siniestro, sino que respondería a una finalidad distinta. De este modo, resulta claro que el presente Colegiado resulta incompetente para conocer el presente caso. </w:t>
      </w:r>
    </w:p>
    <w:p w:rsidRPr="005C6AB8" w:rsidR="005C6AB8" w:rsidP="005C6AB8" w:rsidRDefault="005C6AB8" w14:paraId="191831A6" w14:textId="77777777">
      <w:pPr>
        <w:spacing w:after="0" w:line="240" w:lineRule="auto"/>
        <w:jc w:val="both"/>
        <w:rPr>
          <w:rFonts w:ascii="Times New Roman" w:hAnsi="Times New Roman" w:cs="Times New Roman"/>
          <w:sz w:val="24"/>
          <w:szCs w:val="24"/>
          <w:lang w:val="es-PE"/>
        </w:rPr>
      </w:pPr>
    </w:p>
    <w:p w:rsidRPr="005C6AB8" w:rsidR="005C6AB8" w:rsidP="005C6AB8" w:rsidRDefault="005C6AB8" w14:paraId="50356A72" w14:textId="77777777">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sz w:val="24"/>
          <w:szCs w:val="24"/>
          <w:lang w:val="es-PE"/>
        </w:rPr>
        <w:t>Que, por consiguiente, este Colegiado reitera su análisis contenido en la resolución recurrida.</w:t>
      </w:r>
    </w:p>
    <w:p w:rsidRPr="005C6AB8" w:rsidR="005C6AB8" w:rsidP="005C6AB8" w:rsidRDefault="005C6AB8" w14:paraId="2C4179A6" w14:textId="77777777">
      <w:pPr>
        <w:spacing w:after="0" w:line="240" w:lineRule="auto"/>
        <w:jc w:val="both"/>
        <w:rPr>
          <w:rFonts w:ascii="Times New Roman" w:hAnsi="Times New Roman" w:cs="Times New Roman"/>
          <w:sz w:val="24"/>
          <w:szCs w:val="24"/>
          <w:lang w:val="es-PE"/>
        </w:rPr>
      </w:pPr>
    </w:p>
    <w:p w:rsidRPr="005C6AB8" w:rsidR="005C6AB8" w:rsidP="005C6AB8" w:rsidRDefault="005C6AB8" w14:paraId="66E48DCC" w14:textId="663565E2">
      <w:pPr>
        <w:spacing w:after="0" w:line="240" w:lineRule="auto"/>
        <w:jc w:val="both"/>
        <w:rPr>
          <w:rFonts w:ascii="Times New Roman" w:hAnsi="Times New Roman" w:cs="Times New Roman"/>
          <w:sz w:val="24"/>
          <w:szCs w:val="24"/>
          <w:lang w:val="es-PE"/>
        </w:rPr>
      </w:pPr>
      <w:r w:rsidRPr="005C6AB8">
        <w:rPr>
          <w:rFonts w:ascii="Times New Roman" w:hAnsi="Times New Roman" w:cs="Times New Roman"/>
          <w:sz w:val="24"/>
          <w:szCs w:val="24"/>
          <w:lang w:val="es-PE"/>
        </w:rPr>
        <w:t>Que, en atención a las consideraciones precedentes, este</w:t>
      </w:r>
      <w:r>
        <w:rPr>
          <w:rFonts w:ascii="Times New Roman" w:hAnsi="Times New Roman" w:cs="Times New Roman"/>
          <w:sz w:val="24"/>
          <w:szCs w:val="24"/>
          <w:lang w:val="es-PE"/>
        </w:rPr>
        <w:t xml:space="preserve"> </w:t>
      </w:r>
      <w:r w:rsidRPr="005C6AB8">
        <w:rPr>
          <w:rFonts w:ascii="Times New Roman" w:hAnsi="Times New Roman" w:cs="Times New Roman"/>
          <w:sz w:val="24"/>
          <w:szCs w:val="24"/>
          <w:lang w:val="es-PE"/>
        </w:rPr>
        <w:t>Colegiado no aprecia mérito ni razón objetiva para revocar la resolución recurrida y, por lo tanto;</w:t>
      </w:r>
    </w:p>
    <w:p w:rsidRPr="005C6AB8" w:rsidR="005C6AB8" w:rsidP="005C6AB8" w:rsidRDefault="005C6AB8" w14:paraId="6920C9A9" w14:textId="77777777">
      <w:pPr>
        <w:spacing w:after="0" w:line="240" w:lineRule="auto"/>
        <w:jc w:val="both"/>
        <w:rPr>
          <w:rFonts w:ascii="Times New Roman" w:hAnsi="Times New Roman" w:cs="Times New Roman"/>
          <w:b/>
          <w:sz w:val="24"/>
          <w:szCs w:val="24"/>
          <w:lang w:val="es-PE"/>
        </w:rPr>
      </w:pPr>
    </w:p>
    <w:p w:rsidR="005C6AB8" w:rsidP="005C6AB8" w:rsidRDefault="005C6AB8" w14:paraId="680FE1AC" w14:textId="77777777">
      <w:pPr>
        <w:spacing w:after="0" w:line="240" w:lineRule="auto"/>
        <w:jc w:val="both"/>
        <w:rPr>
          <w:rFonts w:ascii="Times New Roman" w:hAnsi="Times New Roman" w:cs="Times New Roman"/>
          <w:b/>
          <w:sz w:val="24"/>
          <w:szCs w:val="24"/>
          <w:lang w:val="es-PE"/>
        </w:rPr>
      </w:pPr>
    </w:p>
    <w:p w:rsidRPr="005C6AB8" w:rsidR="005C6AB8" w:rsidP="005C6AB8" w:rsidRDefault="005C6AB8" w14:paraId="29E55095" w14:textId="11543F5F">
      <w:pPr>
        <w:spacing w:after="0" w:line="240" w:lineRule="auto"/>
        <w:jc w:val="both"/>
        <w:rPr>
          <w:rFonts w:ascii="Times New Roman" w:hAnsi="Times New Roman" w:cs="Times New Roman"/>
          <w:b/>
          <w:sz w:val="24"/>
          <w:szCs w:val="24"/>
          <w:lang w:val="es-PE"/>
        </w:rPr>
      </w:pPr>
      <w:r w:rsidRPr="005C6AB8">
        <w:rPr>
          <w:rFonts w:ascii="Times New Roman" w:hAnsi="Times New Roman" w:cs="Times New Roman"/>
          <w:b/>
          <w:sz w:val="24"/>
          <w:szCs w:val="24"/>
          <w:lang w:val="es-PE"/>
        </w:rPr>
        <w:lastRenderedPageBreak/>
        <w:t xml:space="preserve">RESUELVE: </w:t>
      </w:r>
    </w:p>
    <w:p w:rsidRPr="005C6AB8" w:rsidR="005C6AB8" w:rsidP="005C6AB8" w:rsidRDefault="005C6AB8" w14:paraId="5D512517" w14:textId="77777777">
      <w:pPr>
        <w:spacing w:after="0" w:line="240" w:lineRule="auto"/>
        <w:jc w:val="both"/>
        <w:rPr>
          <w:rFonts w:ascii="Times New Roman" w:hAnsi="Times New Roman" w:cs="Times New Roman"/>
          <w:sz w:val="24"/>
          <w:szCs w:val="24"/>
          <w:lang w:val="es-PE"/>
        </w:rPr>
      </w:pPr>
    </w:p>
    <w:p w:rsidRPr="005C6AB8" w:rsidR="005C6AB8" w:rsidP="005C6AB8" w:rsidRDefault="005C6AB8" w14:paraId="0D08CFB5" w14:textId="287209F6">
      <w:pPr>
        <w:spacing w:after="0" w:line="240" w:lineRule="auto"/>
        <w:jc w:val="both"/>
        <w:rPr>
          <w:rFonts w:ascii="Times New Roman" w:hAnsi="Times New Roman" w:cs="Times New Roman"/>
          <w:sz w:val="24"/>
          <w:szCs w:val="24"/>
          <w:lang w:val="es-PE"/>
        </w:rPr>
      </w:pPr>
      <w:r w:rsidRPr="1388FB91" w:rsidR="005C6AB8">
        <w:rPr>
          <w:rFonts w:ascii="Times New Roman" w:hAnsi="Times New Roman" w:cs="Times New Roman"/>
          <w:sz w:val="24"/>
          <w:szCs w:val="24"/>
          <w:lang w:val="es-PE"/>
        </w:rPr>
        <w:t xml:space="preserve">Declarar </w:t>
      </w:r>
      <w:r w:rsidRPr="1388FB91" w:rsidR="005C6AB8">
        <w:rPr>
          <w:rFonts w:ascii="Times New Roman" w:hAnsi="Times New Roman" w:cs="Times New Roman"/>
          <w:b w:val="1"/>
          <w:bCs w:val="1"/>
          <w:sz w:val="24"/>
          <w:szCs w:val="24"/>
          <w:lang w:val="es-PE"/>
        </w:rPr>
        <w:t>INFUNDADO</w:t>
      </w:r>
      <w:r w:rsidRPr="1388FB91" w:rsidR="005C6AB8">
        <w:rPr>
          <w:rFonts w:ascii="Times New Roman" w:hAnsi="Times New Roman" w:cs="Times New Roman"/>
          <w:sz w:val="24"/>
          <w:szCs w:val="24"/>
          <w:lang w:val="es-PE"/>
        </w:rPr>
        <w:t xml:space="preserve"> el Recurso Impugnativo interpuesto y, por consiguiente, ratificar la Resolución </w:t>
      </w:r>
      <w:r w:rsidRPr="1388FB91" w:rsidR="005C6AB8">
        <w:rPr>
          <w:rFonts w:ascii="Times New Roman" w:hAnsi="Times New Roman" w:cs="Times New Roman"/>
          <w:sz w:val="24"/>
          <w:szCs w:val="24"/>
          <w:lang w:val="es-PE"/>
        </w:rPr>
        <w:t>N°</w:t>
      </w:r>
      <w:r w:rsidRPr="1388FB91" w:rsidR="005C6AB8">
        <w:rPr>
          <w:rFonts w:ascii="Times New Roman" w:hAnsi="Times New Roman" w:cs="Times New Roman"/>
          <w:sz w:val="24"/>
          <w:szCs w:val="24"/>
          <w:lang w:val="es-PE"/>
        </w:rPr>
        <w:t xml:space="preserve"> 089/23 que declaró</w:t>
      </w:r>
      <w:r w:rsidRPr="1388FB91" w:rsidR="005C6AB8">
        <w:rPr>
          <w:rFonts w:ascii="Times New Roman" w:hAnsi="Times New Roman" w:cs="Times New Roman"/>
          <w:b w:val="1"/>
          <w:bCs w:val="1"/>
          <w:sz w:val="24"/>
          <w:szCs w:val="24"/>
          <w:lang w:val="es-PE"/>
        </w:rPr>
        <w:t xml:space="preserve"> IMPROCEDENTE </w:t>
      </w:r>
      <w:r w:rsidRPr="1388FB91" w:rsidR="005C6AB8">
        <w:rPr>
          <w:rFonts w:ascii="Times New Roman" w:hAnsi="Times New Roman" w:cs="Times New Roman"/>
          <w:sz w:val="24"/>
          <w:szCs w:val="24"/>
          <w:lang w:val="es-PE"/>
        </w:rPr>
        <w:t>la reclamación interpuesta</w:t>
      </w:r>
      <w:r w:rsidRPr="1388FB91" w:rsidR="005C6AB8">
        <w:rPr>
          <w:rFonts w:ascii="Times New Roman" w:hAnsi="Times New Roman" w:cs="Times New Roman"/>
          <w:b w:val="1"/>
          <w:bCs w:val="1"/>
          <w:sz w:val="24"/>
          <w:szCs w:val="24"/>
          <w:lang w:val="es-PE"/>
        </w:rPr>
        <w:t xml:space="preserve"> </w:t>
      </w:r>
      <w:r w:rsidRPr="1388FB91" w:rsidR="005C6AB8">
        <w:rPr>
          <w:rFonts w:ascii="Times New Roman" w:hAnsi="Times New Roman" w:cs="Times New Roman"/>
          <w:sz w:val="24"/>
          <w:szCs w:val="24"/>
          <w:lang w:val="es-PE"/>
        </w:rPr>
        <w:t>contra</w:t>
      </w:r>
      <w:r w:rsidRPr="1388FB91" w:rsidR="005C6AB8">
        <w:rPr>
          <w:rFonts w:ascii="Times New Roman" w:hAnsi="Times New Roman" w:cs="Times New Roman"/>
          <w:b w:val="1"/>
          <w:bCs w:val="1"/>
          <w:sz w:val="24"/>
          <w:szCs w:val="24"/>
          <w:lang w:val="es-PE"/>
        </w:rPr>
        <w:t xml:space="preserve"> LA </w:t>
      </w:r>
      <w:r w:rsidRPr="1388FB91" w:rsidR="1147A877">
        <w:rPr>
          <w:rFonts w:ascii="Times New Roman" w:hAnsi="Times New Roman" w:cs="Times New Roman"/>
          <w:b w:val="1"/>
          <w:bCs w:val="1"/>
          <w:sz w:val="24"/>
          <w:szCs w:val="24"/>
          <w:lang w:val="es-PE"/>
        </w:rPr>
        <w:t>...................................................</w:t>
      </w:r>
      <w:r w:rsidRPr="1388FB91" w:rsidR="005C6AB8">
        <w:rPr>
          <w:rFonts w:ascii="Times New Roman" w:hAnsi="Times New Roman" w:cs="Times New Roman"/>
          <w:b w:val="1"/>
          <w:bCs w:val="1"/>
          <w:sz w:val="24"/>
          <w:szCs w:val="24"/>
          <w:lang w:val="es-PE"/>
        </w:rPr>
        <w:t xml:space="preserve">, </w:t>
      </w:r>
      <w:r w:rsidRPr="1388FB91" w:rsidR="005C6AB8">
        <w:rPr>
          <w:rFonts w:ascii="Times New Roman" w:hAnsi="Times New Roman" w:cs="Times New Roman"/>
          <w:sz w:val="24"/>
          <w:szCs w:val="24"/>
          <w:lang w:val="es-PE"/>
        </w:rPr>
        <w:t>dejando a salvo el derecho de esta de acudir a otras instancias que considere pertinente,</w:t>
      </w:r>
    </w:p>
    <w:p w:rsidRPr="005C6AB8" w:rsidR="006A2ADE" w:rsidP="00547F11" w:rsidRDefault="006A2ADE" w14:paraId="1ADAEBCF"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5C6AB8" w:rsidR="00231C58" w:rsidP="005A40A4" w:rsidRDefault="0091528B" w14:paraId="2B9BAAC8" w14:textId="2725FEDA">
      <w:pPr>
        <w:suppressAutoHyphens/>
        <w:spacing w:after="0" w:line="240" w:lineRule="auto"/>
        <w:jc w:val="right"/>
        <w:outlineLvl w:val="0"/>
        <w:rPr>
          <w:rFonts w:ascii="Times New Roman" w:hAnsi="Times New Roman" w:eastAsia="Arial Unicode MS" w:cs="Times New Roman"/>
          <w:sz w:val="24"/>
          <w:szCs w:val="24"/>
          <w:lang w:val="es-PE" w:eastAsia="ar-SA"/>
        </w:rPr>
      </w:pPr>
      <w:r w:rsidRPr="005C6AB8">
        <w:rPr>
          <w:rFonts w:ascii="Times New Roman" w:hAnsi="Times New Roman" w:eastAsia="Arial Unicode MS" w:cs="Times New Roman"/>
          <w:sz w:val="24"/>
          <w:szCs w:val="24"/>
          <w:lang w:val="es-PE" w:eastAsia="ar-SA"/>
        </w:rPr>
        <w:t xml:space="preserve">Lima, </w:t>
      </w:r>
      <w:r w:rsidRPr="005C6AB8" w:rsidR="00C51445">
        <w:rPr>
          <w:rFonts w:ascii="Times New Roman" w:hAnsi="Times New Roman" w:eastAsia="Arial Unicode MS" w:cs="Times New Roman"/>
          <w:sz w:val="24"/>
          <w:szCs w:val="24"/>
          <w:lang w:val="es-PE" w:eastAsia="ar-SA"/>
        </w:rPr>
        <w:t>14</w:t>
      </w:r>
      <w:r w:rsidRPr="005C6AB8" w:rsidR="002F478E">
        <w:rPr>
          <w:rFonts w:ascii="Times New Roman" w:hAnsi="Times New Roman" w:eastAsia="Arial Unicode MS" w:cs="Times New Roman"/>
          <w:sz w:val="24"/>
          <w:szCs w:val="24"/>
          <w:lang w:val="es-PE" w:eastAsia="ar-SA"/>
        </w:rPr>
        <w:t xml:space="preserve"> </w:t>
      </w:r>
      <w:r w:rsidRPr="005C6AB8" w:rsidR="00707C99">
        <w:rPr>
          <w:rFonts w:ascii="Times New Roman" w:hAnsi="Times New Roman" w:eastAsia="Arial Unicode MS" w:cs="Times New Roman"/>
          <w:sz w:val="24"/>
          <w:szCs w:val="24"/>
          <w:lang w:val="es-PE" w:eastAsia="ar-SA"/>
        </w:rPr>
        <w:t xml:space="preserve">de </w:t>
      </w:r>
      <w:r w:rsidRPr="005C6AB8" w:rsidR="002F478E">
        <w:rPr>
          <w:rFonts w:ascii="Times New Roman" w:hAnsi="Times New Roman" w:eastAsia="Arial Unicode MS" w:cs="Times New Roman"/>
          <w:sz w:val="24"/>
          <w:szCs w:val="24"/>
          <w:lang w:val="es-PE" w:eastAsia="ar-SA"/>
        </w:rPr>
        <w:t xml:space="preserve">junio </w:t>
      </w:r>
      <w:r w:rsidRPr="005C6AB8" w:rsidR="00F06498">
        <w:rPr>
          <w:rFonts w:ascii="Times New Roman" w:hAnsi="Times New Roman" w:eastAsia="Arial Unicode MS" w:cs="Times New Roman"/>
          <w:sz w:val="24"/>
          <w:szCs w:val="24"/>
          <w:lang w:val="es-PE" w:eastAsia="ar-SA"/>
        </w:rPr>
        <w:t>de 202</w:t>
      </w:r>
      <w:r w:rsidRPr="005C6AB8" w:rsidR="00B340D4">
        <w:rPr>
          <w:rFonts w:ascii="Times New Roman" w:hAnsi="Times New Roman" w:eastAsia="Arial Unicode MS" w:cs="Times New Roman"/>
          <w:sz w:val="24"/>
          <w:szCs w:val="24"/>
          <w:lang w:val="es-PE" w:eastAsia="ar-SA"/>
        </w:rPr>
        <w:t>3</w:t>
      </w:r>
      <w:r w:rsidRPr="005C6AB8" w:rsidR="00707C99">
        <w:rPr>
          <w:rFonts w:ascii="Times New Roman" w:hAnsi="Times New Roman" w:eastAsia="Times New Roman" w:cs="Times New Roman"/>
          <w:sz w:val="24"/>
          <w:szCs w:val="24"/>
          <w:lang w:val="es-PE" w:eastAsia="ar-SA"/>
        </w:rPr>
        <w:t xml:space="preserve"> </w:t>
      </w:r>
    </w:p>
    <w:p w:rsidRPr="005C6AB8"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5C6AB8"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5C6AB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E58A1"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AE58A1" w:rsidR="00A323F4" w:rsidP="00A323F4" w:rsidRDefault="00A323F4" w14:paraId="400E79EA" w14:textId="77777777">
      <w:pPr>
        <w:spacing w:after="0" w:line="360" w:lineRule="auto"/>
        <w:jc w:val="center"/>
        <w:rPr>
          <w:rFonts w:ascii="Times New Roman" w:hAnsi="Times New Roman" w:cs="Times New Roman"/>
          <w:b/>
          <w:bCs/>
          <w:sz w:val="24"/>
          <w:szCs w:val="24"/>
          <w:lang w:val="es-PE"/>
        </w:rPr>
      </w:pPr>
      <w:r w:rsidRPr="00AE58A1">
        <w:rPr>
          <w:rFonts w:ascii="Times New Roman" w:hAnsi="Times New Roman" w:cs="Times New Roman"/>
          <w:b/>
          <w:bCs/>
          <w:sz w:val="24"/>
          <w:szCs w:val="24"/>
          <w:lang w:val="es-PE"/>
        </w:rPr>
        <w:t xml:space="preserve">Omar Alfaro Villanueva – </w:t>
      </w:r>
      <w:proofErr w:type="gramStart"/>
      <w:r w:rsidRPr="00AE58A1">
        <w:rPr>
          <w:rFonts w:ascii="Times New Roman" w:hAnsi="Times New Roman" w:cs="Times New Roman"/>
          <w:b/>
          <w:bCs/>
          <w:sz w:val="24"/>
          <w:szCs w:val="24"/>
          <w:lang w:val="es-PE"/>
        </w:rPr>
        <w:t>Presidente</w:t>
      </w:r>
      <w:proofErr w:type="gramEnd"/>
    </w:p>
    <w:p w:rsidRPr="00AE58A1"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AE58A1">
        <w:rPr>
          <w:rFonts w:ascii="Times New Roman" w:hAnsi="Times New Roman" w:cs="Times New Roman"/>
          <w:b/>
          <w:bCs/>
          <w:sz w:val="24"/>
          <w:szCs w:val="24"/>
          <w:lang w:val="es-PE"/>
        </w:rPr>
        <w:t>María Eugenia Valdez Fernández Baca – Vocal</w:t>
      </w:r>
    </w:p>
    <w:p w:rsidRPr="00AE58A1"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AE58A1">
        <w:rPr>
          <w:rFonts w:ascii="Times New Roman" w:hAnsi="Times New Roman" w:cs="Times New Roman"/>
          <w:b/>
          <w:bCs/>
          <w:sz w:val="24"/>
          <w:szCs w:val="24"/>
          <w:lang w:val="es-PE"/>
        </w:rPr>
        <w:t xml:space="preserve">Rolando Eyzaguirre </w:t>
      </w:r>
      <w:proofErr w:type="spellStart"/>
      <w:r w:rsidRPr="00AE58A1">
        <w:rPr>
          <w:rFonts w:ascii="Times New Roman" w:hAnsi="Times New Roman" w:cs="Times New Roman"/>
          <w:b/>
          <w:bCs/>
          <w:sz w:val="24"/>
          <w:szCs w:val="24"/>
          <w:lang w:val="es-PE"/>
        </w:rPr>
        <w:t>Maccan</w:t>
      </w:r>
      <w:proofErr w:type="spellEnd"/>
      <w:r w:rsidRPr="00AE58A1">
        <w:rPr>
          <w:rFonts w:ascii="Times New Roman" w:hAnsi="Times New Roman" w:cs="Times New Roman"/>
          <w:b/>
          <w:bCs/>
          <w:sz w:val="24"/>
          <w:szCs w:val="24"/>
          <w:lang w:val="es-PE"/>
        </w:rPr>
        <w:t xml:space="preserve"> – Vocal</w:t>
      </w:r>
    </w:p>
    <w:p w:rsidRPr="00AE58A1"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AE58A1">
        <w:rPr>
          <w:rFonts w:ascii="Times New Roman" w:hAnsi="Times New Roman" w:cs="Times New Roman"/>
          <w:b/>
          <w:bCs/>
          <w:sz w:val="24"/>
          <w:szCs w:val="24"/>
          <w:lang w:val="es-PE"/>
        </w:rPr>
        <w:t>Gonzalo Abad del Busto – Vocal</w:t>
      </w:r>
    </w:p>
    <w:p w:rsidRPr="00AE58A1"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10"/>
      <w:footerReference w:type="default" r:id="rId11"/>
      <w:headerReference w:type="first" r:id="rId9"/>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3829" w:rsidP="00784355" w:rsidRDefault="00F33829" w14:paraId="18CD5DAC" w14:textId="77777777">
      <w:pPr>
        <w:spacing w:after="0" w:line="240" w:lineRule="auto"/>
      </w:pPr>
      <w:r>
        <w:separator/>
      </w:r>
    </w:p>
  </w:endnote>
  <w:endnote w:type="continuationSeparator" w:id="0">
    <w:p w:rsidR="00F33829" w:rsidP="00784355" w:rsidRDefault="00F33829" w14:paraId="27732FC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3829" w:rsidP="00784355" w:rsidRDefault="00F33829" w14:paraId="48302499" w14:textId="77777777">
      <w:pPr>
        <w:spacing w:after="0" w:line="240" w:lineRule="auto"/>
      </w:pPr>
      <w:r>
        <w:separator/>
      </w:r>
    </w:p>
  </w:footnote>
  <w:footnote w:type="continuationSeparator" w:id="0">
    <w:p w:rsidR="00F33829" w:rsidP="00784355" w:rsidRDefault="00F33829" w14:paraId="59C1BE8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7"/>
  </w:num>
  <w:num w:numId="3" w16cid:durableId="333261791">
    <w:abstractNumId w:val="5"/>
  </w:num>
  <w:num w:numId="4" w16cid:durableId="1770345525">
    <w:abstractNumId w:val="4"/>
  </w:num>
  <w:num w:numId="5" w16cid:durableId="1816144979">
    <w:abstractNumId w:val="6"/>
  </w:num>
  <w:num w:numId="6" w16cid:durableId="1304313350">
    <w:abstractNumId w:val="0"/>
  </w:num>
  <w:num w:numId="7" w16cid:durableId="16682880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1DF3"/>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1D39"/>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3D48"/>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3829"/>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07D13D35"/>
    <w:rsid w:val="1147A877"/>
    <w:rsid w:val="121F9D24"/>
    <w:rsid w:val="1388FB91"/>
    <w:rsid w:val="204C4482"/>
    <w:rsid w:val="5AC09FF1"/>
    <w:rsid w:val="601E9F3C"/>
    <w:rsid w:val="6BF97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D229000-30CE-4289-B429-6742638C91AD}"/>
</file>

<file path=customXml/itemProps3.xml><?xml version="1.0" encoding="utf-8"?>
<ds:datastoreItem xmlns:ds="http://schemas.openxmlformats.org/officeDocument/2006/customXml" ds:itemID="{AB12F255-6508-43E6-B269-28B84744667B}"/>
</file>

<file path=customXml/itemProps4.xml><?xml version="1.0" encoding="utf-8"?>
<ds:datastoreItem xmlns:ds="http://schemas.openxmlformats.org/officeDocument/2006/customXml" ds:itemID="{48593BCD-9922-4C13-8C70-A7C8B076F8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60</cp:revision>
  <cp:lastPrinted>2023-06-14T16:22:00Z</cp:lastPrinted>
  <dcterms:created xsi:type="dcterms:W3CDTF">2023-02-14T22:37:00Z</dcterms:created>
  <dcterms:modified xsi:type="dcterms:W3CDTF">2025-12-02T21:12:55Z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