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17805" w:rsidR="00707C99" w:rsidP="00272F4F" w:rsidRDefault="00201C0D" w14:paraId="19FE0E96" w14:textId="733F1F31">
      <w:pPr>
        <w:spacing w:after="0" w:line="240" w:lineRule="auto"/>
        <w:jc w:val="center"/>
        <w:rPr>
          <w:rFonts w:ascii="Times New Roman" w:hAnsi="Times New Roman" w:cs="Times New Roman"/>
          <w:b/>
          <w:sz w:val="24"/>
          <w:szCs w:val="24"/>
          <w:lang w:val="es-PE" w:eastAsia="ar-SA"/>
        </w:rPr>
      </w:pPr>
      <w:r w:rsidRPr="00317805">
        <w:rPr>
          <w:rFonts w:ascii="Times New Roman" w:hAnsi="Times New Roman" w:cs="Times New Roman"/>
          <w:b/>
          <w:sz w:val="24"/>
          <w:szCs w:val="24"/>
          <w:lang w:val="es-PE" w:eastAsia="ar-SA"/>
        </w:rPr>
        <w:t xml:space="preserve">RESOLUCIÓN DE RECURSO IMPUGNATIVO </w:t>
      </w:r>
      <w:proofErr w:type="spellStart"/>
      <w:r w:rsidRPr="00317805" w:rsidR="00707C99">
        <w:rPr>
          <w:rFonts w:ascii="Times New Roman" w:hAnsi="Times New Roman" w:cs="Times New Roman"/>
          <w:b/>
          <w:sz w:val="24"/>
          <w:szCs w:val="24"/>
          <w:lang w:val="es-PE" w:eastAsia="ar-SA"/>
        </w:rPr>
        <w:t>N°</w:t>
      </w:r>
      <w:proofErr w:type="spellEnd"/>
      <w:r w:rsidRPr="00317805" w:rsidR="00707C99">
        <w:rPr>
          <w:rFonts w:ascii="Times New Roman" w:hAnsi="Times New Roman" w:cs="Times New Roman"/>
          <w:b/>
          <w:sz w:val="24"/>
          <w:szCs w:val="24"/>
          <w:lang w:val="es-PE" w:eastAsia="ar-SA"/>
        </w:rPr>
        <w:t xml:space="preserve"> </w:t>
      </w:r>
      <w:r w:rsidRPr="00317805" w:rsidR="00516293">
        <w:rPr>
          <w:rFonts w:ascii="Times New Roman" w:hAnsi="Times New Roman" w:cs="Times New Roman"/>
          <w:b/>
          <w:sz w:val="24"/>
          <w:szCs w:val="24"/>
          <w:lang w:val="es-PE" w:eastAsia="ar-SA"/>
        </w:rPr>
        <w:t>02</w:t>
      </w:r>
      <w:r w:rsidRPr="00317805" w:rsidR="00317805">
        <w:rPr>
          <w:rFonts w:ascii="Times New Roman" w:hAnsi="Times New Roman" w:cs="Times New Roman"/>
          <w:b/>
          <w:sz w:val="24"/>
          <w:szCs w:val="24"/>
          <w:lang w:val="es-PE" w:eastAsia="ar-SA"/>
        </w:rPr>
        <w:t>4</w:t>
      </w:r>
      <w:r w:rsidRPr="00317805" w:rsidR="00C671F5">
        <w:rPr>
          <w:rFonts w:ascii="Times New Roman" w:hAnsi="Times New Roman" w:cs="Times New Roman"/>
          <w:b/>
          <w:sz w:val="24"/>
          <w:szCs w:val="24"/>
          <w:lang w:val="es-PE" w:eastAsia="ar-SA"/>
        </w:rPr>
        <w:t>/2</w:t>
      </w:r>
      <w:r w:rsidRPr="00317805" w:rsidR="00AB7BFE">
        <w:rPr>
          <w:rFonts w:ascii="Times New Roman" w:hAnsi="Times New Roman" w:cs="Times New Roman"/>
          <w:b/>
          <w:sz w:val="24"/>
          <w:szCs w:val="24"/>
          <w:lang w:val="es-PE" w:eastAsia="ar-SA"/>
        </w:rPr>
        <w:t>3</w:t>
      </w:r>
    </w:p>
    <w:p w:rsidRPr="00317805"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317805" w:rsidR="00317805" w:rsidP="00317805" w:rsidRDefault="00317805" w14:paraId="24EACE23"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b/>
          <w:sz w:val="24"/>
          <w:szCs w:val="24"/>
          <w:lang w:val="es-PE"/>
        </w:rPr>
        <w:t xml:space="preserve">Vistos: </w:t>
      </w:r>
    </w:p>
    <w:p w:rsidRPr="00317805" w:rsidR="00317805" w:rsidP="00317805" w:rsidRDefault="00317805" w14:paraId="5EF2E077" w14:textId="77777777">
      <w:pPr>
        <w:spacing w:after="0" w:line="240" w:lineRule="auto"/>
        <w:jc w:val="both"/>
        <w:rPr>
          <w:rFonts w:ascii="Times New Roman" w:hAnsi="Times New Roman" w:cs="Times New Roman"/>
          <w:sz w:val="24"/>
          <w:szCs w:val="24"/>
          <w:lang w:val="es-PE"/>
        </w:rPr>
      </w:pPr>
    </w:p>
    <w:p w:rsidRPr="00317805" w:rsidR="00317805" w:rsidP="61F6BD2D" w:rsidRDefault="00317805" w14:paraId="269A2793" w14:textId="014B1FC0">
      <w:pPr>
        <w:pStyle w:val="Normal"/>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28 de febrero de 2023 por ......................................................................... (en adelante, la aseguradora) respecto de la Resolución Nro. 030/23, de fecha 17 de febrero de 2023, emitida por esta Defensoría del Asegurado (DEFASEG), que declaró FUNDADA la reclamación interpuesta por ............................................................... (en adelante, el asegurado), a fin de que esta apruebe su solicitud de cobertura del Seguro de Protección de Tarjetas ............... Dólares de Póliza ..................... (en adelante, la póliza) por concepto de la sustracción de dinero de sus cuentas, mediante la modalidad de uso indebido por compra fraudulenta vía internet (medios digitales).</w:t>
      </w:r>
    </w:p>
    <w:p w:rsidRPr="00317805" w:rsidR="00317805" w:rsidP="00317805" w:rsidRDefault="00317805" w14:paraId="02ECECED"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5649EE41" w14:textId="5004D062">
      <w:pPr>
        <w:pStyle w:val="Default"/>
        <w:spacing w:line="240" w:lineRule="auto"/>
        <w:jc w:val="both"/>
        <w:rPr>
          <w:rFonts w:ascii="Times New Roman" w:hAnsi="Times New Roman" w:cs="Times New Roman"/>
        </w:rPr>
      </w:pPr>
      <w:r w:rsidRPr="61F6BD2D" w:rsidR="00317805">
        <w:rPr>
          <w:rFonts w:ascii="Times New Roman" w:hAnsi="Times New Roman" w:cs="Times New Roman"/>
          <w:sz w:val="24"/>
        </w:rPr>
        <w:t xml:space="preserve">Que el señalado Recurso Impugnativo se fundamenta resumidamente en lo siguiente: 1) pese a no haber presentado la póliza completa, de lo expresado en el escrito de reclamo, se puede concluir que la póliza matriz que adjuntamos a su escrito de descargos coincide con el texto de la póliza / certificado firmado por el asegurado, siendo que este no ha cuestionado la póliza presentada; 2) en aplicación del artículo 196 del Código Procesal Civil, correspondería que el reclamante adjunte la póliza; pues en ningún momento ha señalado no haberlo recibido; 3) los hechos consignados en el escrito de reclamo no se ajustan a las coberturas señaladas en la póliza, tanto en el caso de </w:t>
      </w:r>
      <w:r w:rsidRPr="61F6BD2D" w:rsidR="00317805">
        <w:rPr>
          <w:rFonts w:ascii="Times New Roman" w:hAnsi="Times New Roman" w:cs="Times New Roman"/>
          <w:i w:val="1"/>
          <w:iCs w:val="1"/>
          <w:sz w:val="24"/>
        </w:rPr>
        <w:t>uso indebido</w:t>
      </w:r>
      <w:r w:rsidRPr="61F6BD2D" w:rsidR="00317805">
        <w:rPr>
          <w:rFonts w:ascii="Times New Roman" w:hAnsi="Times New Roman" w:cs="Times New Roman"/>
          <w:sz w:val="24"/>
        </w:rPr>
        <w:t xml:space="preserve">, como el de </w:t>
      </w:r>
      <w:r w:rsidRPr="61F6BD2D" w:rsidR="00317805">
        <w:rPr>
          <w:rFonts w:ascii="Times New Roman" w:hAnsi="Times New Roman" w:cs="Times New Roman"/>
          <w:i w:val="1"/>
          <w:iCs w:val="1"/>
          <w:sz w:val="24"/>
        </w:rPr>
        <w:t>uso indebido por compra fraudulenta</w:t>
      </w:r>
      <w:r w:rsidRPr="61F6BD2D" w:rsidR="00317805">
        <w:rPr>
          <w:rFonts w:ascii="Times New Roman" w:hAnsi="Times New Roman" w:cs="Times New Roman"/>
          <w:b w:val="1"/>
          <w:bCs w:val="1"/>
          <w:sz w:val="24"/>
        </w:rPr>
        <w:t xml:space="preserve">; </w:t>
      </w:r>
      <w:r w:rsidRPr="61F6BD2D" w:rsidR="00317805">
        <w:rPr>
          <w:rFonts w:ascii="Times New Roman" w:hAnsi="Times New Roman" w:cs="Times New Roman"/>
          <w:sz w:val="24"/>
        </w:rPr>
        <w:t>4) en el escrito presentado por el asegurado se indica que perdió el celular y, a través de su dispositivo móvil, se sustrajo</w:t>
      </w:r>
      <w:r w:rsidRPr="61F6BD2D" w:rsidR="00317805">
        <w:rPr>
          <w:rFonts w:ascii="Times New Roman" w:hAnsi="Times New Roman" w:cs="Times New Roman"/>
          <w:b w:val="1"/>
          <w:bCs w:val="1"/>
          <w:sz w:val="24"/>
        </w:rPr>
        <w:t xml:space="preserve"> </w:t>
      </w:r>
      <w:r w:rsidRPr="61F6BD2D" w:rsidR="00317805">
        <w:rPr>
          <w:rFonts w:ascii="Times New Roman" w:hAnsi="Times New Roman" w:cs="Times New Roman"/>
          <w:sz w:val="24"/>
        </w:rPr>
        <w:t xml:space="preserve">dinero de sus tarjetas de débito y crédito, por lo que no estaría dentro del supuesto de uso indebido, de acuerdo a las coberturas señaladas en la póliza; 5) la póliza brinda cobertura ante los supuestos listados, siempre y cuando se cumpla con las obligaciones estipuladas para activar su cobertura, las mismas que se encuentran detalladas en la póliza; 6) no haber solicitado, al asegurado, precisión o aclaración no puede ser motivo para que se generen derechos que no corresponden, siendo que no se ha tomado en cuenta que el error no genera derecho; 7) la resolución carece de coherencia, pues reconoce derechos a favor del asegurado ante la supuesta falta de cuestionamiento por parte de la aseguradora respecto de los documentos/sustentos presentados por él; sin embargo, no reconoce o no toma en cuenta que el asegurado no ha cuestionado sus argumentos; 8) respecto del artículo 15 del Reglamento para la Gestión y Pago de Siniestros, se cumplió con ello, al indicar en la carta cursada, tanto por el </w:t>
      </w:r>
      <w:r w:rsidRPr="61F6BD2D" w:rsidR="713BE777">
        <w:rPr>
          <w:rFonts w:ascii="Times New Roman" w:hAnsi="Times New Roman" w:cs="Times New Roman"/>
          <w:sz w:val="24"/>
        </w:rPr>
        <w:t>...............</w:t>
      </w:r>
      <w:r w:rsidRPr="61F6BD2D" w:rsidR="00317805">
        <w:rPr>
          <w:rFonts w:ascii="Times New Roman" w:hAnsi="Times New Roman" w:cs="Times New Roman"/>
          <w:sz w:val="24"/>
        </w:rPr>
        <w:t xml:space="preserve"> como por la aseguradora, que se verificó que los movimientos realizados con las tarjetas del asegurado se habían realizado con las medidas de seguridad correspondientes (claves y demás), las cuales son de uso personal y de responsabilidad del tarjeta habiente (asegurado), siendo que no existe duda o ambigüedad respecto de los alcances de la póliza; 9) los contratos son obligatorios para las partes en cuanto se haya expresado en ellos, según lo preceptúa el artículo 1361 del Código Civil, por tanto, no existe justificación alguna para que se aparten de lo convenido; 10) el artículo 1 de la Ley N°29946, Ley del Contrato de Seguros, señala que el contrato de seguro es aquel por el cual el asegurador se obliga a indemnizar, dentro de los límites pactados;</w:t>
      </w:r>
    </w:p>
    <w:p w:rsidRPr="00317805" w:rsidR="00317805" w:rsidP="00317805" w:rsidRDefault="00317805" w14:paraId="6D460942" w14:textId="77777777">
      <w:pPr>
        <w:pStyle w:val="Default"/>
        <w:spacing w:line="240" w:lineRule="auto"/>
        <w:jc w:val="both"/>
        <w:rPr>
          <w:rFonts w:ascii="Times New Roman" w:hAnsi="Times New Roman" w:cs="Times New Roman"/>
        </w:rPr>
      </w:pPr>
    </w:p>
    <w:p w:rsidRPr="00317805" w:rsidR="00317805" w:rsidP="00317805" w:rsidRDefault="00317805" w14:paraId="32DE0B0F"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Que, habiéndose corrido traslado el 28 de febrero de 2023, el asegurado no cumplió con absolver los argumentos expuestos por la aseguradora;</w:t>
      </w:r>
    </w:p>
    <w:p w:rsidRPr="00317805" w:rsidR="00317805" w:rsidP="00317805" w:rsidRDefault="00317805" w14:paraId="0B5B0F73"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3F6C6FD1"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Que, atendiendo a lo expuesto, esta Defensoría resuelve finalmente lo siguiente:</w:t>
      </w:r>
    </w:p>
    <w:p w:rsidRPr="00317805" w:rsidR="00317805" w:rsidP="00317805" w:rsidRDefault="00317805" w14:paraId="3E0A71E1" w14:textId="77777777">
      <w:pPr>
        <w:spacing w:after="0" w:line="240" w:lineRule="auto"/>
        <w:jc w:val="both"/>
        <w:rPr>
          <w:rFonts w:ascii="Times New Roman" w:hAnsi="Times New Roman" w:cs="Times New Roman"/>
          <w:b/>
          <w:sz w:val="24"/>
          <w:szCs w:val="24"/>
          <w:lang w:val="es-PE"/>
        </w:rPr>
      </w:pPr>
    </w:p>
    <w:p w:rsidRPr="00317805" w:rsidR="00317805" w:rsidP="00317805" w:rsidRDefault="00317805" w14:paraId="31BF8D1F"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b/>
          <w:sz w:val="24"/>
          <w:szCs w:val="24"/>
          <w:lang w:val="es-PE"/>
        </w:rPr>
        <w:lastRenderedPageBreak/>
        <w:t>PRIMERO:</w:t>
      </w:r>
      <w:r w:rsidRPr="00317805">
        <w:rPr>
          <w:rFonts w:ascii="Times New Roman" w:hAnsi="Times New Roman" w:cs="Times New Roman"/>
          <w:sz w:val="24"/>
          <w:szCs w:val="24"/>
          <w:lang w:val="es-PE"/>
        </w:rPr>
        <w:t xml:space="preserve"> Que el artículo 10 (Procedimiento) del Reglamento de la DEFASEG (</w:t>
      </w:r>
      <w:hyperlink w:history="1" r:id="rId8">
        <w:r w:rsidRPr="00317805">
          <w:rPr>
            <w:rStyle w:val="Hipervnculo"/>
            <w:rFonts w:ascii="Times New Roman" w:hAnsi="Times New Roman" w:cs="Times New Roman"/>
            <w:sz w:val="24"/>
            <w:szCs w:val="24"/>
            <w:lang w:val="es-PE"/>
          </w:rPr>
          <w:t>http://www.defaseg.com.pe/reglamento</w:t>
        </w:r>
      </w:hyperlink>
      <w:r w:rsidRPr="00317805">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317805" w:rsidR="00317805" w:rsidP="00317805" w:rsidRDefault="00317805" w14:paraId="1C95A393" w14:textId="77777777">
      <w:pPr>
        <w:spacing w:after="0" w:line="240" w:lineRule="auto"/>
        <w:jc w:val="both"/>
        <w:rPr>
          <w:rFonts w:ascii="Times New Roman" w:hAnsi="Times New Roman" w:cs="Times New Roman"/>
          <w:b/>
          <w:sz w:val="24"/>
          <w:szCs w:val="24"/>
          <w:lang w:val="es-PE"/>
        </w:rPr>
      </w:pPr>
    </w:p>
    <w:p w:rsidRPr="00317805" w:rsidR="00317805" w:rsidP="00317805" w:rsidRDefault="00317805" w14:paraId="33B0F28E" w14:textId="152B7CEA">
      <w:pPr>
        <w:spacing w:after="0" w:line="240" w:lineRule="auto"/>
        <w:jc w:val="both"/>
        <w:rPr>
          <w:rFonts w:ascii="Times New Roman" w:hAnsi="Times New Roman" w:cs="Times New Roman"/>
          <w:sz w:val="24"/>
          <w:szCs w:val="24"/>
          <w:lang w:val="es-PE"/>
        </w:rPr>
      </w:pPr>
      <w:r>
        <w:rPr>
          <w:rFonts w:ascii="Times New Roman" w:hAnsi="Times New Roman"/>
          <w:sz w:val="24"/>
        </w:rPr>
        <w:t xml:space="preserve">SEGUNDO: Que, de la lectura del Recurso Impugnativo interpuesto se aprecia que la aseguradora afirma que era posible concluir que la póliza matriz que adjuntó a su escrito de descargos coincide con el texto de la póliza / certificado firmado por el asegurado, siendo que este no ha cuestionado la póliza presentada. Al respecto, debemos remitirnos a lo expuesto en la Resolución Impugnada, puesto que la Sala Colegiada cuenta con una opinión constante y coherente en el tiempo respecto del presente tema, en particular respecto de la póliza. Así pues, resulta necesario realizar un análisis de la póliza o Certificado de Seguro, según corresponda (debidamente notificada y suscrita por el reclamante), a fin de poder afirmar que las coberturas contratadas relativas al uso indebido de tarjetas de crédito y/o débito, presuponen necesariamente que se haya verificado un uso indebido tal como éste se encuentra enunciado específicamente para una cobertura singular. </w:t>
      </w:r>
    </w:p>
    <w:p w:rsidRPr="00317805" w:rsidR="00317805" w:rsidP="00317805" w:rsidRDefault="00317805" w14:paraId="2655F540"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4AAE4C8D"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 xml:space="preserve">Por ello, se requirió -expresamente- a la aseguradora para que remita la póliza que se encuentra bajo su custodia, siendo que esta no cumplió con lo requerido. Por el contrario, en dicho contexto, la aseguradora remitió un archivo sin firmar del Certificado de Seguro completo, por lo que no puede determinarse si tal fue la versión que suscribió el reclamante. Asimismo, respecto de la “póliza matriz” remitida por la aseguradora, se debe tener en cuenta que dicho archivo no cuenta con fecha, firma o algún dato que permita identificar si esta resulta ser la versión vigente al momento de suscripción del Certificado de Seguro por parte del reclamante. </w:t>
      </w:r>
    </w:p>
    <w:p w:rsidRPr="00317805" w:rsidR="00317805" w:rsidP="00317805" w:rsidRDefault="00317805" w14:paraId="1BBB8ED2"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0562E0B7"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En ese sentido, debe tenerse en cuenta que coincidencias en los textos de los archivos, tales como los alegados por la aseguradora, no resultan motivo suficiente para acreditar que dicho archivo haya sido el suscrito por el asegurado y, por tanto, como satisfecho el requerimiento realizado. Así pues, no resulta atendible pretender que coincidencias textuales en los archivos sustituyan la remisión del Certificado de Seguro completo y suscrito por el asegurado, así como, en el caso de la póliza matriz, que esta se vea satisfecha con la remisión de archivos sin firma o datos adicionales que permitan identificarlos.</w:t>
      </w:r>
    </w:p>
    <w:p w:rsidRPr="00317805" w:rsidR="00317805" w:rsidP="00317805" w:rsidRDefault="00317805" w14:paraId="3D537877" w14:textId="77777777">
      <w:pPr>
        <w:spacing w:after="0" w:line="240" w:lineRule="auto"/>
        <w:jc w:val="both"/>
        <w:rPr>
          <w:rFonts w:ascii="Times New Roman" w:hAnsi="Times New Roman" w:cs="Times New Roman"/>
          <w:b/>
          <w:sz w:val="24"/>
          <w:szCs w:val="24"/>
          <w:lang w:val="es-PE"/>
        </w:rPr>
      </w:pPr>
    </w:p>
    <w:p w:rsidRPr="00317805" w:rsidR="00317805" w:rsidP="00317805" w:rsidRDefault="00317805" w14:paraId="4641389C" w14:textId="77777777">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b/>
          <w:sz w:val="24"/>
          <w:szCs w:val="24"/>
          <w:lang w:val="es-PE"/>
        </w:rPr>
        <w:t>TERCERO:</w:t>
      </w:r>
      <w:r w:rsidRPr="00317805">
        <w:rPr>
          <w:rFonts w:ascii="Times New Roman" w:hAnsi="Times New Roman" w:cs="Times New Roman"/>
          <w:sz w:val="24"/>
          <w:szCs w:val="24"/>
          <w:lang w:val="es-PE"/>
        </w:rPr>
        <w:t xml:space="preserve"> Que, asimismo, debe tenerse en cuenta que las posiciones personales o hechos narrados por las partes se rigen por las reglas de la carga de la prueba. De este modo, nos permitimos recordar lo señalado por el Código Procesal Civil:</w:t>
      </w:r>
    </w:p>
    <w:p w:rsidRPr="00317805" w:rsidR="00317805" w:rsidP="00317805" w:rsidRDefault="00317805" w14:paraId="4F25882C" w14:textId="77777777">
      <w:pPr>
        <w:spacing w:after="0" w:line="240" w:lineRule="auto"/>
        <w:ind w:left="1418"/>
        <w:jc w:val="both"/>
        <w:rPr>
          <w:rFonts w:ascii="Times New Roman" w:hAnsi="Times New Roman" w:cs="Times New Roman"/>
          <w:b/>
          <w:bCs/>
          <w:sz w:val="24"/>
          <w:szCs w:val="24"/>
          <w:lang w:val="es-ES"/>
        </w:rPr>
      </w:pPr>
    </w:p>
    <w:p w:rsidRPr="00317805" w:rsidR="00317805" w:rsidP="00317805" w:rsidRDefault="00317805" w14:paraId="6DE5CF1B" w14:textId="77777777">
      <w:pPr>
        <w:spacing w:after="0" w:line="240" w:lineRule="auto"/>
        <w:ind w:left="1418"/>
        <w:jc w:val="both"/>
        <w:rPr>
          <w:rFonts w:ascii="Times New Roman" w:hAnsi="Times New Roman" w:cs="Times New Roman"/>
          <w:b/>
          <w:bCs/>
          <w:sz w:val="24"/>
          <w:szCs w:val="24"/>
          <w:lang w:val="es-ES"/>
        </w:rPr>
      </w:pPr>
      <w:r w:rsidRPr="00317805">
        <w:rPr>
          <w:rFonts w:ascii="Times New Roman" w:hAnsi="Times New Roman" w:cs="Times New Roman"/>
          <w:b/>
          <w:bCs/>
          <w:sz w:val="24"/>
          <w:szCs w:val="24"/>
          <w:lang w:val="es-ES"/>
        </w:rPr>
        <w:t>Carga de la prueba. -</w:t>
      </w:r>
    </w:p>
    <w:p w:rsidRPr="00317805" w:rsidR="00317805" w:rsidP="00317805" w:rsidRDefault="00317805" w14:paraId="244737D2" w14:textId="77777777">
      <w:pPr>
        <w:spacing w:after="0" w:line="240" w:lineRule="auto"/>
        <w:ind w:left="1418"/>
        <w:jc w:val="both"/>
        <w:rPr>
          <w:rFonts w:ascii="Times New Roman" w:hAnsi="Times New Roman" w:cs="Times New Roman"/>
          <w:sz w:val="24"/>
          <w:szCs w:val="24"/>
          <w:lang w:val="es-ES"/>
        </w:rPr>
      </w:pPr>
      <w:r w:rsidRPr="00317805">
        <w:rPr>
          <w:rFonts w:ascii="Times New Roman" w:hAnsi="Times New Roman" w:cs="Times New Roman"/>
          <w:sz w:val="24"/>
          <w:szCs w:val="24"/>
          <w:lang w:val="es-ES"/>
        </w:rPr>
        <w:t xml:space="preserve">Artículo 196.- Salvo disposición legal diferente, </w:t>
      </w:r>
      <w:r w:rsidRPr="00317805">
        <w:rPr>
          <w:rFonts w:ascii="Times New Roman" w:hAnsi="Times New Roman" w:cs="Times New Roman"/>
          <w:b/>
          <w:bCs/>
          <w:sz w:val="24"/>
          <w:szCs w:val="24"/>
          <w:lang w:val="es-ES"/>
        </w:rPr>
        <w:t>la carga de probar corresponde a quien afirma hechos que configuran su pretensión</w:t>
      </w:r>
      <w:r w:rsidRPr="00317805">
        <w:rPr>
          <w:rFonts w:ascii="Times New Roman" w:hAnsi="Times New Roman" w:cs="Times New Roman"/>
          <w:sz w:val="24"/>
          <w:szCs w:val="24"/>
          <w:lang w:val="es-ES"/>
        </w:rPr>
        <w:t>, o a quien los contradice alegando nuevos hechos.</w:t>
      </w:r>
    </w:p>
    <w:p w:rsidRPr="00317805" w:rsidR="00317805" w:rsidP="00317805" w:rsidRDefault="00317805" w14:paraId="5B353440" w14:textId="77777777">
      <w:pPr>
        <w:spacing w:after="0" w:line="240" w:lineRule="auto"/>
        <w:ind w:left="1418"/>
        <w:jc w:val="right"/>
        <w:rPr>
          <w:rFonts w:ascii="Times New Roman" w:hAnsi="Times New Roman" w:cs="Times New Roman"/>
          <w:sz w:val="24"/>
          <w:szCs w:val="24"/>
          <w:lang w:val="es-ES"/>
        </w:rPr>
      </w:pPr>
      <w:r w:rsidRPr="00317805">
        <w:rPr>
          <w:rFonts w:ascii="Times New Roman" w:hAnsi="Times New Roman" w:cs="Times New Roman"/>
          <w:sz w:val="24"/>
          <w:szCs w:val="24"/>
          <w:lang w:val="es-ES"/>
        </w:rPr>
        <w:t>[resaltado en negritas de nuestra autoría]</w:t>
      </w:r>
    </w:p>
    <w:p w:rsidRPr="00317805" w:rsidR="00317805" w:rsidP="00317805" w:rsidRDefault="00317805" w14:paraId="23226799" w14:textId="77777777">
      <w:pPr>
        <w:spacing w:after="0" w:line="240" w:lineRule="auto"/>
        <w:jc w:val="both"/>
        <w:rPr>
          <w:rFonts w:ascii="Times New Roman" w:hAnsi="Times New Roman" w:cs="Times New Roman"/>
          <w:sz w:val="24"/>
          <w:szCs w:val="24"/>
          <w:lang w:val="es-ES"/>
        </w:rPr>
      </w:pPr>
    </w:p>
    <w:p w:rsidRPr="00317805" w:rsidR="00317805" w:rsidP="00317805" w:rsidRDefault="00317805" w14:paraId="79ED2515" w14:textId="77777777">
      <w:pPr>
        <w:tabs>
          <w:tab w:val="left" w:pos="2160"/>
        </w:tabs>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lastRenderedPageBreak/>
        <w:t xml:space="preserve">No obstante, dicha regla encuentra su excepción cuando, quien alega el hecho, no se encuentra en posición de poder acreditar el hecho o, en todo caso, la contraparte se encuentra en mejor posición para ello. Es decir, cuando la prueba sea </w:t>
      </w:r>
      <w:r w:rsidRPr="00317805">
        <w:rPr>
          <w:rFonts w:ascii="Times New Roman" w:hAnsi="Times New Roman" w:cs="Times New Roman"/>
          <w:i/>
          <w:iCs/>
          <w:sz w:val="24"/>
          <w:szCs w:val="24"/>
          <w:lang w:val="es-PE"/>
        </w:rPr>
        <w:t xml:space="preserve">imposible </w:t>
      </w:r>
      <w:r w:rsidRPr="00317805">
        <w:rPr>
          <w:rFonts w:ascii="Times New Roman" w:hAnsi="Times New Roman" w:cs="Times New Roman"/>
          <w:sz w:val="24"/>
          <w:szCs w:val="24"/>
          <w:lang w:val="es-PE"/>
        </w:rPr>
        <w:t xml:space="preserve">o </w:t>
      </w:r>
      <w:r w:rsidRPr="00317805">
        <w:rPr>
          <w:rFonts w:ascii="Times New Roman" w:hAnsi="Times New Roman" w:cs="Times New Roman"/>
          <w:i/>
          <w:iCs/>
          <w:sz w:val="24"/>
          <w:szCs w:val="24"/>
          <w:lang w:val="es-PE"/>
        </w:rPr>
        <w:t xml:space="preserve">muy dificultosa. </w:t>
      </w:r>
      <w:r w:rsidRPr="00317805">
        <w:rPr>
          <w:rFonts w:ascii="Times New Roman" w:hAnsi="Times New Roman" w:cs="Times New Roman"/>
          <w:sz w:val="24"/>
          <w:szCs w:val="24"/>
          <w:lang w:val="es-PE"/>
        </w:rPr>
        <w:t>En el mismo sentido se ha pronunciado -en repetidas ocasiones- el Tribunal Constitucional cuando señaló lo siguiente:</w:t>
      </w:r>
    </w:p>
    <w:p w:rsidRPr="00317805" w:rsidR="00317805" w:rsidP="00317805" w:rsidRDefault="00317805" w14:paraId="19B481EE" w14:textId="77777777">
      <w:pPr>
        <w:tabs>
          <w:tab w:val="left" w:pos="2160"/>
        </w:tabs>
        <w:spacing w:after="0" w:line="240" w:lineRule="auto"/>
        <w:jc w:val="both"/>
        <w:rPr>
          <w:rFonts w:ascii="Times New Roman" w:hAnsi="Times New Roman" w:cs="Times New Roman"/>
          <w:sz w:val="24"/>
          <w:szCs w:val="24"/>
          <w:lang w:val="es-PE"/>
        </w:rPr>
      </w:pPr>
    </w:p>
    <w:p w:rsidRPr="00317805" w:rsidR="00317805" w:rsidP="00317805" w:rsidRDefault="00317805" w14:paraId="3CE93F22" w14:textId="77777777">
      <w:pPr>
        <w:tabs>
          <w:tab w:val="left" w:pos="2160"/>
        </w:tabs>
        <w:spacing w:after="0" w:line="240" w:lineRule="auto"/>
        <w:ind w:left="1418"/>
        <w:jc w:val="both"/>
        <w:rPr>
          <w:rFonts w:ascii="Times New Roman" w:hAnsi="Times New Roman" w:cs="Times New Roman"/>
          <w:sz w:val="24"/>
          <w:szCs w:val="24"/>
          <w:lang w:val="es-PE"/>
        </w:rPr>
      </w:pPr>
      <w:r>
        <w:rPr>
          <w:rFonts w:ascii="Times New Roman" w:hAnsi="Times New Roman"/>
          <w:sz w:val="24"/>
        </w:rPr>
        <w:t xml:space="preserve">“6. En el procedimiento sancionatorio seguido contra la recurrente en Indecopi resulta que la parte denunciada debe probar que la parte denuncia N° ………………… carece del título del derecho que dice representar. Ahora bien, como es sabido, constituye principio procesal que la carga de la prueba corresponde a quien afirma un hecho. Si la sociedad colectiva denuncia N° ………………… afirma detentar la representación de determinadas obras, no resulta nada oneroso para ella exhibir el documento que la acredita. Por el contrario, si es a la parte denunciada a quien se exige acreditar que la sociedad colectiva carece del título de representación, significa ello una carga excesiva e intolerable. Esto es así debido a que mientras para la parte denuncia N° ………………… el acreditar la representación de la obra no significa carga alguna, dado que tiene a disposición el archivo de documentos donde consta el otorgamiento de la representación, para el denunciado significa una carga excesiva, de difícil acreditación, e incluso, para algún denunciado, de acreditación prácticamente imposible. Tal exigencia constituye un típico caso de "prueba diabólica", dado que significa exigir al denunciado una prueba de difícil e, incluso, imposible acreditación, pero ello no por su inexistencia, sino por el considerable grado de dificultad que implica su obtención.”</w:t>
      </w:r>
    </w:p>
    <w:p w:rsidRPr="00317805" w:rsidR="00317805" w:rsidP="00317805" w:rsidRDefault="00317805" w14:paraId="5B27D39E" w14:textId="77777777">
      <w:pPr>
        <w:tabs>
          <w:tab w:val="left" w:pos="2160"/>
        </w:tabs>
        <w:spacing w:after="0" w:line="240" w:lineRule="auto"/>
        <w:ind w:left="1418"/>
        <w:jc w:val="right"/>
        <w:rPr>
          <w:rFonts w:ascii="Times New Roman" w:hAnsi="Times New Roman" w:cs="Times New Roman"/>
          <w:sz w:val="24"/>
          <w:szCs w:val="24"/>
          <w:lang w:val="es-MX"/>
        </w:rPr>
      </w:pPr>
      <w:r w:rsidRPr="00317805">
        <w:rPr>
          <w:rFonts w:ascii="Times New Roman" w:hAnsi="Times New Roman" w:cs="Times New Roman"/>
          <w:sz w:val="24"/>
          <w:szCs w:val="24"/>
          <w:lang w:val="es-MX"/>
        </w:rPr>
        <w:t xml:space="preserve">[STC </w:t>
      </w:r>
      <w:proofErr w:type="spellStart"/>
      <w:r w:rsidRPr="00317805">
        <w:rPr>
          <w:rFonts w:ascii="Times New Roman" w:hAnsi="Times New Roman" w:cs="Times New Roman"/>
          <w:sz w:val="24"/>
          <w:szCs w:val="24"/>
          <w:lang w:val="es-MX"/>
        </w:rPr>
        <w:t>N°</w:t>
      </w:r>
      <w:proofErr w:type="spellEnd"/>
      <w:r w:rsidRPr="00317805">
        <w:rPr>
          <w:rFonts w:ascii="Times New Roman" w:hAnsi="Times New Roman" w:cs="Times New Roman"/>
          <w:sz w:val="24"/>
          <w:szCs w:val="24"/>
          <w:lang w:val="es-MX"/>
        </w:rPr>
        <w:t xml:space="preserve"> 06135-2006-PA/TC]</w:t>
      </w:r>
    </w:p>
    <w:p w:rsidRPr="00317805" w:rsidR="00317805" w:rsidP="00317805" w:rsidRDefault="00317805" w14:paraId="21EE2D31" w14:textId="77777777">
      <w:pPr>
        <w:tabs>
          <w:tab w:val="left" w:pos="2160"/>
        </w:tabs>
        <w:spacing w:after="0" w:line="240" w:lineRule="auto"/>
        <w:ind w:left="1418"/>
        <w:jc w:val="right"/>
        <w:rPr>
          <w:rFonts w:ascii="Times New Roman" w:hAnsi="Times New Roman" w:cs="Times New Roman"/>
          <w:sz w:val="24"/>
          <w:szCs w:val="24"/>
          <w:lang w:val="es-PE"/>
        </w:rPr>
      </w:pPr>
      <w:r w:rsidRPr="00317805">
        <w:rPr>
          <w:rFonts w:ascii="Times New Roman" w:hAnsi="Times New Roman" w:cs="Times New Roman"/>
          <w:sz w:val="24"/>
          <w:szCs w:val="24"/>
          <w:lang w:val="es-MX"/>
        </w:rPr>
        <w:t>[resaltado en negritas y subrayado de nuestra autoría]</w:t>
      </w:r>
    </w:p>
    <w:p w:rsidRPr="00317805" w:rsidR="00317805" w:rsidP="00317805" w:rsidRDefault="00317805" w14:paraId="49486DA4" w14:textId="77777777">
      <w:pPr>
        <w:tabs>
          <w:tab w:val="left" w:pos="2160"/>
        </w:tabs>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MX"/>
        </w:rPr>
        <w:t> </w:t>
      </w:r>
    </w:p>
    <w:p w:rsidRPr="00317805" w:rsidR="00317805" w:rsidP="00317805" w:rsidRDefault="00317805" w14:paraId="7AA3194C" w14:textId="77777777">
      <w:pPr>
        <w:tabs>
          <w:tab w:val="left" w:pos="2160"/>
        </w:tabs>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 xml:space="preserve">De este modo, el supremo intérprete de la Constitución nos enseña que no es posible exigir un estándar de prueba irrealizable a las partes. En buena cuenta, el respeto al derecho a la prueba de las partes implica distribuir </w:t>
      </w:r>
      <w:r w:rsidRPr="00317805">
        <w:rPr>
          <w:rFonts w:ascii="Times New Roman" w:hAnsi="Times New Roman" w:cs="Times New Roman"/>
          <w:i/>
          <w:iCs/>
          <w:sz w:val="24"/>
          <w:szCs w:val="24"/>
          <w:lang w:val="es-PE"/>
        </w:rPr>
        <w:t xml:space="preserve">dinámicamente </w:t>
      </w:r>
      <w:r w:rsidRPr="00317805">
        <w:rPr>
          <w:rFonts w:ascii="Times New Roman" w:hAnsi="Times New Roman" w:cs="Times New Roman"/>
          <w:sz w:val="24"/>
          <w:szCs w:val="24"/>
          <w:lang w:val="es-PE"/>
        </w:rPr>
        <w:t xml:space="preserve">la carga probatoria, ya que atribuir al asegurado -en este caso- la obligación de probar haber recibido la póliza completa resulta de mucho mayor dificultad que recibir dicha información de la aseguradora que, además, cuenta con la obligación de custodiar la documentación que conserva. Ello, sin contar que el probar un negativo (no haber recibido la póliza completa) resulta un caso de </w:t>
      </w:r>
      <w:r w:rsidRPr="00317805">
        <w:rPr>
          <w:rFonts w:ascii="Times New Roman" w:hAnsi="Times New Roman" w:cs="Times New Roman"/>
          <w:i/>
          <w:iCs/>
          <w:sz w:val="24"/>
          <w:szCs w:val="24"/>
          <w:lang w:val="es-PE"/>
        </w:rPr>
        <w:t>prueba diabólica.</w:t>
      </w:r>
      <w:r w:rsidRPr="00317805">
        <w:rPr>
          <w:rFonts w:ascii="Times New Roman" w:hAnsi="Times New Roman" w:cs="Times New Roman"/>
          <w:sz w:val="24"/>
          <w:szCs w:val="24"/>
          <w:lang w:val="es-PE"/>
        </w:rPr>
        <w:t xml:space="preserve"> Por lo tanto, en tanto resulta mucho más eficiente requerir a la aseguradora el envío de la póliza, esto se encuentra totalmente respaldado por las reglas dispuestas por el Tribunal Constitucional en su calidad de máximo intérprete de la Constitución.</w:t>
      </w:r>
    </w:p>
    <w:p w:rsidRPr="00317805" w:rsidR="00317805" w:rsidP="00317805" w:rsidRDefault="00317805" w14:paraId="5E0E67F4" w14:textId="77777777">
      <w:pPr>
        <w:tabs>
          <w:tab w:val="left" w:pos="2160"/>
        </w:tabs>
        <w:spacing w:after="0" w:line="240" w:lineRule="auto"/>
        <w:jc w:val="both"/>
        <w:rPr>
          <w:rFonts w:ascii="Times New Roman" w:hAnsi="Times New Roman" w:cs="Times New Roman"/>
          <w:sz w:val="24"/>
          <w:szCs w:val="24"/>
          <w:lang w:val="es-PE"/>
        </w:rPr>
      </w:pPr>
    </w:p>
    <w:p w:rsidRPr="00317805" w:rsidR="00317805" w:rsidP="00317805" w:rsidRDefault="00317805" w14:paraId="69B6D27B" w14:textId="4063C779">
      <w:pPr>
        <w:tabs>
          <w:tab w:val="left" w:pos="2160"/>
        </w:tabs>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Asimismo, resulta necesario observar la conducta procesal de la aseguradora al no haber cumplido con remitir lo requerido. De hecho, al negarse a aportar el material probatorio requerido, se viene obstaculizando el esclarecimiento de los hechos del presente caso y no permite evaluar el sustento de los argumentos que la propia aseguradora propone.</w:t>
      </w:r>
    </w:p>
    <w:p w:rsidRPr="00317805" w:rsidR="00317805" w:rsidP="00317805" w:rsidRDefault="00317805" w14:paraId="25B5A688" w14:textId="77777777">
      <w:pPr>
        <w:tabs>
          <w:tab w:val="left" w:pos="2160"/>
        </w:tabs>
        <w:spacing w:after="0" w:line="240" w:lineRule="auto"/>
        <w:jc w:val="both"/>
        <w:rPr>
          <w:rFonts w:ascii="Times New Roman" w:hAnsi="Times New Roman" w:cs="Times New Roman"/>
          <w:sz w:val="24"/>
          <w:szCs w:val="24"/>
          <w:lang w:val="es-PE"/>
        </w:rPr>
      </w:pPr>
    </w:p>
    <w:p w:rsidRPr="00317805" w:rsidR="00317805" w:rsidP="00317805" w:rsidRDefault="00317805" w14:paraId="44C26DD2" w14:textId="77777777">
      <w:pPr>
        <w:tabs>
          <w:tab w:val="left" w:pos="2160"/>
        </w:tabs>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 xml:space="preserve">En conclusión, no resulta posible analizar los argumentos de la aseguradora respecto de la interpretación del concepto de </w:t>
      </w:r>
      <w:r w:rsidRPr="00317805">
        <w:rPr>
          <w:rFonts w:ascii="Times New Roman" w:hAnsi="Times New Roman" w:cs="Times New Roman"/>
          <w:i/>
          <w:iCs/>
          <w:sz w:val="24"/>
          <w:szCs w:val="24"/>
          <w:lang w:val="es-PE"/>
        </w:rPr>
        <w:t>uso indebido</w:t>
      </w:r>
      <w:r w:rsidRPr="00317805">
        <w:rPr>
          <w:rFonts w:ascii="Times New Roman" w:hAnsi="Times New Roman" w:cs="Times New Roman"/>
          <w:sz w:val="24"/>
          <w:szCs w:val="24"/>
          <w:lang w:val="es-PE"/>
        </w:rPr>
        <w:t xml:space="preserve"> o las demás condiciones estipuladas en la póliza, puesto que esta no ha sido remitida y no puede ser objeto de valoración en el presente procedimiento. En buena cuenta, las estipulaciones o condiciones de la póliza y los argumentos que deriven de estas no podrán ser debidamente analizados, puesto que no obra medio probatorio alguno que verifique que el asegurado recibió o consintió tales condiciones.</w:t>
      </w:r>
    </w:p>
    <w:p w:rsidRPr="00317805" w:rsidR="00317805" w:rsidP="00317805" w:rsidRDefault="00317805" w14:paraId="71FBF6E4"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6A3B6E5B" w14:textId="66E82241">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b/>
          <w:sz w:val="24"/>
          <w:szCs w:val="24"/>
          <w:lang w:val="es-PE"/>
        </w:rPr>
        <w:t>CUARTO:</w:t>
      </w:r>
      <w:r w:rsidRPr="00317805">
        <w:rPr>
          <w:rFonts w:ascii="Times New Roman" w:hAnsi="Times New Roman" w:cs="Times New Roman"/>
          <w:sz w:val="24"/>
          <w:szCs w:val="24"/>
          <w:lang w:val="es-PE"/>
        </w:rPr>
        <w:t xml:space="preserve"> Que, asimismo, debemos tener en cuenta que </w:t>
      </w:r>
      <w:r>
        <w:rPr>
          <w:rFonts w:ascii="Times New Roman" w:hAnsi="Times New Roman" w:cs="Times New Roman"/>
          <w:sz w:val="24"/>
          <w:szCs w:val="24"/>
          <w:lang w:val="es-PE"/>
        </w:rPr>
        <w:t>la Sala Colegiada</w:t>
      </w:r>
      <w:r w:rsidRPr="00317805">
        <w:rPr>
          <w:rFonts w:ascii="Times New Roman" w:hAnsi="Times New Roman" w:cs="Times New Roman"/>
          <w:sz w:val="24"/>
          <w:szCs w:val="24"/>
          <w:lang w:val="es-PE"/>
        </w:rPr>
        <w:t xml:space="preserve"> cuenta con facultades para requerir las aclaraciones o medios probatorios adicionales que considere para solucionar los casos que conoce. De hecho, el reglamento de la presente defensoría dispone lo siguiente:</w:t>
      </w:r>
    </w:p>
    <w:p w:rsidRPr="00317805" w:rsidR="00317805" w:rsidP="00317805" w:rsidRDefault="00317805" w14:paraId="050577B2"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3DCDAAF3" w14:textId="77777777">
      <w:pPr>
        <w:spacing w:after="0" w:line="240" w:lineRule="auto"/>
        <w:ind w:left="1418"/>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“La Defensoría, a través de sus salas colegiadas u Órganos Resolutivos Unipersonales, tiene la facultad de recabar y pedir la información y documentación que se requiera para verificar y solucionar los casos sometidos a su competencia.</w:t>
      </w:r>
    </w:p>
    <w:p w:rsidRPr="00317805" w:rsidR="00317805" w:rsidP="00317805" w:rsidRDefault="00317805" w14:paraId="16240A77" w14:textId="77777777">
      <w:pPr>
        <w:spacing w:after="0" w:line="240" w:lineRule="auto"/>
        <w:ind w:left="1418"/>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w:t>
      </w:r>
    </w:p>
    <w:p w:rsidRPr="00317805" w:rsidR="00317805" w:rsidP="00317805" w:rsidRDefault="00317805" w14:paraId="7FB23711"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72F77E16" w14:textId="2719493C">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 xml:space="preserve">Como resulta claro, el presente procedimiento cuenta con la </w:t>
      </w:r>
      <w:proofErr w:type="gramStart"/>
      <w:r w:rsidRPr="00317805">
        <w:rPr>
          <w:rFonts w:ascii="Times New Roman" w:hAnsi="Times New Roman" w:cs="Times New Roman"/>
          <w:sz w:val="24"/>
          <w:szCs w:val="24"/>
          <w:lang w:val="es-PE"/>
        </w:rPr>
        <w:t>participación activa</w:t>
      </w:r>
      <w:proofErr w:type="gramEnd"/>
      <w:r w:rsidRPr="00317805">
        <w:rPr>
          <w:rFonts w:ascii="Times New Roman" w:hAnsi="Times New Roman" w:cs="Times New Roman"/>
          <w:sz w:val="24"/>
          <w:szCs w:val="24"/>
          <w:lang w:val="es-PE"/>
        </w:rPr>
        <w:t xml:space="preserve"> de </w:t>
      </w:r>
      <w:r>
        <w:rPr>
          <w:rFonts w:ascii="Times New Roman" w:hAnsi="Times New Roman" w:cs="Times New Roman"/>
          <w:sz w:val="24"/>
          <w:szCs w:val="24"/>
          <w:lang w:val="es-PE"/>
        </w:rPr>
        <w:t>la Sala Colegiada</w:t>
      </w:r>
      <w:r w:rsidRPr="00317805">
        <w:rPr>
          <w:rFonts w:ascii="Times New Roman" w:hAnsi="Times New Roman" w:cs="Times New Roman"/>
          <w:sz w:val="24"/>
          <w:szCs w:val="24"/>
          <w:lang w:val="es-PE"/>
        </w:rPr>
        <w:t xml:space="preserve"> en la solución de los distintos casos. Por ello, no resulta cierto que las soluciones de los casos se restrinjan a los argumentos que exponga el reclamo de turno. Por el contrario, es obligación de la presente defensoría que los casos sean resueltos en forma y fondo de la forma más justa y fiel a los hechos, razón por la que el reglamento de la presente defensoría faculta a </w:t>
      </w:r>
      <w:r>
        <w:rPr>
          <w:rFonts w:ascii="Times New Roman" w:hAnsi="Times New Roman" w:cs="Times New Roman"/>
          <w:sz w:val="24"/>
          <w:szCs w:val="24"/>
          <w:lang w:val="es-PE"/>
        </w:rPr>
        <w:t xml:space="preserve">la Sala Colegiada u </w:t>
      </w:r>
      <w:r w:rsidRPr="00317805">
        <w:rPr>
          <w:rFonts w:ascii="Times New Roman" w:hAnsi="Times New Roman" w:cs="Times New Roman"/>
          <w:sz w:val="24"/>
          <w:szCs w:val="24"/>
          <w:lang w:val="es-PE"/>
        </w:rPr>
        <w:t xml:space="preserve">Órganos Resolutivos Unipersonales a pedir información y documentación adicional, tal como sucedió en el presente caso. </w:t>
      </w:r>
    </w:p>
    <w:p w:rsidRPr="00317805" w:rsidR="00317805" w:rsidP="00317805" w:rsidRDefault="00317805" w14:paraId="1BACF606"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55670A89" w14:textId="7DBE4986">
      <w:pPr>
        <w:spacing w:after="0" w:line="240" w:lineRule="auto"/>
        <w:jc w:val="both"/>
        <w:rPr>
          <w:rFonts w:ascii="Times New Roman" w:hAnsi="Times New Roman" w:cs="Times New Roman"/>
          <w:sz w:val="24"/>
          <w:szCs w:val="24"/>
          <w:lang w:val="es-PE"/>
        </w:rPr>
      </w:pPr>
      <w:r w:rsidRPr="00317805">
        <w:rPr>
          <w:rFonts w:ascii="Times New Roman" w:hAnsi="Times New Roman" w:cs="Times New Roman"/>
          <w:sz w:val="24"/>
          <w:szCs w:val="24"/>
          <w:lang w:val="es-PE"/>
        </w:rPr>
        <w:t xml:space="preserve">Por ello, no resulta atendible el argumento de la aseguradora respecto de la falta de cuestionamiento por parte del asegurado de ciertos extremos del presente caso, ya que </w:t>
      </w:r>
      <w:r>
        <w:rPr>
          <w:rFonts w:ascii="Times New Roman" w:hAnsi="Times New Roman" w:cs="Times New Roman"/>
          <w:sz w:val="24"/>
          <w:szCs w:val="24"/>
          <w:lang w:val="es-PE"/>
        </w:rPr>
        <w:t xml:space="preserve">la Sala Colegiada u </w:t>
      </w:r>
      <w:r w:rsidRPr="00317805">
        <w:rPr>
          <w:rFonts w:ascii="Times New Roman" w:hAnsi="Times New Roman" w:cs="Times New Roman"/>
          <w:sz w:val="24"/>
          <w:szCs w:val="24"/>
          <w:lang w:val="es-PE"/>
        </w:rPr>
        <w:t>Órganos Resolutivos Unipersonales cuenta</w:t>
      </w:r>
      <w:r>
        <w:rPr>
          <w:rFonts w:ascii="Times New Roman" w:hAnsi="Times New Roman" w:cs="Times New Roman"/>
          <w:sz w:val="24"/>
          <w:szCs w:val="24"/>
          <w:lang w:val="es-PE"/>
        </w:rPr>
        <w:t>n</w:t>
      </w:r>
      <w:r w:rsidRPr="00317805">
        <w:rPr>
          <w:rFonts w:ascii="Times New Roman" w:hAnsi="Times New Roman" w:cs="Times New Roman"/>
          <w:sz w:val="24"/>
          <w:szCs w:val="24"/>
          <w:lang w:val="es-PE"/>
        </w:rPr>
        <w:t xml:space="preserve"> con la facultad de pedir información y documentación adicional que crea necesaria para la resolución del caso, tal como -repetimos- sucedió en el presente caso.</w:t>
      </w:r>
    </w:p>
    <w:p w:rsidRPr="00317805" w:rsidR="00317805" w:rsidP="00317805" w:rsidRDefault="00317805" w14:paraId="6D0C191C" w14:textId="77777777">
      <w:pPr>
        <w:spacing w:after="0" w:line="240" w:lineRule="auto"/>
        <w:jc w:val="both"/>
        <w:rPr>
          <w:rFonts w:ascii="Times New Roman" w:hAnsi="Times New Roman" w:cs="Times New Roman"/>
          <w:sz w:val="24"/>
          <w:szCs w:val="24"/>
          <w:lang w:val="es-PE"/>
        </w:rPr>
      </w:pPr>
    </w:p>
    <w:p w:rsidRPr="00317805" w:rsidR="00317805" w:rsidP="00317805" w:rsidRDefault="00317805" w14:paraId="042C443B" w14:textId="23BB835E">
      <w:pPr>
        <w:spacing w:after="0" w:line="240" w:lineRule="auto"/>
        <w:jc w:val="both"/>
        <w:rPr>
          <w:rFonts w:ascii="Times New Roman" w:hAnsi="Times New Roman" w:cs="Times New Roman"/>
          <w:sz w:val="24"/>
          <w:szCs w:val="24"/>
          <w:lang w:val="es-PE"/>
        </w:rPr>
      </w:pPr>
      <w:r>
        <w:rPr>
          <w:rFonts w:ascii="Times New Roman" w:hAnsi="Times New Roman"/>
          <w:sz w:val="24"/>
        </w:rPr>
        <w:t xml:space="preserve">QUINTO: Que, respecto de la obligatoriedad de los contratos entre las partes y las limitaciones de la póliza, debemos remitirnos a lo expresado anteriormente, puesto que resulta imposible oponer tales condiciones al asegurado, en tanto la aseguradora no ha podido acreditar que la póliza haya sido debidamente remitida a este. En ese sentido, la Sala Colegiada no puede más que remitirse a lo expresado con ocasión de la Resolución Impugnada y reafirmarse en los argumentos expuestos en esta.</w:t>
      </w:r>
    </w:p>
    <w:p w:rsidR="00317805" w:rsidP="00317805" w:rsidRDefault="00317805" w14:paraId="47DE662E" w14:textId="77777777">
      <w:pPr>
        <w:spacing w:after="0" w:line="240" w:lineRule="auto"/>
        <w:jc w:val="both"/>
        <w:rPr>
          <w:rFonts w:ascii="Times New Roman" w:hAnsi="Times New Roman" w:cs="Times New Roman"/>
          <w:b/>
          <w:sz w:val="24"/>
          <w:szCs w:val="24"/>
          <w:lang w:val="es-PE"/>
        </w:rPr>
      </w:pPr>
    </w:p>
    <w:p w:rsidR="00317805" w:rsidP="00317805" w:rsidRDefault="00317805" w14:paraId="344FE3CE"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Por lo expuesto, este Colegiado aprecia finalmente que no se ha aportado suficiente prueba que conlleve a conclusiones distintas a las establecidas en la resolución materia de impugnación, por lo que no existe mérito ni razón objetiva para revocarla.</w:t>
      </w:r>
    </w:p>
    <w:p w:rsidRPr="00317805" w:rsidR="00317805" w:rsidP="00317805" w:rsidRDefault="00317805" w14:paraId="6DE2E3F3" w14:textId="77777777">
      <w:pPr>
        <w:spacing w:after="0" w:line="240" w:lineRule="auto"/>
        <w:jc w:val="both"/>
        <w:rPr>
          <w:rFonts w:ascii="Times New Roman" w:hAnsi="Times New Roman" w:cs="Times New Roman"/>
          <w:b/>
          <w:sz w:val="24"/>
          <w:szCs w:val="24"/>
          <w:lang w:val="es-PE"/>
        </w:rPr>
      </w:pPr>
    </w:p>
    <w:p w:rsidRPr="00317805" w:rsidR="00317805" w:rsidP="00317805" w:rsidRDefault="00317805" w14:paraId="3A02BD0A" w14:textId="77777777">
      <w:pPr>
        <w:spacing w:after="0" w:line="240" w:lineRule="auto"/>
        <w:jc w:val="both"/>
        <w:rPr>
          <w:rFonts w:ascii="Times New Roman" w:hAnsi="Times New Roman" w:cs="Times New Roman"/>
          <w:b/>
          <w:sz w:val="24"/>
          <w:szCs w:val="24"/>
          <w:lang w:val="es-PE"/>
        </w:rPr>
      </w:pPr>
      <w:r w:rsidRPr="00317805">
        <w:rPr>
          <w:rFonts w:ascii="Times New Roman" w:hAnsi="Times New Roman" w:cs="Times New Roman"/>
          <w:b/>
          <w:sz w:val="24"/>
          <w:szCs w:val="24"/>
          <w:lang w:val="es-PE"/>
        </w:rPr>
        <w:t xml:space="preserve">RESUELVE: </w:t>
      </w:r>
    </w:p>
    <w:p w:rsidRPr="00317805" w:rsidR="00317805" w:rsidP="00317805" w:rsidRDefault="00317805" w14:paraId="161B09AB" w14:textId="77777777">
      <w:pPr>
        <w:spacing w:after="0" w:line="240" w:lineRule="auto"/>
        <w:jc w:val="both"/>
        <w:rPr>
          <w:rFonts w:ascii="Times New Roman" w:hAnsi="Times New Roman" w:cs="Times New Roman"/>
          <w:sz w:val="24"/>
          <w:szCs w:val="24"/>
          <w:lang w:val="es-PE"/>
        </w:rPr>
      </w:pPr>
    </w:p>
    <w:p w:rsidRPr="00317805" w:rsidR="00317805" w:rsidP="61F6BD2D" w:rsidRDefault="00317805" w14:paraId="264EA137" w14:textId="305E025A">
      <w:pPr>
        <w:spacing w:after="0" w:line="240" w:lineRule="auto"/>
        <w:jc w:val="both"/>
        <w:rPr>
          <w:rFonts w:ascii="Times New Roman" w:hAnsi="Times New Roman" w:cs="Times New Roman"/>
          <w:b w:val="1"/>
          <w:bCs w:val="1"/>
          <w:sz w:val="24"/>
          <w:szCs w:val="24"/>
          <w:lang w:val="es-PE"/>
        </w:rPr>
      </w:pPr>
      <w:r w:rsidRPr="61F6BD2D" w:rsidR="00317805">
        <w:rPr>
          <w:rFonts w:ascii="Times New Roman" w:hAnsi="Times New Roman" w:cs="Times New Roman"/>
          <w:sz w:val="24"/>
          <w:szCs w:val="24"/>
          <w:lang w:val="es-PE"/>
        </w:rPr>
        <w:t xml:space="preserve">Declarar </w:t>
      </w:r>
      <w:r w:rsidRPr="61F6BD2D" w:rsidR="00317805">
        <w:rPr>
          <w:rFonts w:ascii="Times New Roman" w:hAnsi="Times New Roman" w:cs="Times New Roman"/>
          <w:b w:val="1"/>
          <w:bCs w:val="1"/>
          <w:sz w:val="24"/>
          <w:szCs w:val="24"/>
          <w:lang w:val="es-PE"/>
        </w:rPr>
        <w:t>INFUNDADO</w:t>
      </w:r>
      <w:r w:rsidRPr="61F6BD2D" w:rsidR="00317805">
        <w:rPr>
          <w:rFonts w:ascii="Times New Roman" w:hAnsi="Times New Roman" w:cs="Times New Roman"/>
          <w:sz w:val="24"/>
          <w:szCs w:val="24"/>
          <w:lang w:val="es-PE"/>
        </w:rPr>
        <w:t xml:space="preserve"> el Recurso Impugnativo interpuesto y, por consiguiente, ratificar la Resolución </w:t>
      </w:r>
      <w:r w:rsidRPr="61F6BD2D" w:rsidR="00317805">
        <w:rPr>
          <w:rFonts w:ascii="Times New Roman" w:hAnsi="Times New Roman" w:cs="Times New Roman"/>
          <w:sz w:val="24"/>
          <w:szCs w:val="24"/>
          <w:lang w:val="es-PE"/>
        </w:rPr>
        <w:t>N°</w:t>
      </w:r>
      <w:r w:rsidRPr="61F6BD2D" w:rsidR="00317805">
        <w:rPr>
          <w:rFonts w:ascii="Times New Roman" w:hAnsi="Times New Roman" w:cs="Times New Roman"/>
          <w:sz w:val="24"/>
          <w:szCs w:val="24"/>
          <w:lang w:val="es-PE"/>
        </w:rPr>
        <w:t xml:space="preserve"> 030/23 que declaró</w:t>
      </w:r>
      <w:r w:rsidRPr="61F6BD2D" w:rsidR="00317805">
        <w:rPr>
          <w:rFonts w:ascii="Times New Roman" w:hAnsi="Times New Roman" w:cs="Times New Roman"/>
          <w:b w:val="1"/>
          <w:bCs w:val="1"/>
          <w:sz w:val="24"/>
          <w:szCs w:val="24"/>
          <w:lang w:val="es-PE"/>
        </w:rPr>
        <w:t xml:space="preserve"> FUNDADA </w:t>
      </w:r>
      <w:r w:rsidRPr="61F6BD2D" w:rsidR="00317805">
        <w:rPr>
          <w:rFonts w:ascii="Times New Roman" w:hAnsi="Times New Roman" w:cs="Times New Roman"/>
          <w:sz w:val="24"/>
          <w:szCs w:val="24"/>
          <w:lang w:val="es-PE"/>
        </w:rPr>
        <w:t>la reclamación interpuesta</w:t>
      </w:r>
      <w:r w:rsidRPr="61F6BD2D" w:rsidR="00317805">
        <w:rPr>
          <w:rFonts w:ascii="Times New Roman" w:hAnsi="Times New Roman" w:cs="Times New Roman"/>
          <w:b w:val="1"/>
          <w:bCs w:val="1"/>
          <w:sz w:val="24"/>
          <w:szCs w:val="24"/>
          <w:lang w:val="es-PE"/>
        </w:rPr>
        <w:t xml:space="preserve"> </w:t>
      </w:r>
      <w:r w:rsidRPr="61F6BD2D" w:rsidR="00317805">
        <w:rPr>
          <w:rFonts w:ascii="Times New Roman" w:hAnsi="Times New Roman" w:cs="Times New Roman"/>
          <w:sz w:val="24"/>
          <w:szCs w:val="24"/>
          <w:lang w:val="es-PE"/>
        </w:rPr>
        <w:t>contra</w:t>
      </w:r>
      <w:r w:rsidRPr="61F6BD2D" w:rsidR="00317805">
        <w:rPr>
          <w:rFonts w:ascii="Times New Roman" w:hAnsi="Times New Roman" w:cs="Times New Roman"/>
          <w:b w:val="1"/>
          <w:bCs w:val="1"/>
          <w:sz w:val="24"/>
          <w:szCs w:val="24"/>
          <w:lang w:val="es-PE"/>
        </w:rPr>
        <w:t xml:space="preserve"> </w:t>
      </w:r>
      <w:r w:rsidRPr="61F6BD2D" w:rsidR="5DC75664">
        <w:rPr>
          <w:rFonts w:ascii="Times New Roman" w:hAnsi="Times New Roman" w:cs="Times New Roman"/>
          <w:b w:val="1"/>
          <w:bCs w:val="1"/>
          <w:sz w:val="24"/>
          <w:szCs w:val="24"/>
          <w:lang w:val="es-PE"/>
        </w:rPr>
        <w:t>.........................................................................</w:t>
      </w:r>
    </w:p>
    <w:p w:rsidRPr="00317805"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317805" w:rsidR="00231C58" w:rsidP="005A40A4" w:rsidRDefault="0091528B" w14:paraId="2B9BAAC8" w14:textId="6D241D1B">
      <w:pPr>
        <w:suppressAutoHyphens/>
        <w:spacing w:after="0" w:line="240" w:lineRule="auto"/>
        <w:jc w:val="right"/>
        <w:outlineLvl w:val="0"/>
        <w:rPr>
          <w:rFonts w:ascii="Times New Roman" w:hAnsi="Times New Roman" w:eastAsia="Arial Unicode MS" w:cs="Times New Roman"/>
          <w:sz w:val="24"/>
          <w:szCs w:val="24"/>
          <w:lang w:val="es-PE" w:eastAsia="ar-SA"/>
        </w:rPr>
      </w:pPr>
      <w:r w:rsidRPr="00317805">
        <w:rPr>
          <w:rFonts w:ascii="Times New Roman" w:hAnsi="Times New Roman" w:eastAsia="Arial Unicode MS" w:cs="Times New Roman"/>
          <w:sz w:val="24"/>
          <w:szCs w:val="24"/>
          <w:lang w:val="es-PE" w:eastAsia="ar-SA"/>
        </w:rPr>
        <w:t xml:space="preserve">Lima, </w:t>
      </w:r>
      <w:r w:rsidRPr="00317805" w:rsidR="00317805">
        <w:rPr>
          <w:rFonts w:ascii="Times New Roman" w:hAnsi="Times New Roman" w:eastAsia="Arial Unicode MS" w:cs="Times New Roman"/>
          <w:sz w:val="24"/>
          <w:szCs w:val="24"/>
          <w:lang w:val="es-PE" w:eastAsia="ar-SA"/>
        </w:rPr>
        <w:t>21</w:t>
      </w:r>
      <w:r w:rsidRPr="00317805" w:rsidR="002F478E">
        <w:rPr>
          <w:rFonts w:ascii="Times New Roman" w:hAnsi="Times New Roman" w:eastAsia="Arial Unicode MS" w:cs="Times New Roman"/>
          <w:sz w:val="24"/>
          <w:szCs w:val="24"/>
          <w:lang w:val="es-PE" w:eastAsia="ar-SA"/>
        </w:rPr>
        <w:t xml:space="preserve"> </w:t>
      </w:r>
      <w:r w:rsidRPr="00317805" w:rsidR="00707C99">
        <w:rPr>
          <w:rFonts w:ascii="Times New Roman" w:hAnsi="Times New Roman" w:eastAsia="Arial Unicode MS" w:cs="Times New Roman"/>
          <w:sz w:val="24"/>
          <w:szCs w:val="24"/>
          <w:lang w:val="es-PE" w:eastAsia="ar-SA"/>
        </w:rPr>
        <w:t xml:space="preserve">de </w:t>
      </w:r>
      <w:r w:rsidRPr="00317805" w:rsidR="002F478E">
        <w:rPr>
          <w:rFonts w:ascii="Times New Roman" w:hAnsi="Times New Roman" w:eastAsia="Arial Unicode MS" w:cs="Times New Roman"/>
          <w:sz w:val="24"/>
          <w:szCs w:val="24"/>
          <w:lang w:val="es-PE" w:eastAsia="ar-SA"/>
        </w:rPr>
        <w:t xml:space="preserve">junio </w:t>
      </w:r>
      <w:r w:rsidRPr="00317805" w:rsidR="00F06498">
        <w:rPr>
          <w:rFonts w:ascii="Times New Roman" w:hAnsi="Times New Roman" w:eastAsia="Arial Unicode MS" w:cs="Times New Roman"/>
          <w:sz w:val="24"/>
          <w:szCs w:val="24"/>
          <w:lang w:val="es-PE" w:eastAsia="ar-SA"/>
        </w:rPr>
        <w:t>de 202</w:t>
      </w:r>
      <w:r w:rsidRPr="00317805" w:rsidR="00B340D4">
        <w:rPr>
          <w:rFonts w:ascii="Times New Roman" w:hAnsi="Times New Roman" w:eastAsia="Arial Unicode MS" w:cs="Times New Roman"/>
          <w:sz w:val="24"/>
          <w:szCs w:val="24"/>
          <w:lang w:val="es-PE" w:eastAsia="ar-SA"/>
        </w:rPr>
        <w:t>3</w:t>
      </w:r>
      <w:r w:rsidRPr="00317805" w:rsidR="00707C99">
        <w:rPr>
          <w:rFonts w:ascii="Times New Roman" w:hAnsi="Times New Roman" w:eastAsia="Times New Roman" w:cs="Times New Roman"/>
          <w:sz w:val="24"/>
          <w:szCs w:val="24"/>
          <w:lang w:val="es-PE" w:eastAsia="ar-SA"/>
        </w:rPr>
        <w:t xml:space="preserve"> </w:t>
      </w:r>
    </w:p>
    <w:p w:rsidRPr="00317805"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17805"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31780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17805"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317805"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317805">
        <w:rPr>
          <w:rFonts w:ascii="Times New Roman" w:hAnsi="Times New Roman" w:cs="Times New Roman"/>
          <w:b/>
          <w:bCs/>
          <w:sz w:val="24"/>
          <w:szCs w:val="24"/>
          <w:lang w:val="es-PE"/>
        </w:rPr>
        <w:t>María Eugenia Valdez Fernández Baca – Vocal</w:t>
      </w:r>
    </w:p>
    <w:p w:rsidRPr="00317805"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317805">
        <w:rPr>
          <w:rFonts w:ascii="Times New Roman" w:hAnsi="Times New Roman" w:cs="Times New Roman"/>
          <w:b/>
          <w:bCs/>
          <w:sz w:val="24"/>
          <w:szCs w:val="24"/>
          <w:lang w:val="es-PE"/>
        </w:rPr>
        <w:t xml:space="preserve">Rolando Eyzaguirre </w:t>
      </w:r>
      <w:proofErr w:type="spellStart"/>
      <w:r w:rsidRPr="00317805">
        <w:rPr>
          <w:rFonts w:ascii="Times New Roman" w:hAnsi="Times New Roman" w:cs="Times New Roman"/>
          <w:b/>
          <w:bCs/>
          <w:sz w:val="24"/>
          <w:szCs w:val="24"/>
          <w:lang w:val="es-PE"/>
        </w:rPr>
        <w:t>Maccan</w:t>
      </w:r>
      <w:proofErr w:type="spellEnd"/>
      <w:r w:rsidRPr="00317805">
        <w:rPr>
          <w:rFonts w:ascii="Times New Roman" w:hAnsi="Times New Roman" w:cs="Times New Roman"/>
          <w:b/>
          <w:bCs/>
          <w:sz w:val="24"/>
          <w:szCs w:val="24"/>
          <w:lang w:val="es-PE"/>
        </w:rPr>
        <w:t xml:space="preserve"> – Vocal</w:t>
      </w:r>
    </w:p>
    <w:p w:rsidRPr="00317805"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317805">
        <w:rPr>
          <w:rFonts w:ascii="Times New Roman" w:hAnsi="Times New Roman" w:cs="Times New Roman"/>
          <w:b/>
          <w:bCs/>
          <w:sz w:val="24"/>
          <w:szCs w:val="24"/>
          <w:lang w:val="es-PE"/>
        </w:rPr>
        <w:t>Gonzalo Abad del Busto – Vocal</w:t>
      </w:r>
    </w:p>
    <w:p w:rsidRPr="00AE58A1"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28DE" w:rsidP="00784355" w:rsidRDefault="00D228DE" w14:paraId="43135B03" w14:textId="77777777">
      <w:pPr>
        <w:spacing w:after="0" w:line="240" w:lineRule="auto"/>
      </w:pPr>
      <w:r>
        <w:separator/>
      </w:r>
    </w:p>
  </w:endnote>
  <w:endnote w:type="continuationSeparator" w:id="0">
    <w:p w:rsidR="00D228DE" w:rsidP="00784355" w:rsidRDefault="00D228DE" w14:paraId="40C895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28DE" w:rsidP="00784355" w:rsidRDefault="00D228DE" w14:paraId="0553BB3A" w14:textId="77777777">
      <w:pPr>
        <w:spacing w:after="0" w:line="240" w:lineRule="auto"/>
      </w:pPr>
      <w:r>
        <w:separator/>
      </w:r>
    </w:p>
  </w:footnote>
  <w:footnote w:type="continuationSeparator" w:id="0">
    <w:p w:rsidR="00D228DE" w:rsidP="00784355" w:rsidRDefault="00D228DE" w14:paraId="21A909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3829"/>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229F3E94"/>
    <w:rsid w:val="353CB119"/>
    <w:rsid w:val="5DC75664"/>
    <w:rsid w:val="61F6BD2D"/>
    <w:rsid w:val="713BE777"/>
    <w:rsid w:val="784F5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857C958-44B3-4D7D-ABE1-62DDAD791FEA}"/>
</file>

<file path=customXml/itemProps3.xml><?xml version="1.0" encoding="utf-8"?>
<ds:datastoreItem xmlns:ds="http://schemas.openxmlformats.org/officeDocument/2006/customXml" ds:itemID="{6C7C1DA1-535B-4CAF-951E-6A25809BF5D1}"/>
</file>

<file path=customXml/itemProps4.xml><?xml version="1.0" encoding="utf-8"?>
<ds:datastoreItem xmlns:ds="http://schemas.openxmlformats.org/officeDocument/2006/customXml" ds:itemID="{CAA02207-3F51-430E-943F-EDDAA30080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61</cp:revision>
  <cp:lastPrinted>2023-06-14T16:22:00Z</cp:lastPrinted>
  <dcterms:created xsi:type="dcterms:W3CDTF">2023-02-14T22:37:00Z</dcterms:created>
  <dcterms:modified xsi:type="dcterms:W3CDTF">2025-12-02T21:14:54Z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