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A31B9" w:rsidR="00707C99" w:rsidP="00272F4F" w:rsidRDefault="00201C0D" w14:paraId="19FE0E96" w14:textId="4358A858">
      <w:pPr>
        <w:spacing w:after="0" w:line="240" w:lineRule="auto"/>
        <w:jc w:val="center"/>
        <w:rPr>
          <w:rFonts w:ascii="Times New Roman" w:hAnsi="Times New Roman" w:cs="Times New Roman"/>
          <w:b/>
          <w:sz w:val="23"/>
          <w:szCs w:val="23"/>
          <w:lang w:val="es-PE" w:eastAsia="ar-SA"/>
        </w:rPr>
      </w:pPr>
      <w:r w:rsidRPr="00FA31B9">
        <w:rPr>
          <w:rFonts w:ascii="Times New Roman" w:hAnsi="Times New Roman" w:cs="Times New Roman"/>
          <w:b/>
          <w:sz w:val="24"/>
          <w:szCs w:val="23"/>
          <w:lang w:val="es-PE" w:eastAsia="ar-SA"/>
        </w:rPr>
        <w:t xml:space="preserve">RESOLUCIÓN DE RECURSO IMPUGNATIVO </w:t>
      </w:r>
      <w:proofErr w:type="spellStart"/>
      <w:r w:rsidRPr="00FA31B9" w:rsidR="00707C99">
        <w:rPr>
          <w:rFonts w:ascii="Times New Roman" w:hAnsi="Times New Roman" w:cs="Times New Roman"/>
          <w:b/>
          <w:sz w:val="24"/>
          <w:szCs w:val="23"/>
          <w:lang w:val="es-PE" w:eastAsia="ar-SA"/>
        </w:rPr>
        <w:t>N°</w:t>
      </w:r>
      <w:proofErr w:type="spellEnd"/>
      <w:r w:rsidRPr="00FA31B9" w:rsidR="00707C99">
        <w:rPr>
          <w:rFonts w:ascii="Times New Roman" w:hAnsi="Times New Roman" w:cs="Times New Roman"/>
          <w:b/>
          <w:sz w:val="24"/>
          <w:szCs w:val="23"/>
          <w:lang w:val="es-PE" w:eastAsia="ar-SA"/>
        </w:rPr>
        <w:t xml:space="preserve"> </w:t>
      </w:r>
      <w:r w:rsidRPr="00FA31B9" w:rsidR="00516293">
        <w:rPr>
          <w:rFonts w:ascii="Times New Roman" w:hAnsi="Times New Roman" w:cs="Times New Roman"/>
          <w:b/>
          <w:sz w:val="24"/>
          <w:szCs w:val="23"/>
          <w:lang w:val="es-PE" w:eastAsia="ar-SA"/>
        </w:rPr>
        <w:t>02</w:t>
      </w:r>
      <w:r w:rsidRPr="00FA31B9" w:rsidR="001C3A70">
        <w:rPr>
          <w:rFonts w:ascii="Times New Roman" w:hAnsi="Times New Roman" w:cs="Times New Roman"/>
          <w:b/>
          <w:sz w:val="24"/>
          <w:szCs w:val="23"/>
          <w:lang w:val="es-PE" w:eastAsia="ar-SA"/>
        </w:rPr>
        <w:t>6</w:t>
      </w:r>
      <w:r w:rsidRPr="00FA31B9" w:rsidR="00C671F5">
        <w:rPr>
          <w:rFonts w:ascii="Times New Roman" w:hAnsi="Times New Roman" w:cs="Times New Roman"/>
          <w:b/>
          <w:sz w:val="24"/>
          <w:szCs w:val="23"/>
          <w:lang w:val="es-PE" w:eastAsia="ar-SA"/>
        </w:rPr>
        <w:t>/2</w:t>
      </w:r>
      <w:r w:rsidRPr="00FA31B9" w:rsidR="00AB7BFE">
        <w:rPr>
          <w:rFonts w:ascii="Times New Roman" w:hAnsi="Times New Roman" w:cs="Times New Roman"/>
          <w:b/>
          <w:sz w:val="24"/>
          <w:szCs w:val="23"/>
          <w:lang w:val="es-PE" w:eastAsia="ar-SA"/>
        </w:rPr>
        <w:t>3</w:t>
      </w:r>
    </w:p>
    <w:p w:rsidRPr="00FA31B9" w:rsidR="005C6AB8" w:rsidP="005C6AB8" w:rsidRDefault="005C6AB8" w14:paraId="3A98C1EC" w14:textId="77777777">
      <w:pPr>
        <w:spacing w:after="0" w:line="240" w:lineRule="auto"/>
        <w:jc w:val="both"/>
        <w:rPr>
          <w:rFonts w:ascii="Times New Roman" w:hAnsi="Times New Roman" w:cs="Times New Roman"/>
          <w:b/>
          <w:sz w:val="23"/>
          <w:szCs w:val="23"/>
          <w:lang w:val="es-PE"/>
        </w:rPr>
      </w:pPr>
    </w:p>
    <w:p w:rsidRPr="00FA31B9" w:rsidR="00FA31B9" w:rsidP="00FA31B9" w:rsidRDefault="00FA31B9" w14:paraId="1AAD186E" w14:textId="77777777">
      <w:pPr>
        <w:suppressAutoHyphens/>
        <w:spacing w:line="240" w:lineRule="auto"/>
        <w:jc w:val="both"/>
        <w:outlineLvl w:val="0"/>
        <w:rPr>
          <w:rFonts w:ascii="Times New Roman" w:hAnsi="Times New Roman" w:eastAsia="Times New Roman" w:cs="Times New Roman"/>
          <w:b/>
          <w:bCs/>
          <w:sz w:val="23"/>
          <w:szCs w:val="23"/>
          <w:lang w:val="es-MX" w:eastAsia="ar-SA"/>
        </w:rPr>
      </w:pPr>
      <w:r w:rsidRPr="00FA31B9">
        <w:rPr>
          <w:rFonts w:ascii="Times New Roman" w:hAnsi="Times New Roman" w:eastAsia="Times New Roman" w:cs="Times New Roman"/>
          <w:b/>
          <w:bCs/>
          <w:sz w:val="24"/>
          <w:szCs w:val="23"/>
          <w:lang w:val="es-MX" w:eastAsia="ar-SA"/>
        </w:rPr>
        <w:t>Vistos:</w:t>
      </w:r>
    </w:p>
    <w:p w:rsidRPr="00FA31B9" w:rsidR="00FA31B9" w:rsidP="00FA31B9" w:rsidRDefault="00FA31B9" w14:paraId="727ED53F" w14:textId="662B1ECC">
      <w:pPr>
        <w:suppressAutoHyphens/>
        <w:spacing w:line="240" w:lineRule="auto"/>
        <w:jc w:val="both"/>
        <w:rPr>
          <w:rFonts w:ascii="Times New Roman" w:hAnsi="Times New Roman" w:eastAsia="Times New Roman" w:cs="Times New Roman"/>
          <w:b w:val="1"/>
          <w:bCs w:val="1"/>
          <w:sz w:val="23"/>
          <w:szCs w:val="23"/>
          <w:lang w:val="es-MX" w:eastAsia="ar-SA"/>
        </w:rPr>
      </w:pPr>
      <w:r>
        <w:rPr>
          <w:rFonts w:ascii="Times New Roman" w:hAnsi="Times New Roman"/>
          <w:sz w:val="24"/>
        </w:rPr>
        <w:t xml:space="preserve">El Recurso de Impugnación presentado por  doña ............................................................... respecto de la Resolución Nº 099/23 de fecha 06 de junio de 2023, que declaró ………………… la reclamación interpuesta contra ...............................  respecto del Seguro de Vida Ley del señor…………………, contratado por su empleador ................................... (Póliza N° ………………… ......................).</w:t>
      </w:r>
    </w:p>
    <w:bookmarkEnd w:id="0"/>
    <w:p w:rsidRPr="00FA31B9" w:rsidR="00FA31B9" w:rsidP="00FA31B9" w:rsidRDefault="00FA31B9" w14:paraId="3B018C09" w14:textId="77777777">
      <w:pPr>
        <w:pStyle w:val="Default"/>
        <w:spacing w:line="240" w:lineRule="auto"/>
        <w:jc w:val="both"/>
        <w:rPr>
          <w:rFonts w:ascii="Times New Roman" w:hAnsi="Times New Roman" w:cs="Times New Roman"/>
          <w:bCs/>
          <w:sz w:val="23"/>
          <w:szCs w:val="23"/>
          <w:lang w:val="es-MX" w:eastAsia="ar-SA"/>
        </w:rPr>
      </w:pPr>
      <w:r w:rsidRPr="00FA31B9">
        <w:rPr>
          <w:rFonts w:ascii="Times New Roman" w:hAnsi="Times New Roman" w:cs="Times New Roman"/>
          <w:bCs/>
          <w:sz w:val="24"/>
          <w:szCs w:val="23"/>
          <w:lang w:val="es-MX" w:eastAsia="ar-SA"/>
        </w:rPr>
        <w:t>Que, a través del señalado recurso la parte reclamante manifiesta su disconformidad con lo resuelto señalando resumidamente lo siguiente: a) que en uso irrestricto de sus derechos constitucionales exclusivamente el derecho a la defensa consagrado, en el artículo 11, inciso 1) de la declaración universal de los derechos humanos y otras normas que refiere; y el derecho de petición solicita se tenga por interpuesto su recurso de apelación y se declare fundado; reitera que su el asegurado no tenía enfermedad preexistente pues pasó todos los exámenes médicos, que se le ha asignado una discapacidad del 70%, por lo que solicita la indemnización por incapacidad que prevé la ley.</w:t>
      </w:r>
    </w:p>
    <w:p w:rsidRPr="00FA31B9" w:rsidR="00FA31B9" w:rsidP="00FA31B9" w:rsidRDefault="00FA31B9" w14:paraId="4565FA0E" w14:textId="77777777">
      <w:pPr>
        <w:pStyle w:val="Default"/>
        <w:spacing w:line="240" w:lineRule="auto"/>
        <w:jc w:val="both"/>
        <w:rPr>
          <w:rFonts w:ascii="Times New Roman" w:hAnsi="Times New Roman" w:cs="Times New Roman"/>
          <w:bCs/>
          <w:sz w:val="23"/>
          <w:szCs w:val="23"/>
          <w:lang w:val="es-MX" w:eastAsia="ar-SA"/>
        </w:rPr>
      </w:pPr>
      <w:r w:rsidRPr="00FA31B9">
        <w:rPr>
          <w:rFonts w:ascii="Times New Roman" w:hAnsi="Times New Roman" w:cs="Times New Roman"/>
          <w:bCs/>
          <w:sz w:val="24"/>
          <w:szCs w:val="23"/>
          <w:lang w:val="es-MX" w:eastAsia="ar-SA"/>
        </w:rPr>
        <w:t xml:space="preserve">  </w:t>
      </w:r>
    </w:p>
    <w:p w:rsidRPr="00FA31B9" w:rsidR="00FA31B9" w:rsidP="00FA31B9" w:rsidRDefault="00FA31B9" w14:paraId="7436BB2E" w14:textId="77777777">
      <w:pPr>
        <w:pStyle w:val="Default"/>
        <w:spacing w:line="240" w:lineRule="auto"/>
        <w:jc w:val="both"/>
        <w:rPr>
          <w:rFonts w:ascii="Times New Roman" w:hAnsi="Times New Roman" w:cs="Times New Roman"/>
          <w:bCs/>
          <w:sz w:val="23"/>
          <w:szCs w:val="23"/>
          <w:lang w:val="es-MX" w:eastAsia="ar-SA"/>
        </w:rPr>
      </w:pPr>
      <w:r>
        <w:rPr>
          <w:rFonts w:ascii="Times New Roman" w:hAnsi="Times New Roman"/>
          <w:sz w:val="24"/>
        </w:rPr>
        <w:t xml:space="preserve">Que habiéndose corrido traslado de la impugnación a la aseguradora, esta absolvió el Recurso de Impugnación señalando que se encuentra de acuerdo con lo resuelto, y que por lo tanto, siendo que se ha declarado fundado el reclamo en el extremo referido a la cobertura adicional de indemnización por accidente cerebro vascular, procederán a pagar dicha indemnización en los términos de la póliza. Asimismo, en el extremo que se declara infundado el reclamo respecto de la cobertura de invalidez total o permanente originada por accidente, reiteran los argumentos expuestos en sus descargos y señalan que el recurso interpuesto no indica las razones por las cuales considera que la cobertura es procedente, menos aún han presentado prueba alguna que sustento su pedido por lo que el recurso debe ser declarado infundado, en tanto es claro que la invalidez no se produce por una causa accidental.</w:t>
      </w:r>
    </w:p>
    <w:p w:rsidRPr="00FA31B9" w:rsidR="00FA31B9" w:rsidP="00FA31B9" w:rsidRDefault="00FA31B9" w14:paraId="72B7DA94" w14:textId="77777777">
      <w:pPr>
        <w:pStyle w:val="Default"/>
        <w:spacing w:line="240" w:lineRule="auto"/>
        <w:jc w:val="both"/>
        <w:rPr>
          <w:rFonts w:ascii="Times New Roman" w:hAnsi="Times New Roman" w:cs="Times New Roman"/>
          <w:bCs/>
          <w:sz w:val="23"/>
          <w:szCs w:val="23"/>
          <w:lang w:val="es-MX" w:eastAsia="ar-SA"/>
        </w:rPr>
      </w:pPr>
    </w:p>
    <w:p w:rsidRPr="00FA31B9" w:rsidR="00FA31B9" w:rsidP="00FA31B9" w:rsidRDefault="00FA31B9" w14:paraId="12495E2C" w14:textId="77777777">
      <w:pPr>
        <w:suppressAutoHyphens/>
        <w:spacing w:line="240" w:lineRule="auto"/>
        <w:jc w:val="both"/>
        <w:rPr>
          <w:rFonts w:ascii="Times New Roman" w:hAnsi="Times New Roman" w:eastAsia="Times New Roman" w:cs="Times New Roman"/>
          <w:bCs/>
          <w:sz w:val="23"/>
          <w:szCs w:val="23"/>
          <w:lang w:val="es-MX" w:eastAsia="ar-SA"/>
        </w:rPr>
      </w:pPr>
      <w:r w:rsidRPr="00FA31B9">
        <w:rPr>
          <w:rFonts w:ascii="Times New Roman" w:hAnsi="Times New Roman" w:eastAsia="Times New Roman" w:cs="Times New Roman"/>
          <w:b/>
          <w:bCs/>
          <w:sz w:val="24"/>
          <w:szCs w:val="23"/>
          <w:lang w:val="es-MX" w:eastAsia="ar-SA"/>
        </w:rPr>
        <w:t>Considerando:</w:t>
      </w:r>
    </w:p>
    <w:p w:rsidRPr="00FA31B9" w:rsidR="00FA31B9" w:rsidP="00FA31B9" w:rsidRDefault="00FA31B9" w14:paraId="78BBF116" w14:textId="77777777">
      <w:pPr>
        <w:spacing w:line="240" w:lineRule="auto"/>
        <w:jc w:val="both"/>
        <w:rPr>
          <w:rFonts w:ascii="Times New Roman" w:hAnsi="Times New Roman" w:cs="Times New Roman"/>
          <w:bCs/>
          <w:sz w:val="23"/>
          <w:szCs w:val="23"/>
          <w:lang w:val="es-PE"/>
        </w:rPr>
      </w:pPr>
      <w:r>
        <w:rPr>
          <w:rFonts w:ascii="Times New Roman" w:hAnsi="Times New Roman"/>
          <w:sz w:val="24"/>
        </w:rPr>
        <w:t xml:space="preserve">Primero: El Reglamento de la DEFASEG (http://www.defaseg.com.pe/reglamento) establece que la parte que no se encuentre de acuerdo con lo resuelto en su oportunidad podrá impugnarlo, interponiendo el correspondiente recurso. Conforme a ello, en el caso concreto, al interponer el Recurso de Impugnación la parte reclamante ha ejercido formalmente su derecho a contradecir lo resuelto por la Defensoría.</w:t>
      </w:r>
    </w:p>
    <w:p w:rsidRPr="00FA31B9" w:rsidR="00FA31B9" w:rsidP="00FA31B9" w:rsidRDefault="00FA31B9" w14:paraId="0BC5166B" w14:textId="77777777">
      <w:pPr>
        <w:tabs>
          <w:tab w:val="left" w:pos="0"/>
          <w:tab w:val="left" w:pos="2160"/>
        </w:tabs>
        <w:spacing w:line="240" w:lineRule="auto"/>
        <w:jc w:val="both"/>
        <w:rPr>
          <w:rFonts w:ascii="Times New Roman" w:hAnsi="Times New Roman" w:cs="Times New Roman"/>
          <w:sz w:val="23"/>
          <w:szCs w:val="23"/>
          <w:lang w:val="es-ES"/>
        </w:rPr>
      </w:pPr>
      <w:r w:rsidRPr="00FA31B9">
        <w:rPr>
          <w:rFonts w:ascii="Times New Roman" w:hAnsi="Times New Roman" w:cs="Times New Roman"/>
          <w:b/>
          <w:sz w:val="24"/>
          <w:szCs w:val="23"/>
          <w:u w:val="single"/>
          <w:lang w:val="es-PE"/>
        </w:rPr>
        <w:t>Segundo</w:t>
      </w:r>
      <w:r w:rsidRPr="00FA31B9">
        <w:rPr>
          <w:rFonts w:ascii="Times New Roman" w:hAnsi="Times New Roman" w:cs="Times New Roman"/>
          <w:b/>
          <w:sz w:val="24"/>
          <w:szCs w:val="23"/>
          <w:lang w:val="es-PE"/>
        </w:rPr>
        <w:t>:</w:t>
      </w:r>
      <w:r w:rsidRPr="00FA31B9">
        <w:rPr>
          <w:rFonts w:ascii="Times New Roman" w:hAnsi="Times New Roman" w:cs="Times New Roman"/>
          <w:sz w:val="24"/>
          <w:szCs w:val="23"/>
          <w:lang w:val="es-PE"/>
        </w:rPr>
        <w:t xml:space="preserve"> Atendiendo a los fundamentos de la impugnación interpuesta, se advierte que la reclamante insiste en sus argumentos ya analizados, </w:t>
      </w:r>
      <w:r w:rsidRPr="00FA31B9">
        <w:rPr>
          <w:rFonts w:ascii="Times New Roman" w:hAnsi="Times New Roman" w:cs="Times New Roman"/>
          <w:bCs/>
          <w:sz w:val="24"/>
          <w:szCs w:val="23"/>
          <w:lang w:val="es-PE"/>
        </w:rPr>
        <w:t xml:space="preserve">de manera que el </w:t>
      </w:r>
      <w:r w:rsidRPr="00FA31B9">
        <w:rPr>
          <w:rFonts w:ascii="Times New Roman" w:hAnsi="Times New Roman" w:cs="Times New Roman"/>
          <w:sz w:val="24"/>
          <w:szCs w:val="23"/>
          <w:lang w:val="es-ES"/>
        </w:rPr>
        <w:t>recurso impugnativo interpuesto por el reclamante puede ser categorizado, por su contenido mismo, como una solicitud de revisión general, sustentada exclusivamente en el criterio del reclamante, que esta Defensoría respeta pero no comparte,  sin aportar nuevo medio probatorio que permita efectivamente concluir que este colegiado incurrió en error o vicio al momento de resolver. En efecto, de la lectura del recurso impugnativo se aprecia dicha disconformidad, descalificando lo resuelto por la DEFASEG por el solo hecho que no se han recogido los argumentos de la parte reclamante.</w:t>
      </w:r>
    </w:p>
    <w:p w:rsidRPr="00FA31B9" w:rsidR="00FA31B9" w:rsidP="00FA31B9" w:rsidRDefault="00FA31B9" w14:paraId="3B89908E" w14:textId="72CF0A25">
      <w:pPr>
        <w:tabs>
          <w:tab w:val="left" w:pos="0"/>
          <w:tab w:val="left" w:pos="2160"/>
        </w:tabs>
        <w:spacing w:line="240" w:lineRule="auto"/>
        <w:jc w:val="both"/>
        <w:rPr>
          <w:rFonts w:ascii="Times New Roman" w:hAnsi="Times New Roman" w:cs="Times New Roman"/>
          <w:sz w:val="23"/>
          <w:szCs w:val="23"/>
          <w:lang w:val="es-ES"/>
        </w:rPr>
      </w:pPr>
      <w:r w:rsidRPr="00FA31B9">
        <w:rPr>
          <w:rFonts w:ascii="Times New Roman" w:hAnsi="Times New Roman" w:cs="Times New Roman"/>
          <w:sz w:val="24"/>
          <w:szCs w:val="23"/>
          <w:lang w:val="es-ES"/>
        </w:rPr>
        <w:t xml:space="preserve">Sobre el particular, este colegiado reitera que la póliza solo cubre la invalidez total y permanente que se produce a consecuencia de un accidente, siendo que en este caso no se ha acreditado que el accidente que habría originado la invalidez, por el contrario, está acreditado que la invalidez se produce a consecuencia de complicaciones derivadas del Covid-19, el rechazo de cobertura respecto de la cobertura de invalidez total y permanente por accidente resulta legítimo. </w:t>
      </w:r>
    </w:p>
    <w:p w:rsidRPr="00FA31B9" w:rsidR="00FA31B9" w:rsidP="00FA31B9" w:rsidRDefault="00FA31B9" w14:paraId="455C588A" w14:textId="77777777">
      <w:pPr>
        <w:tabs>
          <w:tab w:val="left" w:pos="0"/>
          <w:tab w:val="left" w:pos="2160"/>
        </w:tabs>
        <w:spacing w:line="240" w:lineRule="auto"/>
        <w:jc w:val="both"/>
        <w:rPr>
          <w:rFonts w:ascii="Times New Roman" w:hAnsi="Times New Roman" w:cs="Times New Roman"/>
          <w:sz w:val="23"/>
          <w:szCs w:val="23"/>
          <w:lang w:val="es-ES"/>
        </w:rPr>
      </w:pPr>
      <w:r>
        <w:rPr>
          <w:rFonts w:ascii="Times New Roman" w:hAnsi="Times New Roman"/>
          <w:sz w:val="24"/>
        </w:rPr>
        <w:t xml:space="preserve">En lo que respecta a la cobertura adicional de indemnización por evento cerebro vascular, este colegiado reitera lo expuesto en la Resolución Impugnada, a través de la cual se determinó que sí correspondería el otorgamiento de esta cobertura adicional, por las razones expuestas en la Resolución Impugnada.</w:t>
      </w:r>
    </w:p>
    <w:p w:rsidRPr="00FA31B9" w:rsidR="00FA31B9" w:rsidP="00FA31B9" w:rsidRDefault="00FA31B9" w14:paraId="3834440A" w14:textId="77777777">
      <w:pPr>
        <w:tabs>
          <w:tab w:val="left" w:pos="0"/>
          <w:tab w:val="left" w:pos="2160"/>
        </w:tabs>
        <w:spacing w:line="240" w:lineRule="auto"/>
        <w:jc w:val="both"/>
        <w:rPr>
          <w:rFonts w:ascii="Times New Roman" w:hAnsi="Times New Roman" w:cs="Times New Roman"/>
          <w:sz w:val="23"/>
          <w:szCs w:val="23"/>
          <w:lang w:val="es-ES"/>
        </w:rPr>
      </w:pPr>
      <w:r w:rsidRPr="00FA31B9">
        <w:rPr>
          <w:rFonts w:ascii="Times New Roman" w:hAnsi="Times New Roman" w:cs="Times New Roman"/>
          <w:b/>
          <w:bCs/>
          <w:sz w:val="24"/>
          <w:szCs w:val="23"/>
          <w:u w:val="single"/>
          <w:lang w:val="es-PE"/>
        </w:rPr>
        <w:t>Tercero:</w:t>
      </w:r>
      <w:r w:rsidRPr="00FA31B9">
        <w:rPr>
          <w:rFonts w:ascii="Times New Roman" w:hAnsi="Times New Roman" w:cs="Times New Roman"/>
          <w:sz w:val="24"/>
          <w:szCs w:val="23"/>
          <w:lang w:val="es-PE"/>
        </w:rPr>
        <w:t xml:space="preserve">  </w:t>
      </w:r>
      <w:bookmarkStart w:name="_Hlk114153333" w:id="1"/>
      <w:r w:rsidRPr="00FA31B9">
        <w:rPr>
          <w:rFonts w:ascii="Times New Roman" w:hAnsi="Times New Roman" w:cs="Times New Roman"/>
          <w:sz w:val="24"/>
          <w:szCs w:val="23"/>
          <w:lang w:val="es-PE"/>
        </w:rPr>
        <w:t xml:space="preserve">Finalmente, </w:t>
      </w:r>
      <w:r w:rsidRPr="00FA31B9">
        <w:rPr>
          <w:rFonts w:ascii="Times New Roman" w:hAnsi="Times New Roman" w:cs="Times New Roman"/>
          <w:sz w:val="24"/>
          <w:szCs w:val="23"/>
          <w:lang w:val="es-ES"/>
        </w:rPr>
        <w:t xml:space="preserve">este colegiado tiene a bien precisar que </w:t>
      </w:r>
      <w:r w:rsidRPr="00FA31B9">
        <w:rPr>
          <w:rFonts w:ascii="Times New Roman" w:hAnsi="Times New Roman" w:cs="Times New Roman"/>
          <w:sz w:val="24"/>
          <w:szCs w:val="23"/>
          <w:lang w:val="es-419"/>
        </w:rPr>
        <w:t xml:space="preserve">la Defensoría del Asegurado es una entidad privada y por ende no constituye una instancia administrativa regida por la ley del procedimiento administrativo general, siendo que se rige por su propio reglamento, conforme al cual </w:t>
      </w:r>
      <w:r w:rsidRPr="00FA31B9">
        <w:rPr>
          <w:rFonts w:ascii="Times New Roman" w:hAnsi="Times New Roman" w:cs="Times New Roman"/>
          <w:sz w:val="24"/>
          <w:szCs w:val="23"/>
          <w:lang w:val="es-ES"/>
        </w:rPr>
        <w:t xml:space="preserve">el sometimiento voluntario de controversias en materia de seguros ante esta Defensoría, no afecta el derecho a la tutela jurisdiccional del asegurado, toda vez que lo resuelto por esta Defensoría no afecta su derecho a iniciar procesos ante las instancias que considere pertinentes, sin que sea necesario que se revoque previamente la resolución emitida. Ello debido a que las resoluciones que expide esta Defensoría no son vinculantes para el asegurado o reclamante cuando éstas les son desfavorables, siendo vinculantes para las aseguradoras cuando el fallo es favorable para el asegurado.  </w:t>
      </w:r>
    </w:p>
    <w:bookmarkEnd w:id="1"/>
    <w:p w:rsidRPr="00FA31B9" w:rsidR="00FA31B9" w:rsidP="00FA31B9" w:rsidRDefault="00FA31B9" w14:paraId="01D77A02" w14:textId="77777777">
      <w:pPr>
        <w:tabs>
          <w:tab w:val="left" w:pos="2160"/>
        </w:tabs>
        <w:spacing w:line="240" w:lineRule="auto"/>
        <w:jc w:val="both"/>
        <w:rPr>
          <w:rFonts w:ascii="Times New Roman" w:hAnsi="Times New Roman" w:cs="Times New Roman"/>
          <w:sz w:val="23"/>
          <w:szCs w:val="23"/>
          <w:lang w:val="es-ES"/>
        </w:rPr>
      </w:pPr>
      <w:r w:rsidRPr="00FA31B9">
        <w:rPr>
          <w:rFonts w:ascii="Times New Roman" w:hAnsi="Times New Roman" w:cs="Times New Roman"/>
          <w:sz w:val="24"/>
          <w:szCs w:val="23"/>
          <w:lang w:val="es-ES"/>
        </w:rPr>
        <w:t>En atención a las consideraciones precedentes, ratificando el análisis y conclusión contenidos en la resolución recurrida, este colegiado aprecia que no existe mérito, argumento ni prueba que justifique revocar la resolución recurrida; por lo tanto, conforme a su reglamente este colegiado</w:t>
      </w:r>
    </w:p>
    <w:p w:rsidRPr="00FA31B9" w:rsidR="00FA31B9" w:rsidP="00FA31B9" w:rsidRDefault="00FA31B9" w14:paraId="6BFCD052" w14:textId="77777777">
      <w:pPr>
        <w:spacing w:line="240" w:lineRule="auto"/>
        <w:jc w:val="both"/>
        <w:rPr>
          <w:rFonts w:ascii="Times New Roman" w:hAnsi="Times New Roman" w:eastAsia="Arial Unicode MS" w:cs="Times New Roman"/>
          <w:b/>
          <w:bCs/>
          <w:sz w:val="23"/>
          <w:szCs w:val="23"/>
          <w:lang w:val="es-PE"/>
        </w:rPr>
      </w:pPr>
      <w:r w:rsidRPr="00FA31B9">
        <w:rPr>
          <w:rFonts w:ascii="Times New Roman" w:hAnsi="Times New Roman" w:eastAsia="Arial Unicode MS" w:cs="Times New Roman"/>
          <w:b/>
          <w:bCs/>
          <w:sz w:val="24"/>
          <w:szCs w:val="23"/>
          <w:lang w:val="es-ES"/>
        </w:rPr>
        <w:t xml:space="preserve">RESUELVE: </w:t>
      </w:r>
    </w:p>
    <w:p w:rsidRPr="00FA31B9" w:rsidR="00FA31B9" w:rsidP="00FA31B9" w:rsidRDefault="00FA31B9" w14:paraId="4E2BD1CA" w14:textId="663E6A0E">
      <w:pPr>
        <w:spacing w:line="240" w:lineRule="auto"/>
        <w:jc w:val="both"/>
        <w:rPr>
          <w:rFonts w:ascii="Times New Roman" w:hAnsi="Times New Roman" w:eastAsia="Times New Roman" w:cs="Times New Roman"/>
          <w:sz w:val="23"/>
          <w:szCs w:val="23"/>
          <w:lang w:val="es-ES" w:eastAsia="ar-SA"/>
        </w:rPr>
      </w:pPr>
      <w:r>
        <w:rPr>
          <w:rFonts w:ascii="Times New Roman" w:hAnsi="Times New Roman"/>
          <w:sz w:val="24"/>
        </w:rPr>
        <w:t xml:space="preserve">Declarar INFUNDADO el recurso impugnativo interpuesto y, por consiguiente, ratificar la Resolución Nº 099/23 que declaró ………………… la reclamación interpuesta por doña ............................................................... contra ..............................., siendo fundada respecto de la cobertura adicional indemnización por accidente cerebro vascular e INFUNDADA respecto de la cobertura de invalidez total o permanente originada por accidente.</w:t>
      </w:r>
    </w:p>
    <w:p w:rsidRPr="00FA31B9" w:rsidR="006A2ADE" w:rsidP="00FA31B9" w:rsidRDefault="006A2ADE" w14:paraId="1ADAEBCF" w14:textId="77777777">
      <w:pPr>
        <w:suppressAutoHyphens/>
        <w:spacing w:after="0" w:line="240" w:lineRule="auto"/>
        <w:outlineLvl w:val="0"/>
        <w:rPr>
          <w:rFonts w:ascii="Times New Roman" w:hAnsi="Times New Roman" w:eastAsia="Arial Unicode MS" w:cs="Times New Roman"/>
          <w:sz w:val="23"/>
          <w:szCs w:val="23"/>
          <w:lang w:val="es-ES" w:eastAsia="ar-SA"/>
        </w:rPr>
      </w:pPr>
    </w:p>
    <w:p w:rsidRPr="00FA31B9" w:rsidR="00231C58" w:rsidP="005A40A4" w:rsidRDefault="0091528B" w14:paraId="2B9BAAC8" w14:textId="0021C6C7">
      <w:pPr>
        <w:suppressAutoHyphens/>
        <w:spacing w:after="0" w:line="240" w:lineRule="auto"/>
        <w:jc w:val="right"/>
        <w:outlineLvl w:val="0"/>
        <w:rPr>
          <w:rFonts w:ascii="Times New Roman" w:hAnsi="Times New Roman" w:eastAsia="Arial Unicode MS" w:cs="Times New Roman"/>
          <w:sz w:val="23"/>
          <w:szCs w:val="23"/>
          <w:lang w:val="es-PE" w:eastAsia="ar-SA"/>
        </w:rPr>
      </w:pPr>
      <w:r w:rsidRPr="00FA31B9">
        <w:rPr>
          <w:rFonts w:ascii="Times New Roman" w:hAnsi="Times New Roman" w:eastAsia="Arial Unicode MS" w:cs="Times New Roman"/>
          <w:sz w:val="24"/>
          <w:szCs w:val="23"/>
          <w:lang w:val="es-PE" w:eastAsia="ar-SA"/>
        </w:rPr>
        <w:t xml:space="preserve">Lima, </w:t>
      </w:r>
      <w:r w:rsidRPr="00FA31B9" w:rsidR="00317805">
        <w:rPr>
          <w:rFonts w:ascii="Times New Roman" w:hAnsi="Times New Roman" w:eastAsia="Arial Unicode MS" w:cs="Times New Roman"/>
          <w:sz w:val="24"/>
          <w:szCs w:val="23"/>
          <w:lang w:val="es-PE" w:eastAsia="ar-SA"/>
        </w:rPr>
        <w:t>2</w:t>
      </w:r>
      <w:r w:rsidRPr="00FA31B9" w:rsidR="001C3A70">
        <w:rPr>
          <w:rFonts w:ascii="Times New Roman" w:hAnsi="Times New Roman" w:eastAsia="Arial Unicode MS" w:cs="Times New Roman"/>
          <w:sz w:val="24"/>
          <w:szCs w:val="23"/>
          <w:lang w:val="es-PE" w:eastAsia="ar-SA"/>
        </w:rPr>
        <w:t>7</w:t>
      </w:r>
      <w:r w:rsidRPr="00FA31B9" w:rsidR="002F478E">
        <w:rPr>
          <w:rFonts w:ascii="Times New Roman" w:hAnsi="Times New Roman" w:eastAsia="Arial Unicode MS" w:cs="Times New Roman"/>
          <w:sz w:val="24"/>
          <w:szCs w:val="23"/>
          <w:lang w:val="es-PE" w:eastAsia="ar-SA"/>
        </w:rPr>
        <w:t xml:space="preserve"> </w:t>
      </w:r>
      <w:r w:rsidRPr="00FA31B9" w:rsidR="00707C99">
        <w:rPr>
          <w:rFonts w:ascii="Times New Roman" w:hAnsi="Times New Roman" w:eastAsia="Arial Unicode MS" w:cs="Times New Roman"/>
          <w:sz w:val="24"/>
          <w:szCs w:val="23"/>
          <w:lang w:val="es-PE" w:eastAsia="ar-SA"/>
        </w:rPr>
        <w:t xml:space="preserve">de </w:t>
      </w:r>
      <w:r w:rsidRPr="00FA31B9" w:rsidR="002F478E">
        <w:rPr>
          <w:rFonts w:ascii="Times New Roman" w:hAnsi="Times New Roman" w:eastAsia="Arial Unicode MS" w:cs="Times New Roman"/>
          <w:sz w:val="24"/>
          <w:szCs w:val="23"/>
          <w:lang w:val="es-PE" w:eastAsia="ar-SA"/>
        </w:rPr>
        <w:t xml:space="preserve">junio </w:t>
      </w:r>
      <w:r w:rsidRPr="00FA31B9" w:rsidR="00F06498">
        <w:rPr>
          <w:rFonts w:ascii="Times New Roman" w:hAnsi="Times New Roman" w:eastAsia="Arial Unicode MS" w:cs="Times New Roman"/>
          <w:sz w:val="24"/>
          <w:szCs w:val="23"/>
          <w:lang w:val="es-PE" w:eastAsia="ar-SA"/>
        </w:rPr>
        <w:t>de 202</w:t>
      </w:r>
      <w:r w:rsidRPr="00FA31B9" w:rsidR="00B340D4">
        <w:rPr>
          <w:rFonts w:ascii="Times New Roman" w:hAnsi="Times New Roman" w:eastAsia="Arial Unicode MS" w:cs="Times New Roman"/>
          <w:sz w:val="24"/>
          <w:szCs w:val="23"/>
          <w:lang w:val="es-PE" w:eastAsia="ar-SA"/>
        </w:rPr>
        <w:t>3</w:t>
      </w:r>
      <w:r w:rsidRPr="00FA31B9" w:rsidR="00707C99">
        <w:rPr>
          <w:rFonts w:ascii="Times New Roman" w:hAnsi="Times New Roman" w:eastAsia="Times New Roman" w:cs="Times New Roman"/>
          <w:sz w:val="24"/>
          <w:szCs w:val="23"/>
          <w:lang w:val="es-PE" w:eastAsia="ar-SA"/>
        </w:rPr>
        <w:t xml:space="preserve"> </w:t>
      </w:r>
    </w:p>
    <w:p w:rsidRPr="00FA31B9"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FA31B9" w:rsidR="00A323F4" w:rsidP="00A323F4" w:rsidRDefault="00A323F4" w14:paraId="1B6988F6" w14:textId="77777777">
      <w:pPr>
        <w:spacing w:after="0" w:line="240" w:lineRule="auto"/>
        <w:jc w:val="both"/>
        <w:rPr>
          <w:rFonts w:ascii="Times New Roman" w:hAnsi="Times New Roman" w:cs="Times New Roman"/>
          <w:b/>
          <w:bCs/>
          <w:i/>
          <w:iCs/>
          <w:sz w:val="23"/>
          <w:szCs w:val="23"/>
          <w:lang w:val="es-PE"/>
        </w:rPr>
      </w:pPr>
      <w:r w:rsidRPr="00FA31B9">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rsidRPr="00FA31B9" w:rsidR="00A323F4" w:rsidP="00A323F4" w:rsidRDefault="00A323F4" w14:paraId="3AB80116" w14:textId="77777777">
      <w:pPr>
        <w:spacing w:after="0" w:line="360" w:lineRule="auto"/>
        <w:jc w:val="both"/>
        <w:rPr>
          <w:rFonts w:ascii="Times New Roman" w:hAnsi="Times New Roman" w:cs="Times New Roman"/>
          <w:b/>
          <w:bCs/>
          <w:i/>
          <w:iCs/>
          <w:sz w:val="23"/>
          <w:szCs w:val="23"/>
          <w:lang w:val="es-PE"/>
        </w:rPr>
      </w:pPr>
    </w:p>
    <w:p w:rsidRPr="00FA31B9" w:rsidR="003D5A42" w:rsidP="003D5A42" w:rsidRDefault="003D5A42" w14:paraId="29236EE6" w14:textId="6D2B863B">
      <w:pPr>
        <w:spacing w:after="0" w:line="360" w:lineRule="auto"/>
        <w:jc w:val="center"/>
        <w:rPr>
          <w:rFonts w:ascii="Times New Roman" w:hAnsi="Times New Roman" w:cs="Times New Roman"/>
          <w:b/>
          <w:bCs/>
          <w:sz w:val="23"/>
          <w:szCs w:val="23"/>
          <w:lang w:val="es-PE"/>
        </w:rPr>
      </w:pPr>
      <w:r w:rsidRPr="00FA31B9">
        <w:rPr>
          <w:rFonts w:ascii="Times New Roman" w:hAnsi="Times New Roman" w:cs="Times New Roman"/>
          <w:b/>
          <w:bCs/>
          <w:sz w:val="24"/>
          <w:szCs w:val="23"/>
          <w:lang w:val="es-PE"/>
        </w:rPr>
        <w:t xml:space="preserve">Omar Alfaro Villanueva – </w:t>
      </w:r>
      <w:proofErr w:type="gramStart"/>
      <w:r w:rsidRPr="00FA31B9">
        <w:rPr>
          <w:rFonts w:ascii="Times New Roman" w:hAnsi="Times New Roman" w:cs="Times New Roman"/>
          <w:b/>
          <w:bCs/>
          <w:sz w:val="24"/>
          <w:szCs w:val="23"/>
          <w:lang w:val="es-PE"/>
        </w:rPr>
        <w:t>Presidente</w:t>
      </w:r>
      <w:proofErr w:type="gramEnd"/>
    </w:p>
    <w:p w:rsidRPr="00FA31B9" w:rsidR="00A323F4" w:rsidP="00A323F4" w:rsidRDefault="00A323F4" w14:paraId="0667E672" w14:textId="77777777">
      <w:pPr>
        <w:spacing w:after="0" w:line="360" w:lineRule="auto"/>
        <w:jc w:val="center"/>
        <w:rPr>
          <w:rFonts w:ascii="Times New Roman" w:hAnsi="Times New Roman" w:cs="Times New Roman"/>
          <w:b/>
          <w:bCs/>
          <w:sz w:val="23"/>
          <w:szCs w:val="23"/>
          <w:lang w:val="es-PE"/>
        </w:rPr>
      </w:pPr>
      <w:r w:rsidRPr="00FA31B9">
        <w:rPr>
          <w:rFonts w:ascii="Times New Roman" w:hAnsi="Times New Roman" w:cs="Times New Roman"/>
          <w:b/>
          <w:bCs/>
          <w:sz w:val="24"/>
          <w:szCs w:val="23"/>
          <w:lang w:val="es-PE"/>
        </w:rPr>
        <w:t>María Eugenia Valdez Fernández Baca – Vocal</w:t>
      </w:r>
    </w:p>
    <w:p w:rsidRPr="00FA31B9" w:rsidR="00A323F4" w:rsidP="00A323F4" w:rsidRDefault="00A323F4" w14:paraId="5B004E1F" w14:textId="77777777">
      <w:pPr>
        <w:spacing w:after="0" w:line="360" w:lineRule="auto"/>
        <w:jc w:val="center"/>
        <w:rPr>
          <w:rFonts w:ascii="Times New Roman" w:hAnsi="Times New Roman" w:cs="Times New Roman"/>
          <w:b/>
          <w:bCs/>
          <w:sz w:val="23"/>
          <w:szCs w:val="23"/>
          <w:lang w:val="es-PE"/>
        </w:rPr>
      </w:pPr>
      <w:r w:rsidRPr="00FA31B9">
        <w:rPr>
          <w:rFonts w:ascii="Times New Roman" w:hAnsi="Times New Roman" w:cs="Times New Roman"/>
          <w:b/>
          <w:bCs/>
          <w:sz w:val="24"/>
          <w:szCs w:val="23"/>
          <w:lang w:val="es-PE"/>
        </w:rPr>
        <w:t xml:space="preserve">Rolando Eyzaguirre </w:t>
      </w:r>
      <w:proofErr w:type="spellStart"/>
      <w:r w:rsidRPr="00FA31B9">
        <w:rPr>
          <w:rFonts w:ascii="Times New Roman" w:hAnsi="Times New Roman" w:cs="Times New Roman"/>
          <w:b/>
          <w:bCs/>
          <w:sz w:val="24"/>
          <w:szCs w:val="23"/>
          <w:lang w:val="es-PE"/>
        </w:rPr>
        <w:t>Maccan</w:t>
      </w:r>
      <w:proofErr w:type="spellEnd"/>
      <w:r w:rsidRPr="00FA31B9">
        <w:rPr>
          <w:rFonts w:ascii="Times New Roman" w:hAnsi="Times New Roman" w:cs="Times New Roman"/>
          <w:b/>
          <w:bCs/>
          <w:sz w:val="24"/>
          <w:szCs w:val="23"/>
          <w:lang w:val="es-PE"/>
        </w:rPr>
        <w:t xml:space="preserve"> – Vocal</w:t>
      </w:r>
    </w:p>
    <w:p w:rsidRPr="00FA31B9" w:rsidR="00A323F4" w:rsidP="00A323F4" w:rsidRDefault="00A323F4" w14:paraId="35C1E9A2" w14:textId="77777777">
      <w:pPr>
        <w:spacing w:after="0" w:line="360" w:lineRule="auto"/>
        <w:jc w:val="center"/>
        <w:rPr>
          <w:rFonts w:ascii="Times New Roman" w:hAnsi="Times New Roman" w:cs="Times New Roman"/>
          <w:sz w:val="23"/>
          <w:szCs w:val="23"/>
          <w:lang w:val="es-PE"/>
        </w:rPr>
      </w:pPr>
      <w:r w:rsidRPr="00FA31B9">
        <w:rPr>
          <w:rFonts w:ascii="Times New Roman" w:hAnsi="Times New Roman" w:cs="Times New Roman"/>
          <w:b/>
          <w:bCs/>
          <w:sz w:val="24"/>
          <w:szCs w:val="23"/>
          <w:lang w:val="es-PE"/>
        </w:rPr>
        <w:t>Gonzalo Abad del Busto – Vocal</w:t>
      </w:r>
    </w:p>
    <w:p w:rsidRPr="00FA31B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E58A1"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E58A1" w:rsidR="00C671F5" w:rsidSect="00077B6F">
      <w:headerReference w:type="default" r:id="rId9"/>
      <w:footerReference w:type="default" r:id="rId10"/>
      <w:headerReference w:type="first" r:id="rId13"/>
      <w:footerReference w:type="first" r:id="rId14"/>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C052B" w:rsidP="00784355" w:rsidRDefault="001C052B" w14:paraId="3C45B86B" w14:textId="77777777">
      <w:pPr>
        <w:spacing w:after="0" w:line="240" w:lineRule="auto"/>
      </w:pPr>
      <w:r>
        <w:separator/>
      </w:r>
    </w:p>
  </w:endnote>
  <w:endnote w:type="continuationSeparator" w:id="0">
    <w:p w:rsidR="001C052B" w:rsidP="00784355" w:rsidRDefault="001C052B" w14:paraId="5290E0B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C052B" w:rsidP="00784355" w:rsidRDefault="001C052B" w14:paraId="008AF492" w14:textId="77777777">
      <w:pPr>
        <w:spacing w:after="0" w:line="240" w:lineRule="auto"/>
      </w:pPr>
      <w:r>
        <w:separator/>
      </w:r>
    </w:p>
  </w:footnote>
  <w:footnote w:type="continuationSeparator" w:id="0">
    <w:p w:rsidR="001C052B" w:rsidP="00784355" w:rsidRDefault="001C052B" w14:paraId="283F0D9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7"/>
  </w:num>
  <w:num w:numId="3" w16cid:durableId="333261791">
    <w:abstractNumId w:val="5"/>
  </w:num>
  <w:num w:numId="4" w16cid:durableId="1770345525">
    <w:abstractNumId w:val="4"/>
  </w:num>
  <w:num w:numId="5" w16cid:durableId="1816144979">
    <w:abstractNumId w:val="6"/>
  </w:num>
  <w:num w:numId="6" w16cid:durableId="1304313350">
    <w:abstractNumId w:val="0"/>
  </w:num>
  <w:num w:numId="7" w16cid:durableId="16682880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4480C"/>
    <w:rsid w:val="000512AD"/>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C1AAB"/>
    <w:rsid w:val="000D5F00"/>
    <w:rsid w:val="000F6340"/>
    <w:rsid w:val="0011308C"/>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1DF3"/>
    <w:rsid w:val="00174918"/>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94D98"/>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17805"/>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D5A42"/>
    <w:rsid w:val="003E0091"/>
    <w:rsid w:val="003E0CC2"/>
    <w:rsid w:val="003E450C"/>
    <w:rsid w:val="003F0C97"/>
    <w:rsid w:val="003F1149"/>
    <w:rsid w:val="003F1B5F"/>
    <w:rsid w:val="003F2DC2"/>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814"/>
    <w:rsid w:val="008916FF"/>
    <w:rsid w:val="00891DB3"/>
    <w:rsid w:val="00895A85"/>
    <w:rsid w:val="008A1D12"/>
    <w:rsid w:val="008A3A47"/>
    <w:rsid w:val="008B47F3"/>
    <w:rsid w:val="008B5C61"/>
    <w:rsid w:val="008D1D39"/>
    <w:rsid w:val="008D6DDF"/>
    <w:rsid w:val="008F1161"/>
    <w:rsid w:val="008F479E"/>
    <w:rsid w:val="009011F1"/>
    <w:rsid w:val="009127A6"/>
    <w:rsid w:val="0091528B"/>
    <w:rsid w:val="009157B1"/>
    <w:rsid w:val="00917CAF"/>
    <w:rsid w:val="009272D7"/>
    <w:rsid w:val="009305A8"/>
    <w:rsid w:val="00933532"/>
    <w:rsid w:val="00942B53"/>
    <w:rsid w:val="00943343"/>
    <w:rsid w:val="00946694"/>
    <w:rsid w:val="00951B99"/>
    <w:rsid w:val="00951CDB"/>
    <w:rsid w:val="00955C03"/>
    <w:rsid w:val="00964237"/>
    <w:rsid w:val="00966813"/>
    <w:rsid w:val="00967B16"/>
    <w:rsid w:val="0097301B"/>
    <w:rsid w:val="00974D2D"/>
    <w:rsid w:val="009754DD"/>
    <w:rsid w:val="0098136F"/>
    <w:rsid w:val="00997863"/>
    <w:rsid w:val="009A3D48"/>
    <w:rsid w:val="009A5B27"/>
    <w:rsid w:val="009A6404"/>
    <w:rsid w:val="009A701F"/>
    <w:rsid w:val="009A7E68"/>
    <w:rsid w:val="009B29C9"/>
    <w:rsid w:val="009B4291"/>
    <w:rsid w:val="009B559E"/>
    <w:rsid w:val="009C1066"/>
    <w:rsid w:val="009C1372"/>
    <w:rsid w:val="009C5373"/>
    <w:rsid w:val="009C6404"/>
    <w:rsid w:val="009D3B98"/>
    <w:rsid w:val="009D6055"/>
    <w:rsid w:val="009D7BF6"/>
    <w:rsid w:val="009E5F11"/>
    <w:rsid w:val="009E7994"/>
    <w:rsid w:val="009F143B"/>
    <w:rsid w:val="009F2EEB"/>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E58A1"/>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1445"/>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8DE"/>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3829"/>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4B0C"/>
    <w:rsid w:val="00FC0D10"/>
    <w:rsid w:val="00FC1934"/>
    <w:rsid w:val="00FE38F0"/>
    <w:rsid w:val="00FE43A9"/>
    <w:rsid w:val="00FE6588"/>
    <w:rsid w:val="00FE73F3"/>
    <w:rsid w:val="00FF41F3"/>
    <w:rsid w:val="26F9855C"/>
    <w:rsid w:val="3E6555A6"/>
    <w:rsid w:val="4121AC23"/>
    <w:rsid w:val="4860E037"/>
    <w:rsid w:val="4EE9134F"/>
    <w:rsid w:val="6AE17976"/>
    <w:rsid w:val="7A096229"/>
    <w:rsid w:val="7E005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B06E180-CA92-4B92-8CAD-0EC223028564}"/>
</file>

<file path=customXml/itemProps3.xml><?xml version="1.0" encoding="utf-8"?>
<ds:datastoreItem xmlns:ds="http://schemas.openxmlformats.org/officeDocument/2006/customXml" ds:itemID="{E8D0D5D7-9BC7-438A-BCFE-F606E3E51C3D}"/>
</file>

<file path=customXml/itemProps4.xml><?xml version="1.0" encoding="utf-8"?>
<ds:datastoreItem xmlns:ds="http://schemas.openxmlformats.org/officeDocument/2006/customXml" ds:itemID="{6DEB19EA-EBDF-417A-BCB0-55C4E9077F1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68</cp:revision>
  <cp:lastPrinted>2023-06-28T14:30:00Z</cp:lastPrinted>
  <dcterms:created xsi:type="dcterms:W3CDTF">2023-02-14T22:37:00Z</dcterms:created>
  <dcterms:modified xsi:type="dcterms:W3CDTF">2025-12-02T21:25:48Z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