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4777" w:rsidR="00707C99" w:rsidP="00272F4F" w:rsidRDefault="00201C0D" w14:paraId="19FE0E96" w14:textId="7310E1FF">
      <w:pPr>
        <w:spacing w:after="0" w:line="240" w:lineRule="auto"/>
        <w:jc w:val="center"/>
        <w:rPr>
          <w:rFonts w:ascii="Times New Roman" w:hAnsi="Times New Roman" w:cs="Times New Roman"/>
          <w:b/>
          <w:sz w:val="24"/>
          <w:szCs w:val="24"/>
          <w:lang w:val="es-PE" w:eastAsia="ar-SA"/>
        </w:rPr>
      </w:pPr>
      <w:r w:rsidRPr="00234777">
        <w:rPr>
          <w:rFonts w:ascii="Times New Roman" w:hAnsi="Times New Roman" w:cs="Times New Roman"/>
          <w:b/>
          <w:sz w:val="24"/>
          <w:szCs w:val="24"/>
          <w:lang w:val="es-PE" w:eastAsia="ar-SA"/>
        </w:rPr>
        <w:t xml:space="preserve">RESOLUCIÓN DE RECURSO IMPUGNATIVO </w:t>
      </w:r>
      <w:r w:rsidRPr="00234777" w:rsidR="00707C99">
        <w:rPr>
          <w:rFonts w:ascii="Times New Roman" w:hAnsi="Times New Roman" w:cs="Times New Roman"/>
          <w:b/>
          <w:sz w:val="24"/>
          <w:szCs w:val="24"/>
          <w:lang w:val="es-PE" w:eastAsia="ar-SA"/>
        </w:rPr>
        <w:t xml:space="preserve">N° </w:t>
      </w:r>
      <w:r w:rsidRPr="00234777" w:rsidR="00516293">
        <w:rPr>
          <w:rFonts w:ascii="Times New Roman" w:hAnsi="Times New Roman" w:cs="Times New Roman"/>
          <w:b/>
          <w:sz w:val="24"/>
          <w:szCs w:val="24"/>
          <w:lang w:val="es-PE" w:eastAsia="ar-SA"/>
        </w:rPr>
        <w:t>02</w:t>
      </w:r>
      <w:r w:rsidRPr="00234777" w:rsidR="00DD0F92">
        <w:rPr>
          <w:rFonts w:ascii="Times New Roman" w:hAnsi="Times New Roman" w:cs="Times New Roman"/>
          <w:b/>
          <w:sz w:val="24"/>
          <w:szCs w:val="24"/>
          <w:lang w:val="es-PE" w:eastAsia="ar-SA"/>
        </w:rPr>
        <w:t>9</w:t>
      </w:r>
      <w:r w:rsidRPr="00234777" w:rsidR="00C671F5">
        <w:rPr>
          <w:rFonts w:ascii="Times New Roman" w:hAnsi="Times New Roman" w:cs="Times New Roman"/>
          <w:b/>
          <w:sz w:val="24"/>
          <w:szCs w:val="24"/>
          <w:lang w:val="es-PE" w:eastAsia="ar-SA"/>
        </w:rPr>
        <w:t>/2</w:t>
      </w:r>
      <w:r w:rsidRPr="00234777" w:rsidR="00AB7BFE">
        <w:rPr>
          <w:rFonts w:ascii="Times New Roman" w:hAnsi="Times New Roman" w:cs="Times New Roman"/>
          <w:b/>
          <w:sz w:val="24"/>
          <w:szCs w:val="24"/>
          <w:lang w:val="es-PE" w:eastAsia="ar-SA"/>
        </w:rPr>
        <w:t>3</w:t>
      </w:r>
    </w:p>
    <w:p w:rsidRPr="00234777"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234777" w:rsidR="009271BE" w:rsidP="009271BE" w:rsidRDefault="009271BE" w14:paraId="6E9D4BDA" w14:textId="77777777">
      <w:pPr>
        <w:spacing w:after="0" w:line="240" w:lineRule="auto"/>
        <w:jc w:val="both"/>
        <w:rPr>
          <w:rFonts w:ascii="Times New Roman" w:hAnsi="Times New Roman" w:cs="Times New Roman"/>
          <w:b/>
          <w:sz w:val="24"/>
          <w:szCs w:val="24"/>
          <w:lang w:val="es-PE"/>
        </w:rPr>
      </w:pPr>
    </w:p>
    <w:p w:rsidRPr="00234777" w:rsidR="00234777" w:rsidP="00234777" w:rsidRDefault="00234777" w14:paraId="511F884F" w14:textId="77777777">
      <w:pPr>
        <w:spacing w:line="240" w:lineRule="auto"/>
        <w:jc w:val="both"/>
        <w:outlineLvl w:val="0"/>
        <w:rPr>
          <w:rFonts w:ascii="Times New Roman" w:hAnsi="Times New Roman" w:cs="Times New Roman"/>
          <w:b/>
          <w:bCs/>
          <w:sz w:val="24"/>
          <w:szCs w:val="24"/>
          <w:lang w:val="es-MX"/>
        </w:rPr>
      </w:pPr>
      <w:r w:rsidRPr="00234777">
        <w:rPr>
          <w:rFonts w:ascii="Times New Roman" w:hAnsi="Times New Roman" w:cs="Times New Roman"/>
          <w:b/>
          <w:bCs/>
          <w:sz w:val="24"/>
          <w:szCs w:val="24"/>
          <w:lang w:val="es-MX"/>
        </w:rPr>
        <w:t>VISTOS:</w:t>
      </w:r>
    </w:p>
    <w:p w:rsidRPr="00234777" w:rsidR="00234777" w:rsidP="00234777" w:rsidRDefault="00234777" w14:paraId="10F85A10" w14:textId="12207A88">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092/23, expedida por esta Defensoría del Asegurado (DEFASEG), conforme a la cual se declaró INFUNDADA la reclamación interpuesta contra ................................... respecto del siniestro de robo que afectó al vehículo asegurado, con placa de rodaje .................</w:t>
      </w:r>
    </w:p>
    <w:p w:rsidR="00234777" w:rsidP="00234777" w:rsidRDefault="00234777" w14:paraId="6A6B9333" w14:textId="77777777">
      <w:pPr>
        <w:pStyle w:val="Textoindependiente"/>
        <w:spacing w:line="240" w:lineRule="auto"/>
      </w:pPr>
    </w:p>
    <w:p w:rsidRPr="00234777" w:rsidR="00234777" w:rsidP="00234777" w:rsidRDefault="00234777" w14:paraId="025894F0" w14:textId="61262AE7">
      <w:pPr>
        <w:pStyle w:val="Textoindependiente"/>
        <w:spacing w:line="240" w:lineRule="auto"/>
      </w:pPr>
      <w:r w:rsidR="00234777">
        <w:rPr>
          <w:rFonts w:ascii="Times New Roman" w:hAnsi="Times New Roman"/>
          <w:sz w:val="24"/>
        </w:rPr>
        <w:t xml:space="preserve">Que, el indicado recurso se sustenta resumidamente en lo siguiente: (1) </w:t>
      </w:r>
      <w:r w:rsidRPr="12F1334D" w:rsidR="00234777">
        <w:rPr>
          <w:rFonts w:ascii="Times New Roman" w:hAnsi="Times New Roman"/>
          <w:sz w:val="24"/>
          <w:lang w:val="es-PE" w:eastAsia="es-PE"/>
        </w:rPr>
        <w:t xml:space="preserve">no ha sido considerado ni analizado algunos medios de prueba como es Informe de la unidad especializada respecto al siniestro signada con </w:t>
      </w:r>
      <w:r w:rsidRPr="12F1334D" w:rsidR="00234777">
        <w:rPr>
          <w:rFonts w:ascii="Times New Roman" w:hAnsi="Times New Roman"/>
          <w:sz w:val="24"/>
          <w:lang w:val="es-PE" w:eastAsia="es-PE"/>
        </w:rPr>
        <w:t>N°</w:t>
      </w:r>
      <w:r w:rsidRPr="12F1334D" w:rsidR="00234777">
        <w:rPr>
          <w:rFonts w:ascii="Times New Roman" w:hAnsi="Times New Roman"/>
          <w:sz w:val="24"/>
          <w:lang w:val="es-PE" w:eastAsia="es-PE"/>
        </w:rPr>
        <w:t xml:space="preserve"> </w:t>
      </w:r>
      <w:r w:rsidRPr="12F1334D" w:rsidR="12F7073B">
        <w:rPr>
          <w:rFonts w:ascii="Times New Roman" w:hAnsi="Times New Roman"/>
          <w:sz w:val="24"/>
          <w:lang w:val="es-PE" w:eastAsia="es-PE"/>
        </w:rPr>
        <w:t>...........................................................</w:t>
      </w:r>
      <w:r w:rsidRPr="12F1334D" w:rsidR="00234777">
        <w:rPr>
          <w:rFonts w:ascii="Times New Roman" w:hAnsi="Times New Roman"/>
          <w:sz w:val="24"/>
          <w:lang w:val="es-PE" w:eastAsia="es-PE"/>
        </w:rPr>
        <w:t xml:space="preserve">; (2) tampoco se ha valorado el recorrido gráfico de la unidad </w:t>
      </w:r>
      <w:r w:rsidRPr="12F1334D" w:rsidR="0E3B4F9F">
        <w:rPr>
          <w:rFonts w:ascii="Times New Roman" w:hAnsi="Times New Roman"/>
          <w:sz w:val="24"/>
          <w:lang w:val="es-PE" w:eastAsia="es-PE"/>
        </w:rPr>
        <w:t>...................</w:t>
      </w:r>
      <w:r w:rsidRPr="12F1334D" w:rsidR="00234777">
        <w:rPr>
          <w:rFonts w:ascii="Times New Roman" w:hAnsi="Times New Roman"/>
          <w:sz w:val="24"/>
          <w:lang w:val="es-PE" w:eastAsia="es-PE"/>
        </w:rPr>
        <w:t xml:space="preserve"> expedido por la empresa </w:t>
      </w:r>
      <w:r w:rsidRPr="12F1334D" w:rsidR="56C83B1A">
        <w:rPr>
          <w:rFonts w:ascii="Times New Roman" w:hAnsi="Times New Roman"/>
          <w:sz w:val="24"/>
          <w:lang w:val="es-PE" w:eastAsia="es-PE"/>
        </w:rPr>
        <w:t>...................</w:t>
      </w:r>
      <w:r w:rsidRPr="12F1334D" w:rsidR="00234777">
        <w:rPr>
          <w:rFonts w:ascii="Times New Roman" w:hAnsi="Times New Roman"/>
          <w:sz w:val="24"/>
          <w:lang w:val="es-PE" w:eastAsia="es-PE"/>
        </w:rPr>
        <w:t xml:space="preserve">; (3) está probado en autos con el Informe Policial </w:t>
      </w:r>
      <w:r w:rsidRPr="12F1334D" w:rsidR="00234777">
        <w:rPr>
          <w:rFonts w:ascii="Times New Roman" w:hAnsi="Times New Roman"/>
          <w:sz w:val="24"/>
          <w:lang w:val="es-PE" w:eastAsia="es-PE"/>
        </w:rPr>
        <w:t>N°</w:t>
      </w:r>
      <w:r w:rsidRPr="12F1334D" w:rsidR="00234777">
        <w:rPr>
          <w:rFonts w:ascii="Times New Roman" w:hAnsi="Times New Roman"/>
          <w:sz w:val="24"/>
          <w:lang w:val="es-PE" w:eastAsia="es-PE"/>
        </w:rPr>
        <w:t xml:space="preserve"> </w:t>
      </w:r>
      <w:r w:rsidRPr="12F1334D" w:rsidR="4DFB9E4B">
        <w:rPr>
          <w:rFonts w:ascii="Times New Roman" w:hAnsi="Times New Roman"/>
          <w:sz w:val="24"/>
          <w:lang w:val="es-PE" w:eastAsia="es-PE"/>
        </w:rPr>
        <w:t>...........................................................</w:t>
      </w:r>
      <w:r w:rsidRPr="12F1334D" w:rsidR="00234777">
        <w:rPr>
          <w:rFonts w:ascii="Times New Roman" w:hAnsi="Times New Roman"/>
          <w:sz w:val="24"/>
          <w:lang w:val="es-PE" w:eastAsia="es-PE"/>
        </w:rPr>
        <w:t xml:space="preserve"> y sobre la que pretenden cuestionar, hecho que no ha realizado la aseguradora en su oportunidad, pero sí el colegiado, pese a que se concluye que se trata de un robo vehicular, y que si bien se reconoce que la ex pareja en su afán de no ser descubierto faltó a la verdad en su primera declaración motivado por los nervios y la culpa, sentimientos naturales de todo ser humano; (4) no es cierto que lo vertido por ésta persona en la ampliación haya sido desestimado por la institución policial especializada, pues el siniestro es robo; (5) cabe el cuestionamiento por parte de la aseguradora de haber realizado las indagaciones en tiempo y modo oportuno, como siempre suele hacerlo; (6) presenta como prueba nueva la Declaración Jurada brindada por la fémina con la que se encontraba su ex pareja, por lo que en ese extremo se estaría desvirtuando lo señalado por el colegiado , respecto a la versión inverosímil de que no hayan tomado la declaración de la persona; en el entendido que el delito cometido es de robo, el mismo que se constituye como un siniestro, que debe asumir la empresa aseguradora; por lo que al ser la señora declarante un tercero en la relación, puede corroborar lo vertido por el sr. </w:t>
      </w:r>
      <w:r w:rsidRPr="12F1334D" w:rsidR="58B8B4B2">
        <w:rPr>
          <w:rFonts w:ascii="Times New Roman" w:hAnsi="Times New Roman"/>
          <w:sz w:val="24"/>
          <w:lang w:val="es-PE" w:eastAsia="es-PE"/>
        </w:rPr>
        <w:t>...........................................................</w:t>
      </w:r>
      <w:r w:rsidRPr="12F1334D" w:rsidR="00234777">
        <w:rPr>
          <w:rFonts w:ascii="Times New Roman" w:hAnsi="Times New Roman"/>
          <w:sz w:val="24"/>
          <w:lang w:val="es-PE" w:eastAsia="es-PE"/>
        </w:rPr>
        <w:t>, la ex pareja, en la ampliación de su denuncia; (7) la obligación de tomar la declaración o no de la testigo, como tercero en la relación, en lo que corresponde a la denuncia es a la Policía Nacional del Perú y no a la recurrente, pues de sus conclusiones se desprende que sí ocurrió un delito como es el de robo y que constituye un siniestro.</w:t>
      </w:r>
    </w:p>
    <w:p w:rsidRPr="00234777" w:rsidR="00234777" w:rsidP="00234777" w:rsidRDefault="00234777" w14:paraId="1B565C3C" w14:textId="77777777">
      <w:pPr>
        <w:pStyle w:val="Textoindependiente"/>
        <w:spacing w:line="240" w:lineRule="auto"/>
      </w:pPr>
    </w:p>
    <w:p w:rsidRPr="00234777" w:rsidR="00234777" w:rsidP="00234777" w:rsidRDefault="00234777" w14:paraId="5B1D213F" w14:textId="77777777">
      <w:pPr>
        <w:pStyle w:val="Textoindependiente"/>
        <w:spacing w:line="240" w:lineRule="auto"/>
        <w:rPr>
          <w:color w:val="000000"/>
          <w:lang w:val="es-PE" w:eastAsia="es-PE"/>
        </w:rPr>
      </w:pPr>
      <w:r>
        <w:rPr>
          <w:rFonts w:ascii="Times New Roman" w:hAnsi="Times New Roman"/>
          <w:sz w:val="24"/>
        </w:rPr>
        <w:t xml:space="preserve">Que, la aseguradora absolvió el traslado del recurso interpuesto, manifestando en síntesis lo siguiente: (1) el robo de la unidad asegurada se realizó, según la manifestación del conductor (la cual consta en la denuncia policial), “mientras esperaba a un pasajero; toda vez que labora en una empresa …………………”; (2) de la manifestación del conductor del vehículo, se concluye que, al momento del siniestro, dicho bien estaba siendo utilizado para transportar personas; como consecuencia del servicio que presta la empresa …………………. Es decir, se le dio un uso distinto al señalado en la póliza; (3) el artículo 5 de la póliza –el cual regula las exclusiones- señala expresamente que la póliza N° ………………… los daños o pérdidas físicas, cuando el vehículo se encuentre siendo usado para servicio público, o en una actividad o giro distinto al declarado al iniciar su cobertura bajo la póliza; (4) la asegurada dio al vehículo un uso diferente al consignado en la póliza; esto es uso particular; (5) respecto de la declaración jurada de la supuesta fémina, no existe certeza alguna de que la mujer que suscribe dicha declaración jurada sea la que realmente acompañaba al conductor del vehículo asegurado; (6) la asegurada menciona que su pareja (el conductor del vehículo) mintió al dar su primera declaración policial alegando que estaba esperando a un pasajero. Señala también que el vehículo no se usa para el servicio de transporte de personal. Sin embargo, si eso último (que el vehículo no era usado para transportar personal) no fuera cierto, el conductor no habría declarado –en la primera oportunidad- que se encontraba esperando a un pasajero. Caso contrario, la asegurada se habría dado cuenta que estaba mintiendo; (7) lo señalado en el recurso presentado por la reclamante, en nada varía los argumentos considerados al momento de resolver; (8) al haber brindado una primera manifestación –aparentemente falsa- la asegurada habría actuado fraudulentamente; y al haber variado dicha manifestación se configura el supuesto de emplear medios falsos para probar el daño; situación que habría motivado la pérdida de su derecho a ser indemnizada; (9) no se niega o cuestiona el robo del vehículo asegurado; sino que el robo se realizó en circunstancias en las que el bien era destinado a un uso distinto al señalado en la póliza. </w:t>
      </w:r>
    </w:p>
    <w:p w:rsidRPr="00234777" w:rsidR="00234777" w:rsidP="00234777" w:rsidRDefault="00234777" w14:paraId="07914841" w14:textId="77777777">
      <w:pPr>
        <w:pStyle w:val="Textoindependiente"/>
        <w:spacing w:line="240" w:lineRule="auto"/>
      </w:pPr>
    </w:p>
    <w:p w:rsidRPr="00234777" w:rsidR="00234777" w:rsidP="00234777" w:rsidRDefault="00234777" w14:paraId="6B8D9B56" w14:textId="77777777">
      <w:pPr>
        <w:pStyle w:val="Textoindependiente"/>
        <w:tabs>
          <w:tab w:val="left" w:pos="930"/>
        </w:tabs>
        <w:spacing w:line="240" w:lineRule="auto"/>
      </w:pPr>
      <w:r w:rsidRPr="00234777">
        <w:rPr>
          <w:rFonts w:ascii="Times New Roman" w:hAnsi="Times New Roman"/>
          <w:sz w:val="24"/>
        </w:rPr>
        <w:t>Que, atendiendo a lo expuesto, esta Defensoría resuelve finalmente lo siguiente:</w:t>
      </w:r>
    </w:p>
    <w:p w:rsidR="00234777" w:rsidP="00234777" w:rsidRDefault="00234777" w14:paraId="474FCA29" w14:textId="77777777">
      <w:pPr>
        <w:spacing w:line="240" w:lineRule="auto"/>
        <w:jc w:val="both"/>
        <w:rPr>
          <w:rFonts w:ascii="Times New Roman" w:hAnsi="Times New Roman" w:cs="Times New Roman"/>
          <w:b/>
          <w:sz w:val="24"/>
          <w:szCs w:val="24"/>
          <w:u w:val="single"/>
          <w:lang w:val="es-PE"/>
        </w:rPr>
      </w:pPr>
    </w:p>
    <w:p w:rsidRPr="00234777" w:rsidR="00234777" w:rsidP="00234777" w:rsidRDefault="00234777" w14:paraId="697123A6" w14:textId="0029312A">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234777" w:rsidR="00234777" w:rsidP="12F1334D" w:rsidRDefault="00234777" w14:paraId="04BFC88D" w14:textId="51C88AE0">
      <w:pPr>
        <w:spacing w:line="240" w:lineRule="auto"/>
        <w:jc w:val="both"/>
        <w:rPr>
          <w:rFonts w:ascii="Times New Roman" w:hAnsi="Times New Roman" w:cs="Times New Roman"/>
          <w:sz w:val="24"/>
          <w:szCs w:val="24"/>
          <w:lang w:val="es-ES"/>
        </w:rPr>
      </w:pPr>
      <w:r>
        <w:rPr>
          <w:rFonts w:ascii="Times New Roman" w:hAnsi="Times New Roman"/>
          <w:sz w:val="24"/>
        </w:rPr>
        <w:t xml:space="preserve">Conforme a ello, en el caso concreto, la reclamante sustenta su impugnación al discrepar del contenido de la Resolución Impugnada y aportando nueva prueba consistente en la declaración jurada de la Señorita ............................................</w:t>
      </w:r>
    </w:p>
    <w:p w:rsidRPr="00234777" w:rsidR="00234777" w:rsidP="00234777" w:rsidRDefault="00234777" w14:paraId="026B3021"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SEGUNDO: Conforme al séptimo considerando de la Resolución Impugnada, la reclamación fue desestimada por cuanto se verificó la existencia de serias contradicciones entre las versiones de los hechos descritos en la denuncia policial y  en la ampliación de dicha denuncia ante la DEPPIRV-SUR, respecto a las circunstancias en las condiciones de uso de la unidad asegurada robada, como es cuando estaba esperando un pasajero toda vez que labora en una empresa …………………; en cambio, en la ampliación afirma que estaba esperando una fémina con quien mantiene una relación amorosa con un conocido.</w:t>
      </w:r>
    </w:p>
    <w:p w:rsidRPr="00234777" w:rsidR="00234777" w:rsidP="00234777" w:rsidRDefault="00234777" w14:paraId="682561D3"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Ante esas contradicciones, el Colegiado concluyó que el hecho de que en forma posterior el conductor haya cambiado su versión, no enerva el valor vinculante de la primera declaración realizada de manera espontánea en su denuncia verbal y ratificada en su manifestación en la comisaría, donde reconoce que el siniestro ocurrió mientras vehículo asegurado estaba esperando un pasajero toda vez que labora en una empresa ………………….</w:t>
      </w:r>
    </w:p>
    <w:p w:rsidRPr="00234777" w:rsidR="00234777" w:rsidP="00234777" w:rsidRDefault="00234777" w14:paraId="7D26CA2B" w14:textId="77777777">
      <w:pPr>
        <w:spacing w:line="240" w:lineRule="auto"/>
        <w:jc w:val="both"/>
        <w:rPr>
          <w:rFonts w:ascii="Times New Roman" w:hAnsi="Times New Roman" w:cs="Times New Roman"/>
          <w:sz w:val="24"/>
          <w:szCs w:val="24"/>
          <w:lang w:val="es-PE"/>
        </w:rPr>
      </w:pPr>
      <w:r w:rsidRPr="00234777">
        <w:rPr>
          <w:rFonts w:ascii="Times New Roman" w:hAnsi="Times New Roman" w:cs="Times New Roman"/>
          <w:sz w:val="24"/>
          <w:szCs w:val="24"/>
          <w:lang w:val="es-PE"/>
        </w:rPr>
        <w:t>En vía de impugnación, la reclamante presenta la siguiente declaración jurada:</w:t>
      </w:r>
    </w:p>
    <w:p w:rsidRPr="00234777" w:rsidR="00234777" w:rsidP="12F1334D" w:rsidRDefault="00234777" w14:paraId="12DF6EC5" w14:textId="1FDF80DE">
      <w:pPr>
        <w:pStyle w:val="Normal"/>
        <w:spacing w:line="240" w:lineRule="auto"/>
        <w:jc w:val="both"/>
        <w:rPr>
          <w:rFonts w:ascii="Times New Roman" w:hAnsi="Times New Roman" w:cs="Times New Roman"/>
          <w:sz w:val="24"/>
          <w:szCs w:val="24"/>
          <w:lang w:val="es-PE"/>
        </w:rPr>
      </w:pPr>
      <w:r w:rsidRPr="12F1334D" w:rsidR="1ACB47AC">
        <w:rPr>
          <w:rFonts w:ascii="Times New Roman" w:hAnsi="Times New Roman" w:cs="Times New Roman"/>
          <w:sz w:val="24"/>
          <w:szCs w:val="24"/>
          <w:lang w:val="es-PE"/>
        </w:rPr>
        <w:t>.................................................................................................................................................</w:t>
      </w:r>
    </w:p>
    <w:p w:rsidRPr="00234777" w:rsidR="00234777" w:rsidP="00234777" w:rsidRDefault="00234777" w14:paraId="20A93257" w14:textId="77777777">
      <w:pPr>
        <w:spacing w:line="240" w:lineRule="auto"/>
        <w:jc w:val="both"/>
        <w:rPr>
          <w:rFonts w:ascii="Times New Roman" w:hAnsi="Times New Roman" w:cs="Times New Roman"/>
          <w:sz w:val="24"/>
          <w:szCs w:val="24"/>
        </w:rPr>
      </w:pPr>
    </w:p>
    <w:p w:rsidRPr="00234777" w:rsidR="00234777" w:rsidP="00234777" w:rsidRDefault="00234777" w14:paraId="26B4CEB4" w14:textId="43F45EB5">
      <w:pPr>
        <w:spacing w:line="240" w:lineRule="auto"/>
        <w:jc w:val="both"/>
        <w:rPr>
          <w:rFonts w:ascii="Times New Roman" w:hAnsi="Times New Roman" w:cs="Times New Roman"/>
          <w:color w:val="000000"/>
          <w:sz w:val="24"/>
          <w:szCs w:val="24"/>
          <w:lang w:val="es-PE" w:eastAsia="es-PE"/>
        </w:rPr>
      </w:pPr>
      <w:r w:rsidRPr="12F1334D" w:rsidR="00234777">
        <w:rPr>
          <w:rFonts w:ascii="Times New Roman" w:hAnsi="Times New Roman" w:cs="Times New Roman"/>
          <w:sz w:val="24"/>
          <w:szCs w:val="24"/>
          <w:lang w:val="es-PE"/>
        </w:rPr>
        <w:t xml:space="preserve">Respecto de esta </w:t>
      </w:r>
      <w:r w:rsidRPr="12F1334D" w:rsidR="00234777">
        <w:rPr>
          <w:rFonts w:ascii="Times New Roman" w:hAnsi="Times New Roman" w:cs="Times New Roman"/>
          <w:color w:val="000000" w:themeColor="text1" w:themeTint="FF" w:themeShade="FF"/>
          <w:sz w:val="24"/>
          <w:szCs w:val="24"/>
          <w:lang w:val="es-PE" w:eastAsia="es-PE"/>
        </w:rPr>
        <w:t xml:space="preserve">declaración jurada, esta Defensoría aprecia que la declarante no se identifica como el pasajero que estaba esperando el conductor del vehículo, conforme a la declaración efectuada por el conductor. En la declaración jurada la Srta. </w:t>
      </w:r>
      <w:r w:rsidRPr="12F1334D" w:rsidR="4EE372F0">
        <w:rPr>
          <w:rFonts w:ascii="Times New Roman" w:hAnsi="Times New Roman" w:cs="Times New Roman"/>
          <w:color w:val="000000" w:themeColor="text1" w:themeTint="FF" w:themeShade="FF"/>
          <w:sz w:val="24"/>
          <w:szCs w:val="24"/>
          <w:lang w:val="es-PE" w:eastAsia="es-PE"/>
        </w:rPr>
        <w:t>.............................</w:t>
      </w:r>
      <w:r w:rsidRPr="12F1334D" w:rsidR="00234777">
        <w:rPr>
          <w:rFonts w:ascii="Times New Roman" w:hAnsi="Times New Roman" w:cs="Times New Roman"/>
          <w:color w:val="000000" w:themeColor="text1" w:themeTint="FF" w:themeShade="FF"/>
          <w:sz w:val="24"/>
          <w:szCs w:val="24"/>
          <w:lang w:val="es-PE" w:eastAsia="es-PE"/>
        </w:rPr>
        <w:t xml:space="preserve"> dice que el 20 de septiembre de 2022 se encontraba junto con su pareja el Sr. </w:t>
      </w:r>
      <w:r w:rsidRPr="12F1334D" w:rsidR="2B8A7834">
        <w:rPr>
          <w:rFonts w:ascii="Times New Roman" w:hAnsi="Times New Roman" w:cs="Times New Roman"/>
          <w:color w:val="000000" w:themeColor="text1" w:themeTint="FF" w:themeShade="FF"/>
          <w:sz w:val="24"/>
          <w:szCs w:val="24"/>
          <w:lang w:val="es-PE" w:eastAsia="es-PE"/>
        </w:rPr>
        <w:t>........................................................</w:t>
      </w:r>
      <w:r w:rsidRPr="12F1334D" w:rsidR="00234777">
        <w:rPr>
          <w:rFonts w:ascii="Times New Roman" w:hAnsi="Times New Roman" w:cs="Times New Roman"/>
          <w:color w:val="000000" w:themeColor="text1" w:themeTint="FF" w:themeShade="FF"/>
          <w:sz w:val="24"/>
          <w:szCs w:val="24"/>
          <w:lang w:val="es-PE" w:eastAsia="es-PE"/>
        </w:rPr>
        <w:t>, quien fue víctima del robo.</w:t>
      </w:r>
    </w:p>
    <w:p w:rsidRPr="00234777" w:rsidR="00234777" w:rsidP="00234777" w:rsidRDefault="00234777" w14:paraId="6EE627E9" w14:textId="6AC82B00">
      <w:pPr>
        <w:spacing w:line="240" w:lineRule="auto"/>
        <w:jc w:val="both"/>
        <w:rPr>
          <w:rFonts w:ascii="Times New Roman" w:hAnsi="Times New Roman" w:cs="Times New Roman"/>
          <w:color w:val="000000"/>
          <w:sz w:val="24"/>
          <w:szCs w:val="24"/>
          <w:lang w:val="es-PE" w:eastAsia="es-PE"/>
        </w:rPr>
      </w:pPr>
      <w:r w:rsidRPr="12F1334D" w:rsidR="00234777">
        <w:rPr>
          <w:rFonts w:ascii="Times New Roman" w:hAnsi="Times New Roman" w:cs="Times New Roman"/>
          <w:color w:val="000000" w:themeColor="text1" w:themeTint="FF" w:themeShade="FF"/>
          <w:sz w:val="24"/>
          <w:szCs w:val="24"/>
          <w:lang w:val="es-PE" w:eastAsia="es-PE"/>
        </w:rPr>
        <w:t xml:space="preserve">En ese sentido se advierte que las versiones del conductor y de la fémina no concuerdan, puesto que el primero declaró que se encontraba esperando a un pasajero, mientras que la fémina manifiesta que se encontraba junto al Sr. </w:t>
      </w:r>
      <w:r w:rsidRPr="12F1334D" w:rsidR="2B8A7834">
        <w:rPr>
          <w:rFonts w:ascii="Times New Roman" w:hAnsi="Times New Roman" w:cs="Times New Roman"/>
          <w:color w:val="000000" w:themeColor="text1" w:themeTint="FF" w:themeShade="FF"/>
          <w:sz w:val="24"/>
          <w:szCs w:val="24"/>
          <w:lang w:val="es-PE" w:eastAsia="es-PE"/>
        </w:rPr>
        <w:t>........................................................</w:t>
      </w:r>
      <w:r w:rsidRPr="12F1334D" w:rsidR="00234777">
        <w:rPr>
          <w:rFonts w:ascii="Times New Roman" w:hAnsi="Times New Roman" w:cs="Times New Roman"/>
          <w:color w:val="000000" w:themeColor="text1" w:themeTint="FF" w:themeShade="FF"/>
          <w:sz w:val="24"/>
          <w:szCs w:val="24"/>
          <w:lang w:val="es-PE" w:eastAsia="es-PE"/>
        </w:rPr>
        <w:t>.</w:t>
      </w:r>
    </w:p>
    <w:p w:rsidRPr="00234777" w:rsidR="00234777" w:rsidP="00234777" w:rsidRDefault="00234777" w14:paraId="2ED9A2A8" w14:textId="77777777">
      <w:pPr>
        <w:spacing w:line="240" w:lineRule="auto"/>
        <w:jc w:val="both"/>
        <w:rPr>
          <w:rFonts w:ascii="Times New Roman" w:hAnsi="Times New Roman" w:cs="Times New Roman"/>
          <w:bCs/>
          <w:sz w:val="24"/>
          <w:szCs w:val="24"/>
          <w:lang w:val="es-ES" w:eastAsia="ar-SA"/>
        </w:rPr>
      </w:pPr>
      <w:r>
        <w:rPr>
          <w:rFonts w:ascii="Times New Roman" w:hAnsi="Times New Roman"/>
          <w:sz w:val="24"/>
        </w:rPr>
        <w:t xml:space="preserve">Atendiendo a lo anterior, se concluye que no existe error que contradiga el sustento fáctico de la decisión adoptada por esta Defensoría, y la nueva prueba no genera convicción para desvirtuar el mérito probatorio de la primera declaración hecha por el conductor de manera espontánea en su denuncia verbal y ratificada en su manifestación en la comisaría, donde reconoce que el siniestro ocurrió mientras vehículo asegurado estaba esperando un pasajero toda vez que labora en una empresa ………………….. </w:t>
      </w:r>
    </w:p>
    <w:p w:rsidRPr="00234777" w:rsidR="00234777" w:rsidP="00234777" w:rsidRDefault="00234777" w14:paraId="6E41D302" w14:textId="77777777">
      <w:pPr>
        <w:tabs>
          <w:tab w:val="left" w:pos="709"/>
          <w:tab w:val="left" w:pos="2160"/>
        </w:tabs>
        <w:spacing w:line="240" w:lineRule="auto"/>
        <w:ind w:left="709" w:hanging="709"/>
        <w:jc w:val="both"/>
        <w:rPr>
          <w:rFonts w:ascii="Times New Roman" w:hAnsi="Times New Roman" w:cs="Times New Roman"/>
          <w:sz w:val="24"/>
          <w:szCs w:val="24"/>
          <w:lang w:val="es-PE"/>
        </w:rPr>
      </w:pPr>
    </w:p>
    <w:p w:rsidRPr="00234777" w:rsidR="00234777" w:rsidP="00234777" w:rsidRDefault="00234777" w14:paraId="6E48D49B" w14:textId="77777777">
      <w:pPr>
        <w:spacing w:line="240" w:lineRule="auto"/>
        <w:jc w:val="both"/>
        <w:rPr>
          <w:rFonts w:ascii="Times New Roman" w:hAnsi="Times New Roman" w:cs="Times New Roman"/>
          <w:bCs/>
          <w:sz w:val="24"/>
          <w:szCs w:val="24"/>
          <w:lang w:val="es-PE"/>
        </w:rPr>
      </w:pPr>
      <w:r w:rsidRPr="00234777">
        <w:rPr>
          <w:rFonts w:ascii="Times New Roman" w:hAnsi="Times New Roman" w:cs="Times New Roman"/>
          <w:bCs/>
          <w:sz w:val="24"/>
          <w:szCs w:val="24"/>
          <w:lang w:val="es-PE"/>
        </w:rPr>
        <w:t>En ese sentido, el colegiado reitera su convicción que, de los antecedentes fácticos del caso, se verifican pruebas en el sentido que existen razones fundadas para estimar que el rechazo de cobertura es legítimo.</w:t>
      </w:r>
    </w:p>
    <w:p w:rsidRPr="00234777" w:rsidR="00234777" w:rsidP="00234777" w:rsidRDefault="00234777" w14:paraId="3D044454" w14:textId="70BAB2B9">
      <w:pPr>
        <w:spacing w:line="240" w:lineRule="auto"/>
        <w:jc w:val="both"/>
        <w:rPr>
          <w:rFonts w:ascii="Times New Roman" w:hAnsi="Times New Roman" w:cs="Times New Roman"/>
          <w:sz w:val="24"/>
          <w:szCs w:val="24"/>
          <w:lang w:val="es-PE"/>
        </w:rPr>
      </w:pPr>
      <w:r w:rsidRPr="00234777">
        <w:rPr>
          <w:rFonts w:ascii="Times New Roman" w:hAnsi="Times New Roman" w:cs="Times New Roman"/>
          <w:b/>
          <w:sz w:val="24"/>
          <w:szCs w:val="24"/>
          <w:u w:val="single"/>
          <w:lang w:val="es-PE"/>
        </w:rPr>
        <w:t>TERCERO</w:t>
      </w:r>
      <w:r w:rsidRPr="00234777">
        <w:rPr>
          <w:rFonts w:ascii="Times New Roman" w:hAnsi="Times New Roman" w:cs="Times New Roman"/>
          <w:b/>
          <w:sz w:val="24"/>
          <w:szCs w:val="24"/>
          <w:lang w:val="es-PE"/>
        </w:rPr>
        <w:t>:</w:t>
      </w:r>
      <w:r w:rsidRPr="00234777">
        <w:rPr>
          <w:rFonts w:ascii="Times New Roman" w:hAnsi="Times New Roman" w:cs="Times New Roman"/>
          <w:sz w:val="24"/>
          <w:szCs w:val="24"/>
          <w:lang w:val="es-PE"/>
        </w:rPr>
        <w:t xml:space="preserve"> En atención a las consideraciones precedentes, este colegiado aprecia finalmente que no se ha evidenciado error ni falta de motivación, por lo que no existe mérito suficiente ni razón objetiva para revocar la resolución recurrida.</w:t>
      </w:r>
    </w:p>
    <w:p w:rsidRPr="00234777" w:rsidR="00234777" w:rsidP="00234777" w:rsidRDefault="00234777" w14:paraId="67BE27B9" w14:textId="77777777">
      <w:pPr>
        <w:spacing w:line="240" w:lineRule="auto"/>
        <w:jc w:val="both"/>
        <w:rPr>
          <w:rFonts w:ascii="Times New Roman" w:hAnsi="Times New Roman" w:cs="Times New Roman"/>
          <w:b/>
          <w:sz w:val="24"/>
          <w:szCs w:val="24"/>
          <w:lang w:val="es-PE"/>
        </w:rPr>
      </w:pPr>
      <w:r w:rsidRPr="00234777">
        <w:rPr>
          <w:rFonts w:ascii="Times New Roman" w:hAnsi="Times New Roman" w:cs="Times New Roman"/>
          <w:b/>
          <w:sz w:val="24"/>
          <w:szCs w:val="24"/>
          <w:lang w:val="es-PE"/>
        </w:rPr>
        <w:t>RESUELVE:</w:t>
      </w:r>
    </w:p>
    <w:p w:rsidRPr="00234777" w:rsidR="00234777" w:rsidP="00234777" w:rsidRDefault="00234777" w14:paraId="743BE466"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y, por consiguiente, CONFIRMAR la Resolución Nro. 092/23.</w:t>
      </w:r>
    </w:p>
    <w:p w:rsidRPr="00234777" w:rsidR="006A2ADE" w:rsidP="00FA31B9" w:rsidRDefault="006A2ADE" w14:paraId="1ADAEBCF"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234777" w:rsidR="00231C58" w:rsidP="005A40A4" w:rsidRDefault="0091528B" w14:paraId="2B9BAAC8" w14:textId="0BD36B64">
      <w:pPr>
        <w:suppressAutoHyphens/>
        <w:spacing w:after="0" w:line="240" w:lineRule="auto"/>
        <w:jc w:val="right"/>
        <w:outlineLvl w:val="0"/>
        <w:rPr>
          <w:rFonts w:ascii="Times New Roman" w:hAnsi="Times New Roman" w:eastAsia="Arial Unicode MS" w:cs="Times New Roman"/>
          <w:sz w:val="24"/>
          <w:szCs w:val="24"/>
          <w:lang w:val="es-PE" w:eastAsia="ar-SA"/>
        </w:rPr>
      </w:pPr>
      <w:r w:rsidRPr="00234777">
        <w:rPr>
          <w:rFonts w:ascii="Times New Roman" w:hAnsi="Times New Roman" w:eastAsia="Arial Unicode MS" w:cs="Times New Roman"/>
          <w:sz w:val="24"/>
          <w:szCs w:val="24"/>
          <w:lang w:val="es-PE" w:eastAsia="ar-SA"/>
        </w:rPr>
        <w:t xml:space="preserve">Lima, </w:t>
      </w:r>
      <w:r w:rsidRPr="00234777" w:rsidR="00DD0F92">
        <w:rPr>
          <w:rFonts w:ascii="Times New Roman" w:hAnsi="Times New Roman" w:eastAsia="Arial Unicode MS" w:cs="Times New Roman"/>
          <w:sz w:val="24"/>
          <w:szCs w:val="24"/>
          <w:lang w:val="es-PE" w:eastAsia="ar-SA"/>
        </w:rPr>
        <w:t>17</w:t>
      </w:r>
      <w:r w:rsidRPr="00234777" w:rsidR="00701639">
        <w:rPr>
          <w:rFonts w:ascii="Times New Roman" w:hAnsi="Times New Roman" w:eastAsia="Arial Unicode MS" w:cs="Times New Roman"/>
          <w:sz w:val="24"/>
          <w:szCs w:val="24"/>
          <w:lang w:val="es-PE" w:eastAsia="ar-SA"/>
        </w:rPr>
        <w:t xml:space="preserve"> </w:t>
      </w:r>
      <w:r w:rsidRPr="00234777" w:rsidR="00707C99">
        <w:rPr>
          <w:rFonts w:ascii="Times New Roman" w:hAnsi="Times New Roman" w:eastAsia="Arial Unicode MS" w:cs="Times New Roman"/>
          <w:sz w:val="24"/>
          <w:szCs w:val="24"/>
          <w:lang w:val="es-PE" w:eastAsia="ar-SA"/>
        </w:rPr>
        <w:t xml:space="preserve">de </w:t>
      </w:r>
      <w:r w:rsidRPr="00234777" w:rsidR="002F478E">
        <w:rPr>
          <w:rFonts w:ascii="Times New Roman" w:hAnsi="Times New Roman" w:eastAsia="Arial Unicode MS" w:cs="Times New Roman"/>
          <w:sz w:val="24"/>
          <w:szCs w:val="24"/>
          <w:lang w:val="es-PE" w:eastAsia="ar-SA"/>
        </w:rPr>
        <w:t>ju</w:t>
      </w:r>
      <w:r w:rsidRPr="00234777" w:rsidR="00701639">
        <w:rPr>
          <w:rFonts w:ascii="Times New Roman" w:hAnsi="Times New Roman" w:eastAsia="Arial Unicode MS" w:cs="Times New Roman"/>
          <w:sz w:val="24"/>
          <w:szCs w:val="24"/>
          <w:lang w:val="es-PE" w:eastAsia="ar-SA"/>
        </w:rPr>
        <w:t>l</w:t>
      </w:r>
      <w:r w:rsidRPr="00234777" w:rsidR="002F478E">
        <w:rPr>
          <w:rFonts w:ascii="Times New Roman" w:hAnsi="Times New Roman" w:eastAsia="Arial Unicode MS" w:cs="Times New Roman"/>
          <w:sz w:val="24"/>
          <w:szCs w:val="24"/>
          <w:lang w:val="es-PE" w:eastAsia="ar-SA"/>
        </w:rPr>
        <w:t xml:space="preserve">io </w:t>
      </w:r>
      <w:r w:rsidRPr="00234777" w:rsidR="00F06498">
        <w:rPr>
          <w:rFonts w:ascii="Times New Roman" w:hAnsi="Times New Roman" w:eastAsia="Arial Unicode MS" w:cs="Times New Roman"/>
          <w:sz w:val="24"/>
          <w:szCs w:val="24"/>
          <w:lang w:val="es-PE" w:eastAsia="ar-SA"/>
        </w:rPr>
        <w:t>de 202</w:t>
      </w:r>
      <w:r w:rsidRPr="00234777" w:rsidR="00B340D4">
        <w:rPr>
          <w:rFonts w:ascii="Times New Roman" w:hAnsi="Times New Roman" w:eastAsia="Arial Unicode MS" w:cs="Times New Roman"/>
          <w:sz w:val="24"/>
          <w:szCs w:val="24"/>
          <w:lang w:val="es-PE" w:eastAsia="ar-SA"/>
        </w:rPr>
        <w:t>3</w:t>
      </w:r>
      <w:r w:rsidRPr="00234777" w:rsidR="00707C99">
        <w:rPr>
          <w:rFonts w:ascii="Times New Roman" w:hAnsi="Times New Roman" w:eastAsia="Times New Roman" w:cs="Times New Roman"/>
          <w:sz w:val="24"/>
          <w:szCs w:val="24"/>
          <w:lang w:val="es-PE" w:eastAsia="ar-SA"/>
        </w:rPr>
        <w:t xml:space="preserve"> </w:t>
      </w:r>
    </w:p>
    <w:p w:rsidRPr="00234777"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234777"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3477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34777"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34777" w:rsidR="003D5A42" w:rsidP="003D5A42" w:rsidRDefault="003D5A42" w14:paraId="29236EE6" w14:textId="6D2B863B">
      <w:pPr>
        <w:spacing w:after="0" w:line="360" w:lineRule="auto"/>
        <w:jc w:val="center"/>
        <w:rPr>
          <w:rFonts w:ascii="Times New Roman" w:hAnsi="Times New Roman" w:cs="Times New Roman"/>
          <w:b/>
          <w:bCs/>
          <w:sz w:val="24"/>
          <w:szCs w:val="24"/>
          <w:lang w:val="es-PE"/>
        </w:rPr>
      </w:pPr>
      <w:r w:rsidRPr="00234777">
        <w:rPr>
          <w:rFonts w:ascii="Times New Roman" w:hAnsi="Times New Roman" w:cs="Times New Roman"/>
          <w:b/>
          <w:bCs/>
          <w:sz w:val="24"/>
          <w:szCs w:val="24"/>
          <w:lang w:val="es-PE"/>
        </w:rPr>
        <w:t>Omar Alfaro Villanueva – Presidente</w:t>
      </w:r>
    </w:p>
    <w:p w:rsidRPr="00234777"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234777">
        <w:rPr>
          <w:rFonts w:ascii="Times New Roman" w:hAnsi="Times New Roman" w:cs="Times New Roman"/>
          <w:b/>
          <w:bCs/>
          <w:sz w:val="24"/>
          <w:szCs w:val="24"/>
          <w:lang w:val="es-PE"/>
        </w:rPr>
        <w:t>María Eugenia Valdez Fernández Baca – Vocal</w:t>
      </w:r>
    </w:p>
    <w:p w:rsidRPr="00234777"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234777">
        <w:rPr>
          <w:rFonts w:ascii="Times New Roman" w:hAnsi="Times New Roman" w:cs="Times New Roman"/>
          <w:b/>
          <w:bCs/>
          <w:sz w:val="24"/>
          <w:szCs w:val="24"/>
          <w:lang w:val="es-PE"/>
        </w:rPr>
        <w:t>Rolando Eyzaguirre Maccan – Vocal</w:t>
      </w:r>
    </w:p>
    <w:p w:rsidRPr="00234777"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234777">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42425" w:rsidP="00784355" w:rsidRDefault="00242425" w14:paraId="5CD4E843" w14:textId="77777777">
      <w:pPr>
        <w:spacing w:after="0" w:line="240" w:lineRule="auto"/>
      </w:pPr>
      <w:r>
        <w:separator/>
      </w:r>
    </w:p>
  </w:endnote>
  <w:endnote w:type="continuationSeparator" w:id="0">
    <w:p w:rsidR="00242425" w:rsidP="00784355" w:rsidRDefault="00242425" w14:paraId="07911A2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42425" w:rsidP="00784355" w:rsidRDefault="00242425" w14:paraId="691DF8E1" w14:textId="77777777">
      <w:pPr>
        <w:spacing w:after="0" w:line="240" w:lineRule="auto"/>
      </w:pPr>
      <w:r>
        <w:separator/>
      </w:r>
    </w:p>
  </w:footnote>
  <w:footnote w:type="continuationSeparator" w:id="0">
    <w:p w:rsidR="00242425" w:rsidP="00784355" w:rsidRDefault="00242425" w14:paraId="15E87C4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7"/>
  </w:num>
  <w:num w:numId="3" w16cid:durableId="333261791">
    <w:abstractNumId w:val="5"/>
  </w:num>
  <w:num w:numId="4" w16cid:durableId="1770345525">
    <w:abstractNumId w:val="4"/>
  </w:num>
  <w:num w:numId="5" w16cid:durableId="1816144979">
    <w:abstractNumId w:val="6"/>
  </w:num>
  <w:num w:numId="6" w16cid:durableId="1304313350">
    <w:abstractNumId w:val="0"/>
  </w:num>
  <w:num w:numId="7" w16cid:durableId="1668288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1B99"/>
    <w:rsid w:val="00951CDB"/>
    <w:rsid w:val="00952F86"/>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E3B4F9F"/>
    <w:rsid w:val="12F1334D"/>
    <w:rsid w:val="12F7073B"/>
    <w:rsid w:val="1ACB47AC"/>
    <w:rsid w:val="1B1F6C56"/>
    <w:rsid w:val="1E148283"/>
    <w:rsid w:val="1F8A9F9D"/>
    <w:rsid w:val="2B8A7834"/>
    <w:rsid w:val="3BAE712E"/>
    <w:rsid w:val="45354796"/>
    <w:rsid w:val="4DFB9E4B"/>
    <w:rsid w:val="4EE372F0"/>
    <w:rsid w:val="56C83B1A"/>
    <w:rsid w:val="574C6A33"/>
    <w:rsid w:val="58B8B4B2"/>
    <w:rsid w:val="6E6AA191"/>
    <w:rsid w:val="7A509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210991C-8C84-4C71-A80F-E7BB052DBB10}"/>
</file>

<file path=customXml/itemProps3.xml><?xml version="1.0" encoding="utf-8"?>
<ds:datastoreItem xmlns:ds="http://schemas.openxmlformats.org/officeDocument/2006/customXml" ds:itemID="{D96485F0-C040-402D-91DF-5B641FA917EF}"/>
</file>

<file path=customXml/itemProps4.xml><?xml version="1.0" encoding="utf-8"?>
<ds:datastoreItem xmlns:ds="http://schemas.openxmlformats.org/officeDocument/2006/customXml" ds:itemID="{923DB0CC-FF07-4D82-8644-6F86C87E70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78</cp:revision>
  <cp:lastPrinted>2023-07-17T16:48:00Z</cp:lastPrinted>
  <dcterms:created xsi:type="dcterms:W3CDTF">2023-02-14T22:37:00Z</dcterms:created>
  <dcterms:modified xsi:type="dcterms:W3CDTF">2025-12-02T21:41:02Z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