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B4F3F" w:rsidR="00707C99" w:rsidP="00272F4F" w:rsidRDefault="00201C0D" w14:paraId="19FE0E96" w14:textId="57B4B7CF">
      <w:pPr>
        <w:spacing w:after="0" w:line="240" w:lineRule="auto"/>
        <w:jc w:val="center"/>
        <w:rPr>
          <w:rFonts w:ascii="Times New Roman" w:hAnsi="Times New Roman" w:cs="Times New Roman"/>
          <w:b/>
          <w:sz w:val="24"/>
          <w:szCs w:val="24"/>
          <w:lang w:val="es-PE" w:eastAsia="ar-SA"/>
        </w:rPr>
      </w:pPr>
      <w:r w:rsidRPr="009B4F3F">
        <w:rPr>
          <w:rFonts w:ascii="Times New Roman" w:hAnsi="Times New Roman" w:cs="Times New Roman"/>
          <w:b/>
          <w:sz w:val="24"/>
          <w:szCs w:val="24"/>
          <w:lang w:val="es-PE" w:eastAsia="ar-SA"/>
        </w:rPr>
        <w:t xml:space="preserve">RESOLUCIÓN DE RECURSO IMPUGNATIVO </w:t>
      </w:r>
      <w:r w:rsidRPr="009B4F3F" w:rsidR="00707C99">
        <w:rPr>
          <w:rFonts w:ascii="Times New Roman" w:hAnsi="Times New Roman" w:cs="Times New Roman"/>
          <w:b/>
          <w:sz w:val="24"/>
          <w:szCs w:val="24"/>
          <w:lang w:val="es-PE" w:eastAsia="ar-SA"/>
        </w:rPr>
        <w:t xml:space="preserve">N° </w:t>
      </w:r>
      <w:r w:rsidRPr="009B4F3F" w:rsidR="00516293">
        <w:rPr>
          <w:rFonts w:ascii="Times New Roman" w:hAnsi="Times New Roman" w:cs="Times New Roman"/>
          <w:b/>
          <w:sz w:val="24"/>
          <w:szCs w:val="24"/>
          <w:lang w:val="es-PE" w:eastAsia="ar-SA"/>
        </w:rPr>
        <w:t>0</w:t>
      </w:r>
      <w:r w:rsidRPr="009B4F3F" w:rsidR="009A40B3">
        <w:rPr>
          <w:rFonts w:ascii="Times New Roman" w:hAnsi="Times New Roman" w:cs="Times New Roman"/>
          <w:b/>
          <w:sz w:val="24"/>
          <w:szCs w:val="24"/>
          <w:lang w:val="es-PE" w:eastAsia="ar-SA"/>
        </w:rPr>
        <w:t>3</w:t>
      </w:r>
      <w:r w:rsidRPr="009B4F3F" w:rsidR="00B53696">
        <w:rPr>
          <w:rFonts w:ascii="Times New Roman" w:hAnsi="Times New Roman" w:cs="Times New Roman"/>
          <w:b/>
          <w:sz w:val="24"/>
          <w:szCs w:val="24"/>
          <w:lang w:val="es-PE" w:eastAsia="ar-SA"/>
        </w:rPr>
        <w:t>1</w:t>
      </w:r>
      <w:r w:rsidRPr="009B4F3F" w:rsidR="00C671F5">
        <w:rPr>
          <w:rFonts w:ascii="Times New Roman" w:hAnsi="Times New Roman" w:cs="Times New Roman"/>
          <w:b/>
          <w:sz w:val="24"/>
          <w:szCs w:val="24"/>
          <w:lang w:val="es-PE" w:eastAsia="ar-SA"/>
        </w:rPr>
        <w:t>/2</w:t>
      </w:r>
      <w:r w:rsidRPr="009B4F3F" w:rsidR="00AB7BFE">
        <w:rPr>
          <w:rFonts w:ascii="Times New Roman" w:hAnsi="Times New Roman" w:cs="Times New Roman"/>
          <w:b/>
          <w:sz w:val="24"/>
          <w:szCs w:val="24"/>
          <w:lang w:val="es-PE" w:eastAsia="ar-SA"/>
        </w:rPr>
        <w:t>3</w:t>
      </w:r>
    </w:p>
    <w:p w:rsidRPr="009B4F3F"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9B4F3F" w:rsidR="009B4F3F" w:rsidP="009B4F3F" w:rsidRDefault="009B4F3F" w14:paraId="0333A9D0" w14:textId="77777777">
      <w:pPr>
        <w:spacing w:line="240" w:lineRule="auto"/>
        <w:jc w:val="both"/>
        <w:outlineLvl w:val="0"/>
        <w:rPr>
          <w:rFonts w:ascii="Times New Roman" w:hAnsi="Times New Roman" w:cs="Times New Roman"/>
          <w:b/>
          <w:bCs/>
          <w:sz w:val="24"/>
          <w:szCs w:val="24"/>
          <w:lang w:val="es-MX"/>
        </w:rPr>
      </w:pPr>
      <w:r w:rsidRPr="009B4F3F">
        <w:rPr>
          <w:rFonts w:ascii="Times New Roman" w:hAnsi="Times New Roman" w:cs="Times New Roman"/>
          <w:b/>
          <w:bCs/>
          <w:sz w:val="24"/>
          <w:szCs w:val="24"/>
          <w:lang w:val="es-MX"/>
        </w:rPr>
        <w:t>VISTOS:</w:t>
      </w:r>
    </w:p>
    <w:p w:rsidRPr="009B4F3F" w:rsidR="009B4F3F" w:rsidP="009B4F3F" w:rsidRDefault="009B4F3F" w14:paraId="3C6FB9AB" w14:textId="5232BB1B">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121/23, expedida por esta Defensoría del Asegurado (DEFASEG), conforme a la cual se declaró FUNDADA la reclamación interpuesta por ............................................................ que ordena a la aseguradora que cumpla con la Resolución N°181/22 de fecha 29 de agosto del 2022, la cual fue confirmada por RESOLUCIÓN DE RECURSO IMPUGNATIVO N° 073 – 2022, de fecha 26 de setiembre del 2022, por lo que corresponde que .................... cumplir con el pago del íntegro de cualquier saldo de la deuda pendiente con el Banco .................... cubierta por los contratos de Seguro de Desgravamen / Pólizas Nros. .................... y ............................................, y que dicha aseguradora cumpla con el reembolso de los pagos realizados directamente por la reclamante ante dicha institución financiera por concepto de la indicada deuda, a partir de la negación de la cobertura.</w:t>
      </w:r>
    </w:p>
    <w:p w:rsidR="009B4F3F" w:rsidP="009B4F3F" w:rsidRDefault="009B4F3F" w14:paraId="292E1D7E" w14:textId="77777777">
      <w:pPr>
        <w:pStyle w:val="Textoindependiente"/>
        <w:spacing w:line="240" w:lineRule="auto"/>
      </w:pPr>
    </w:p>
    <w:p w:rsidRPr="009B4F3F" w:rsidR="009B4F3F" w:rsidP="009B4F3F" w:rsidRDefault="009B4F3F" w14:paraId="23FBEA37" w14:textId="0F64FBBC">
      <w:pPr>
        <w:pStyle w:val="Textoindependiente"/>
        <w:spacing w:line="240" w:lineRule="auto"/>
      </w:pPr>
      <w:r>
        <w:rPr>
          <w:rFonts w:ascii="Times New Roman" w:hAnsi="Times New Roman"/>
          <w:sz w:val="24"/>
        </w:rPr>
        <w:t xml:space="preserve">Que, el indicado recurso se sustenta resumidamente en lo siguiente: (1) se ha cumplido con el pago ordenado en la Resolución N°181/22 de fecha 29 de agosto del 2022, la cual fue confirmada por RESOLUCIÓN DE RECURSO IMPUGNATIVO N° 073 – 2022, de fecha 26 de setiembre del 2022; (2) a fin de verificar que se ha realizado el pago correspondiente, se adjuntó la prueba del pago de la suma del monto de S/. 17,245.26; correspondiente a la póliza N° ............................................, del seguro de desgravamen desempleo (tarjeta de crédito); (3) se adjuntó el pago de la suma de S/. 240,237.22; correspondiente a la póliza N° ....................; desgravamen .................. (Conticasa); (4) ambos pagos fueron liquidadas a la fecha del siniestro; esto es, el 09 de marzo de 2021; (5) no resulta aceptable que se pretenda desconocer lo pactado contractualmente en el seguro contratado y que se ampare una decisión que contraria a derecho.</w:t>
      </w:r>
    </w:p>
    <w:p w:rsidRPr="009B4F3F" w:rsidR="009B4F3F" w:rsidP="009B4F3F" w:rsidRDefault="009B4F3F" w14:paraId="1254FE66" w14:textId="77777777">
      <w:pPr>
        <w:pStyle w:val="Textoindependiente"/>
        <w:spacing w:line="240" w:lineRule="auto"/>
        <w:rPr>
          <w:lang w:val="es-PE"/>
        </w:rPr>
      </w:pPr>
    </w:p>
    <w:p w:rsidRPr="009B4F3F" w:rsidR="009B4F3F" w:rsidP="009B4F3F" w:rsidRDefault="009B4F3F" w14:paraId="61B04E4B" w14:textId="3598FA15">
      <w:pPr>
        <w:pStyle w:val="Textoindependiente"/>
        <w:spacing w:line="240" w:lineRule="auto"/>
        <w:rPr>
          <w:color w:val="000000"/>
          <w:lang w:val="es-PE" w:eastAsia="es-PE"/>
        </w:rPr>
      </w:pPr>
      <w:r>
        <w:rPr>
          <w:rFonts w:ascii="Times New Roman" w:hAnsi="Times New Roman"/>
          <w:sz w:val="24"/>
        </w:rPr>
        <w:t xml:space="preserve">Que, la reclamante absolvió el traslado del recurso interpuesto, manifestando en síntesis lo siguiente: (1) la aseguradora indica haber realizado los pagos correspondientes señalados en la Resolución N° 181/22 de fecha 29 de agosto de 2022, confirmada por Resolución de Recursos Impugnatorios N° 073-2022, de fecha 26 de setiembre de 2022, lo cual recae en error en el extremo de, no haber certificado debidamente a que correspondían los pagos efectuados sobre las coberturas de seguros, esto es, la liquidación de los Seguros de Desgravamen N° ............................................ y N° .................... de las fechas 25 de octubre y 07 de noviembre de 2022 que realizó en las fechas que señala la aseguradora; (2) no está en discusión los pagos realizados por la aseguradora sobre los seguros de Desgravamen, sino el no haber demostrado con documentación fehaciente el acreditar el saldo de las deudas pagadas al .................. y por el crédito CONTICASA, lo cual fue solicitado a la aseguradora en distintas fechas, estas son; vía correo electrónico en fecha 04 de octubre de 2022, vía Carta N° ………………… en fecha 03 de noviembre de 2023, el cual fue recibida el 10 de noviembre de 2023, sin respuesta alguna de parte de la Aseguradora; (3) se evidencia desde un principio la negativa por parte de la aseguradora de cumplir cabalmente con lo solicitado por la Defensoría; (4) sobre el punto de detallar con fecha cierta sobre la liquidación de las deudas, si fue desde el fallecimiento del asegurado o desde el mes de agosto de 2022, y sobre el punto del reembolso de los pagos realizados después del siniestro, la aseguradora en ningún momento hizo referencia sobre estos puntos, los cuales fueron solicitados por la Defensoría, y hasta la fecha sigue sin detallar con fecha cierta sobre la liquidación de las deudas, y no realiza el reembolso de los pagos después del siniestro, esto es, de las fechas de abril 2021 hasta agosto 2022 que ascienden a la suma de S/. 66,253.94.</w:t>
      </w:r>
    </w:p>
    <w:p w:rsidRPr="009B4F3F" w:rsidR="009B4F3F" w:rsidP="009B4F3F" w:rsidRDefault="009B4F3F" w14:paraId="43B878C6" w14:textId="77777777">
      <w:pPr>
        <w:pStyle w:val="Textoindependiente"/>
        <w:spacing w:line="240" w:lineRule="auto"/>
        <w:rPr>
          <w:color w:val="000000"/>
          <w:lang w:val="es-PE" w:eastAsia="es-PE"/>
        </w:rPr>
      </w:pPr>
      <w:r w:rsidRPr="009B4F3F">
        <w:rPr>
          <w:rFonts w:ascii="Times New Roman" w:hAnsi="Times New Roman"/>
          <w:color w:val="000000"/>
          <w:sz w:val="24"/>
          <w:lang w:val="es-PE" w:eastAsia="es-PE"/>
        </w:rPr>
        <w:lastRenderedPageBreak/>
        <w:t xml:space="preserve"> </w:t>
      </w:r>
    </w:p>
    <w:p w:rsidRPr="009B4F3F" w:rsidR="009B4F3F" w:rsidP="009B4F3F" w:rsidRDefault="009B4F3F" w14:paraId="16FE227E" w14:textId="606AC9F3">
      <w:pPr>
        <w:pStyle w:val="Textoindependiente"/>
        <w:spacing w:line="240" w:lineRule="auto"/>
      </w:pPr>
      <w:r w:rsidR="009B4F3F">
        <w:rPr>
          <w:rFonts w:ascii="Times New Roman" w:hAnsi="Times New Roman"/>
          <w:sz w:val="24"/>
        </w:rPr>
        <w:t xml:space="preserve">Que, mediante correo electrónico de fecha 11 de julio de 2023, </w:t>
      </w:r>
      <w:r w:rsidR="3C736F95">
        <w:rPr>
          <w:rFonts w:ascii="Times New Roman" w:hAnsi="Times New Roman"/>
          <w:sz w:val="24"/>
        </w:rPr>
        <w:t>....................</w:t>
      </w:r>
      <w:r w:rsidR="009B4F3F">
        <w:rPr>
          <w:rFonts w:ascii="Times New Roman" w:hAnsi="Times New Roman"/>
          <w:sz w:val="24"/>
        </w:rPr>
        <w:t xml:space="preserve"> informa de la existencia de un procedimiento de denuncia administrativa por infracción de derechos de protección del consumidor en la vía del PROCEDIMIENTO ORDINARIO Comisión de Protección Consumidor (CPC) Número 1, ante el INDECOPI por la misma materia objeto del presente proceso de reclamación ante la Defensoría.</w:t>
      </w:r>
    </w:p>
    <w:p w:rsidRPr="009B4F3F" w:rsidR="009B4F3F" w:rsidP="009B4F3F" w:rsidRDefault="009B4F3F" w14:paraId="2E7DF818" w14:textId="77777777">
      <w:pPr>
        <w:pStyle w:val="Textoindependiente"/>
        <w:spacing w:line="240" w:lineRule="auto"/>
      </w:pPr>
    </w:p>
    <w:p w:rsidRPr="009B4F3F" w:rsidR="009B4F3F" w:rsidP="009B4F3F" w:rsidRDefault="009B4F3F" w14:paraId="31A36CAA" w14:textId="77777777">
      <w:pPr>
        <w:pStyle w:val="Textoindependiente"/>
        <w:tabs>
          <w:tab w:val="left" w:pos="930"/>
        </w:tabs>
        <w:spacing w:line="240" w:lineRule="auto"/>
      </w:pPr>
      <w:r w:rsidRPr="009B4F3F">
        <w:rPr>
          <w:rFonts w:ascii="Times New Roman" w:hAnsi="Times New Roman"/>
          <w:sz w:val="24"/>
        </w:rPr>
        <w:t>Que, atendiendo a lo expuesto, esta Defensoría resuelve finalmente lo siguiente:</w:t>
      </w:r>
    </w:p>
    <w:p w:rsidR="009B4F3F" w:rsidP="009B4F3F" w:rsidRDefault="009B4F3F" w14:paraId="1B006E6E" w14:textId="77777777">
      <w:pPr>
        <w:spacing w:line="240" w:lineRule="auto"/>
        <w:jc w:val="both"/>
        <w:rPr>
          <w:rFonts w:ascii="Times New Roman" w:hAnsi="Times New Roman" w:cs="Times New Roman"/>
          <w:b/>
          <w:sz w:val="24"/>
          <w:szCs w:val="24"/>
          <w:u w:val="single"/>
          <w:lang w:val="es-PE"/>
        </w:rPr>
      </w:pPr>
    </w:p>
    <w:p w:rsidRPr="009B4F3F" w:rsidR="009B4F3F" w:rsidP="009B4F3F" w:rsidRDefault="009B4F3F" w14:paraId="5879DFC7" w14:textId="5E87CE41">
      <w:pPr>
        <w:spacing w:line="240" w:lineRule="auto"/>
        <w:jc w:val="both"/>
        <w:rPr>
          <w:rFonts w:ascii="Times New Roman" w:hAnsi="Times New Roman" w:cs="Times New Roman"/>
          <w:sz w:val="24"/>
          <w:szCs w:val="24"/>
          <w:lang w:val="es-PE"/>
        </w:rPr>
      </w:pPr>
      <w:r w:rsidRPr="009B4F3F">
        <w:rPr>
          <w:rFonts w:ascii="Times New Roman" w:hAnsi="Times New Roman" w:cs="Times New Roman"/>
          <w:b/>
          <w:sz w:val="24"/>
          <w:szCs w:val="24"/>
          <w:u w:val="single"/>
          <w:lang w:val="es-PE"/>
        </w:rPr>
        <w:t>PRIMERO</w:t>
      </w:r>
      <w:r w:rsidRPr="009B4F3F">
        <w:rPr>
          <w:rFonts w:ascii="Times New Roman" w:hAnsi="Times New Roman" w:cs="Times New Roman"/>
          <w:b/>
          <w:sz w:val="24"/>
          <w:szCs w:val="24"/>
          <w:lang w:val="es-PE"/>
        </w:rPr>
        <w:t>:</w:t>
      </w:r>
      <w:r w:rsidRPr="009B4F3F">
        <w:rPr>
          <w:rFonts w:ascii="Times New Roman" w:hAnsi="Times New Roman" w:cs="Times New Roman"/>
          <w:sz w:val="24"/>
          <w:szCs w:val="24"/>
          <w:lang w:val="es-PE"/>
        </w:rPr>
        <w:t xml:space="preserve"> Que, de acuerdo al Reglamento de la DEFASEG, </w:t>
      </w:r>
      <w:r w:rsidRPr="009B4F3F">
        <w:rPr>
          <w:rFonts w:ascii="Times New Roman" w:hAnsi="Times New Roman" w:cs="Times New Roman"/>
          <w:sz w:val="24"/>
          <w:szCs w:val="24"/>
          <w:shd w:val="clear" w:color="auto" w:fill="FFFFFF"/>
          <w:lang w:val="es-PE"/>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rsidRPr="009B4F3F" w:rsidR="009B4F3F" w:rsidP="009B4F3F" w:rsidRDefault="009B4F3F" w14:paraId="20484A38" w14:textId="77777777">
      <w:pPr>
        <w:tabs>
          <w:tab w:val="left" w:pos="2386"/>
        </w:tabs>
        <w:spacing w:line="240" w:lineRule="auto"/>
        <w:jc w:val="both"/>
        <w:rPr>
          <w:rFonts w:ascii="Times New Roman" w:hAnsi="Times New Roman" w:cs="Times New Roman"/>
          <w:sz w:val="24"/>
          <w:szCs w:val="24"/>
          <w:lang w:val="es-PE"/>
        </w:rPr>
      </w:pPr>
      <w:r w:rsidRPr="009B4F3F">
        <w:rPr>
          <w:rFonts w:ascii="Times New Roman" w:hAnsi="Times New Roman" w:cs="Times New Roman"/>
          <w:sz w:val="24"/>
          <w:szCs w:val="24"/>
          <w:lang w:val="es-PE"/>
        </w:rPr>
        <w:t>Conforme a ello, hallándose plenamente acreditado que la reclamante ha recurrido al INDECOPI con relación a la misma materia de lo que es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rsidRPr="009B4F3F" w:rsidR="009B4F3F" w:rsidP="009B4F3F" w:rsidRDefault="009B4F3F" w14:paraId="00534296" w14:textId="77777777">
      <w:pPr>
        <w:tabs>
          <w:tab w:val="left" w:pos="2386"/>
        </w:tabs>
        <w:spacing w:line="240" w:lineRule="auto"/>
        <w:jc w:val="both"/>
        <w:rPr>
          <w:rFonts w:ascii="Times New Roman" w:hAnsi="Times New Roman" w:cs="Times New Roman"/>
          <w:b/>
          <w:sz w:val="24"/>
          <w:szCs w:val="24"/>
          <w:lang w:val="es-PE"/>
        </w:rPr>
      </w:pPr>
      <w:r w:rsidRPr="009B4F3F">
        <w:rPr>
          <w:rFonts w:ascii="Times New Roman" w:hAnsi="Times New Roman" w:cs="Times New Roman"/>
          <w:b/>
          <w:sz w:val="24"/>
          <w:szCs w:val="24"/>
          <w:lang w:val="es-PE"/>
        </w:rPr>
        <w:t>Atendiendo a lo expresado, conforme a su Reglamento, este colegiado resuelve:</w:t>
      </w:r>
    </w:p>
    <w:p w:rsidRPr="009B4F3F" w:rsidR="009B4F3F" w:rsidP="009B4F3F" w:rsidRDefault="009B4F3F" w14:paraId="26BA6707" w14:textId="4BD4EE1D">
      <w:pPr>
        <w:tabs>
          <w:tab w:val="left" w:pos="0"/>
          <w:tab w:val="left" w:pos="708"/>
          <w:tab w:val="left" w:pos="1416"/>
          <w:tab w:val="left" w:pos="2160"/>
          <w:tab w:val="left" w:pos="3540"/>
          <w:tab w:val="left" w:pos="4248"/>
          <w:tab w:val="left" w:pos="4956"/>
          <w:tab w:val="left" w:pos="5664"/>
          <w:tab w:val="left" w:pos="6372"/>
          <w:tab w:val="left" w:pos="7125"/>
        </w:tabs>
        <w:spacing w:line="240" w:lineRule="auto"/>
        <w:jc w:val="both"/>
        <w:rPr>
          <w:rFonts w:ascii="Times New Roman" w:hAnsi="Times New Roman" w:eastAsia="Arial Unicode MS" w:cs="Times New Roman"/>
          <w:sz w:val="24"/>
          <w:szCs w:val="24"/>
          <w:lang w:val="es-PE"/>
        </w:rPr>
      </w:pPr>
      <w:r>
        <w:rPr>
          <w:rFonts w:ascii="Times New Roman" w:hAnsi="Times New Roman"/>
          <w:sz w:val="24"/>
        </w:rPr>
        <w:t xml:space="preserve">Declarar CONCLUIDO, ………………… CONTRA RESOLUCIÓN No 121/23, disponiéndose el …………………, quedando a salvo el derecho de la reclamante de recurrir a las instancias que considere pertinentes.</w:t>
      </w:r>
    </w:p>
    <w:p w:rsidRPr="009B4F3F"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9B4F3F" w:rsidR="00231C58" w:rsidP="005A40A4" w:rsidRDefault="0091528B" w14:paraId="2B9BAAC8" w14:textId="0BD36B64">
      <w:pPr>
        <w:suppressAutoHyphens/>
        <w:spacing w:after="0" w:line="240" w:lineRule="auto"/>
        <w:jc w:val="right"/>
        <w:outlineLvl w:val="0"/>
        <w:rPr>
          <w:rFonts w:ascii="Times New Roman" w:hAnsi="Times New Roman" w:eastAsia="Arial Unicode MS" w:cs="Times New Roman"/>
          <w:sz w:val="24"/>
          <w:szCs w:val="24"/>
          <w:lang w:val="es-PE" w:eastAsia="ar-SA"/>
        </w:rPr>
      </w:pPr>
      <w:r w:rsidRPr="009B4F3F">
        <w:rPr>
          <w:rFonts w:ascii="Times New Roman" w:hAnsi="Times New Roman" w:eastAsia="Arial Unicode MS" w:cs="Times New Roman"/>
          <w:sz w:val="24"/>
          <w:szCs w:val="24"/>
          <w:lang w:val="es-PE" w:eastAsia="ar-SA"/>
        </w:rPr>
        <w:t xml:space="preserve">Lima, </w:t>
      </w:r>
      <w:r w:rsidRPr="009B4F3F" w:rsidR="00DD0F92">
        <w:rPr>
          <w:rFonts w:ascii="Times New Roman" w:hAnsi="Times New Roman" w:eastAsia="Arial Unicode MS" w:cs="Times New Roman"/>
          <w:sz w:val="24"/>
          <w:szCs w:val="24"/>
          <w:lang w:val="es-PE" w:eastAsia="ar-SA"/>
        </w:rPr>
        <w:t>17</w:t>
      </w:r>
      <w:r w:rsidRPr="009B4F3F" w:rsidR="00701639">
        <w:rPr>
          <w:rFonts w:ascii="Times New Roman" w:hAnsi="Times New Roman" w:eastAsia="Arial Unicode MS" w:cs="Times New Roman"/>
          <w:sz w:val="24"/>
          <w:szCs w:val="24"/>
          <w:lang w:val="es-PE" w:eastAsia="ar-SA"/>
        </w:rPr>
        <w:t xml:space="preserve"> </w:t>
      </w:r>
      <w:r w:rsidRPr="009B4F3F" w:rsidR="00707C99">
        <w:rPr>
          <w:rFonts w:ascii="Times New Roman" w:hAnsi="Times New Roman" w:eastAsia="Arial Unicode MS" w:cs="Times New Roman"/>
          <w:sz w:val="24"/>
          <w:szCs w:val="24"/>
          <w:lang w:val="es-PE" w:eastAsia="ar-SA"/>
        </w:rPr>
        <w:t xml:space="preserve">de </w:t>
      </w:r>
      <w:r w:rsidRPr="009B4F3F" w:rsidR="002F478E">
        <w:rPr>
          <w:rFonts w:ascii="Times New Roman" w:hAnsi="Times New Roman" w:eastAsia="Arial Unicode MS" w:cs="Times New Roman"/>
          <w:sz w:val="24"/>
          <w:szCs w:val="24"/>
          <w:lang w:val="es-PE" w:eastAsia="ar-SA"/>
        </w:rPr>
        <w:t>ju</w:t>
      </w:r>
      <w:r w:rsidRPr="009B4F3F" w:rsidR="00701639">
        <w:rPr>
          <w:rFonts w:ascii="Times New Roman" w:hAnsi="Times New Roman" w:eastAsia="Arial Unicode MS" w:cs="Times New Roman"/>
          <w:sz w:val="24"/>
          <w:szCs w:val="24"/>
          <w:lang w:val="es-PE" w:eastAsia="ar-SA"/>
        </w:rPr>
        <w:t>l</w:t>
      </w:r>
      <w:r w:rsidRPr="009B4F3F" w:rsidR="002F478E">
        <w:rPr>
          <w:rFonts w:ascii="Times New Roman" w:hAnsi="Times New Roman" w:eastAsia="Arial Unicode MS" w:cs="Times New Roman"/>
          <w:sz w:val="24"/>
          <w:szCs w:val="24"/>
          <w:lang w:val="es-PE" w:eastAsia="ar-SA"/>
        </w:rPr>
        <w:t xml:space="preserve">io </w:t>
      </w:r>
      <w:r w:rsidRPr="009B4F3F" w:rsidR="00F06498">
        <w:rPr>
          <w:rFonts w:ascii="Times New Roman" w:hAnsi="Times New Roman" w:eastAsia="Arial Unicode MS" w:cs="Times New Roman"/>
          <w:sz w:val="24"/>
          <w:szCs w:val="24"/>
          <w:lang w:val="es-PE" w:eastAsia="ar-SA"/>
        </w:rPr>
        <w:t>de 202</w:t>
      </w:r>
      <w:r w:rsidRPr="009B4F3F" w:rsidR="00B340D4">
        <w:rPr>
          <w:rFonts w:ascii="Times New Roman" w:hAnsi="Times New Roman" w:eastAsia="Arial Unicode MS" w:cs="Times New Roman"/>
          <w:sz w:val="24"/>
          <w:szCs w:val="24"/>
          <w:lang w:val="es-PE" w:eastAsia="ar-SA"/>
        </w:rPr>
        <w:t>3</w:t>
      </w:r>
      <w:r w:rsidRPr="009B4F3F" w:rsidR="00707C99">
        <w:rPr>
          <w:rFonts w:ascii="Times New Roman" w:hAnsi="Times New Roman" w:eastAsia="Times New Roman" w:cs="Times New Roman"/>
          <w:sz w:val="24"/>
          <w:szCs w:val="24"/>
          <w:lang w:val="es-PE" w:eastAsia="ar-SA"/>
        </w:rPr>
        <w:t xml:space="preserve"> </w:t>
      </w:r>
    </w:p>
    <w:p w:rsidRPr="009B4F3F"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B4F3F"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9B4F3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B4F3F"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9B4F3F"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9B4F3F">
        <w:rPr>
          <w:rFonts w:ascii="Times New Roman" w:hAnsi="Times New Roman" w:cs="Times New Roman"/>
          <w:b/>
          <w:bCs/>
          <w:sz w:val="24"/>
          <w:szCs w:val="24"/>
          <w:lang w:val="es-PE"/>
        </w:rPr>
        <w:t>Omar Alfaro Villanueva – Presidente</w:t>
      </w:r>
    </w:p>
    <w:p w:rsidRPr="009B4F3F"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9B4F3F">
        <w:rPr>
          <w:rFonts w:ascii="Times New Roman" w:hAnsi="Times New Roman" w:cs="Times New Roman"/>
          <w:b/>
          <w:bCs/>
          <w:sz w:val="24"/>
          <w:szCs w:val="24"/>
          <w:lang w:val="es-PE"/>
        </w:rPr>
        <w:t>María Eugenia Valdez Fernández Baca – Vocal</w:t>
      </w:r>
    </w:p>
    <w:p w:rsidRPr="009B4F3F"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9B4F3F">
        <w:rPr>
          <w:rFonts w:ascii="Times New Roman" w:hAnsi="Times New Roman" w:cs="Times New Roman"/>
          <w:b/>
          <w:bCs/>
          <w:sz w:val="24"/>
          <w:szCs w:val="24"/>
          <w:lang w:val="es-PE"/>
        </w:rPr>
        <w:t>Rolando Eyzaguirre Maccan – Vocal</w:t>
      </w:r>
    </w:p>
    <w:p w:rsidRPr="009B4F3F"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9B4F3F">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1CF" w:rsidP="00784355" w:rsidRDefault="00DB11CF" w14:paraId="6E46B433" w14:textId="77777777">
      <w:pPr>
        <w:spacing w:after="0" w:line="240" w:lineRule="auto"/>
      </w:pPr>
      <w:r>
        <w:separator/>
      </w:r>
    </w:p>
  </w:endnote>
  <w:endnote w:type="continuationSeparator" w:id="0">
    <w:p w:rsidR="00DB11CF" w:rsidP="00784355" w:rsidRDefault="00DB11CF" w14:paraId="126E2D7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1CF" w:rsidP="00784355" w:rsidRDefault="00DB11CF" w14:paraId="72A327FE" w14:textId="77777777">
      <w:pPr>
        <w:spacing w:after="0" w:line="240" w:lineRule="auto"/>
      </w:pPr>
      <w:r>
        <w:separator/>
      </w:r>
    </w:p>
  </w:footnote>
  <w:footnote w:type="continuationSeparator" w:id="0">
    <w:p w:rsidR="00DB11CF" w:rsidP="00784355" w:rsidRDefault="00DB11CF" w14:paraId="1F5B0F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8"/>
  </w:num>
  <w:num w:numId="3" w16cid:durableId="333261791">
    <w:abstractNumId w:val="6"/>
  </w:num>
  <w:num w:numId="4" w16cid:durableId="1770345525">
    <w:abstractNumId w:val="5"/>
  </w:num>
  <w:num w:numId="5" w16cid:durableId="1816144979">
    <w:abstractNumId w:val="7"/>
  </w:num>
  <w:num w:numId="6" w16cid:durableId="1304313350">
    <w:abstractNumId w:val="0"/>
  </w:num>
  <w:num w:numId="7" w16cid:durableId="16682880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7A13"/>
    <w:rsid w:val="00671DB5"/>
    <w:rsid w:val="00680D8A"/>
    <w:rsid w:val="00686BB2"/>
    <w:rsid w:val="006878E1"/>
    <w:rsid w:val="0069304A"/>
    <w:rsid w:val="00693EDD"/>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4F3F"/>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AA1"/>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1CF"/>
    <w:rsid w:val="00DB15FD"/>
    <w:rsid w:val="00DB3DD5"/>
    <w:rsid w:val="00DB5079"/>
    <w:rsid w:val="00DB58EC"/>
    <w:rsid w:val="00DC399B"/>
    <w:rsid w:val="00DD0F92"/>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A521609"/>
    <w:rsid w:val="0EE9DFDD"/>
    <w:rsid w:val="231218DD"/>
    <w:rsid w:val="243A0F98"/>
    <w:rsid w:val="276AF59E"/>
    <w:rsid w:val="3923B6E1"/>
    <w:rsid w:val="3C736F95"/>
    <w:rsid w:val="52CB2CA3"/>
    <w:rsid w:val="55C5E48D"/>
    <w:rsid w:val="728CDF93"/>
    <w:rsid w:val="7A722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DAFF311-D2D8-4566-9D4A-DAAE99F49CCC}"/>
</file>

<file path=customXml/itemProps3.xml><?xml version="1.0" encoding="utf-8"?>
<ds:datastoreItem xmlns:ds="http://schemas.openxmlformats.org/officeDocument/2006/customXml" ds:itemID="{256B55FB-74E6-46D9-A534-0A1A58D5FE61}"/>
</file>

<file path=customXml/itemProps4.xml><?xml version="1.0" encoding="utf-8"?>
<ds:datastoreItem xmlns:ds="http://schemas.openxmlformats.org/officeDocument/2006/customXml" ds:itemID="{42AE059F-1E83-47D4-99CA-B738EDBFE3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86</cp:revision>
  <cp:lastPrinted>2023-07-18T15:46:00Z</cp:lastPrinted>
  <dcterms:created xsi:type="dcterms:W3CDTF">2023-02-14T22:37:00Z</dcterms:created>
  <dcterms:modified xsi:type="dcterms:W3CDTF">2025-12-02T21:51:24Z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