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B297F" w:rsidR="00707C99" w:rsidP="00272F4F" w:rsidRDefault="00201C0D" w14:paraId="19FE0E96" w14:textId="3618EA2F">
      <w:pPr>
        <w:spacing w:after="0" w:line="240" w:lineRule="auto"/>
        <w:jc w:val="center"/>
        <w:rPr>
          <w:rFonts w:ascii="Times New Roman" w:hAnsi="Times New Roman" w:cs="Times New Roman"/>
          <w:b/>
          <w:sz w:val="24"/>
          <w:szCs w:val="24"/>
          <w:lang w:val="es-PE" w:eastAsia="ar-SA"/>
        </w:rPr>
      </w:pPr>
      <w:r w:rsidRPr="00FB297F">
        <w:rPr>
          <w:rFonts w:ascii="Times New Roman" w:hAnsi="Times New Roman" w:cs="Times New Roman"/>
          <w:b/>
          <w:sz w:val="24"/>
          <w:szCs w:val="24"/>
          <w:lang w:val="es-PE" w:eastAsia="ar-SA"/>
        </w:rPr>
        <w:t xml:space="preserve">RESOLUCIÓN DE RECURSO IMPUGNATIVO </w:t>
      </w:r>
      <w:proofErr w:type="spellStart"/>
      <w:r w:rsidRPr="00FB297F" w:rsidR="00707C99">
        <w:rPr>
          <w:rFonts w:ascii="Times New Roman" w:hAnsi="Times New Roman" w:cs="Times New Roman"/>
          <w:b/>
          <w:sz w:val="24"/>
          <w:szCs w:val="24"/>
          <w:lang w:val="es-PE" w:eastAsia="ar-SA"/>
        </w:rPr>
        <w:t>N°</w:t>
      </w:r>
      <w:proofErr w:type="spellEnd"/>
      <w:r w:rsidRPr="00FB297F" w:rsidR="00707C99">
        <w:rPr>
          <w:rFonts w:ascii="Times New Roman" w:hAnsi="Times New Roman" w:cs="Times New Roman"/>
          <w:b/>
          <w:sz w:val="24"/>
          <w:szCs w:val="24"/>
          <w:lang w:val="es-PE" w:eastAsia="ar-SA"/>
        </w:rPr>
        <w:t xml:space="preserve"> </w:t>
      </w:r>
      <w:r w:rsidRPr="00FB297F" w:rsidR="00516293">
        <w:rPr>
          <w:rFonts w:ascii="Times New Roman" w:hAnsi="Times New Roman" w:cs="Times New Roman"/>
          <w:b/>
          <w:sz w:val="24"/>
          <w:szCs w:val="24"/>
          <w:lang w:val="es-PE" w:eastAsia="ar-SA"/>
        </w:rPr>
        <w:t>0</w:t>
      </w:r>
      <w:r w:rsidRPr="00FB297F" w:rsidR="009A40B3">
        <w:rPr>
          <w:rFonts w:ascii="Times New Roman" w:hAnsi="Times New Roman" w:cs="Times New Roman"/>
          <w:b/>
          <w:sz w:val="24"/>
          <w:szCs w:val="24"/>
          <w:lang w:val="es-PE" w:eastAsia="ar-SA"/>
        </w:rPr>
        <w:t>3</w:t>
      </w:r>
      <w:r w:rsidRPr="00FB297F" w:rsidR="0046647B">
        <w:rPr>
          <w:rFonts w:ascii="Times New Roman" w:hAnsi="Times New Roman" w:cs="Times New Roman"/>
          <w:b/>
          <w:sz w:val="24"/>
          <w:szCs w:val="24"/>
          <w:lang w:val="es-PE" w:eastAsia="ar-SA"/>
        </w:rPr>
        <w:t>6</w:t>
      </w:r>
      <w:r w:rsidRPr="00FB297F" w:rsidR="00C671F5">
        <w:rPr>
          <w:rFonts w:ascii="Times New Roman" w:hAnsi="Times New Roman" w:cs="Times New Roman"/>
          <w:b/>
          <w:sz w:val="24"/>
          <w:szCs w:val="24"/>
          <w:lang w:val="es-PE" w:eastAsia="ar-SA"/>
        </w:rPr>
        <w:t>/2</w:t>
      </w:r>
      <w:r w:rsidRPr="00FB297F" w:rsidR="00AB7BFE">
        <w:rPr>
          <w:rFonts w:ascii="Times New Roman" w:hAnsi="Times New Roman" w:cs="Times New Roman"/>
          <w:b/>
          <w:sz w:val="24"/>
          <w:szCs w:val="24"/>
          <w:lang w:val="es-PE" w:eastAsia="ar-SA"/>
        </w:rPr>
        <w:t>3</w:t>
      </w:r>
    </w:p>
    <w:p w:rsidRPr="00FB297F"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Pr="00FB297F" w:rsidR="00053740" w:rsidP="00053740" w:rsidRDefault="00053740" w14:paraId="4CB4C5C3" w14:textId="2EB9FB76">
      <w:pPr>
        <w:spacing w:line="240" w:lineRule="auto"/>
        <w:jc w:val="both"/>
        <w:outlineLvl w:val="0"/>
        <w:rPr>
          <w:rFonts w:ascii="Times New Roman" w:hAnsi="Times New Roman" w:cs="Times New Roman"/>
          <w:b/>
          <w:bCs/>
          <w:sz w:val="24"/>
          <w:szCs w:val="24"/>
          <w:lang w:val="es-MX"/>
        </w:rPr>
      </w:pPr>
      <w:r w:rsidRPr="00FB297F">
        <w:rPr>
          <w:rFonts w:ascii="Times New Roman" w:hAnsi="Times New Roman" w:cs="Times New Roman"/>
          <w:b/>
          <w:bCs/>
          <w:sz w:val="24"/>
          <w:szCs w:val="24"/>
          <w:lang w:val="es-MX"/>
        </w:rPr>
        <w:t>VISTOS:</w:t>
      </w:r>
    </w:p>
    <w:p w:rsidRPr="00FB297F" w:rsidR="00053740" w:rsidP="00053740" w:rsidRDefault="00053740" w14:paraId="4E13ADDF" w14:textId="41F1E6A3">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147/23, expedida por esta Defensoría del Asegurado (DEFASEG), conforme a la cual se declaró FUNDADA la reclamación interpuesta por  ............................................respecto al  ………………… 360 – PÓLIZA No ...................;</w:t>
      </w:r>
    </w:p>
    <w:p w:rsidRPr="00FB297F" w:rsidR="00053740" w:rsidP="00053740" w:rsidRDefault="00053740" w14:paraId="790599B7" w14:textId="77777777">
      <w:pPr>
        <w:pStyle w:val="Textoindependiente"/>
        <w:spacing w:line="240" w:lineRule="auto"/>
      </w:pPr>
    </w:p>
    <w:p w:rsidRPr="00FB297F" w:rsidR="00053740" w:rsidP="00053740" w:rsidRDefault="00053740" w14:paraId="40C43FEB" w14:textId="743038F2">
      <w:pPr>
        <w:pStyle w:val="Textoindependiente"/>
        <w:spacing w:line="240" w:lineRule="auto"/>
        <w:rPr>
          <w:color w:val="000000"/>
          <w:lang w:val="es-PE" w:eastAsia="es-PE"/>
        </w:rPr>
      </w:pPr>
      <w:r w:rsidRPr="00FB297F">
        <w:rPr>
          <w:rFonts w:ascii="Times New Roman" w:hAnsi="Times New Roman"/>
          <w:sz w:val="24"/>
        </w:rPr>
        <w:t xml:space="preserve">Que, el indicado recurso se sustenta resumidamente en lo siguiente: (1) </w:t>
      </w:r>
      <w:r w:rsidRPr="00FB297F">
        <w:rPr>
          <w:rFonts w:ascii="Times New Roman" w:hAnsi="Times New Roman"/>
          <w:color w:val="000000"/>
          <w:sz w:val="24"/>
          <w:lang w:val="es-PE" w:eastAsia="es-PE"/>
        </w:rPr>
        <w:t xml:space="preserve">el hecho que los asegurados presenten la denuncia policial fuera del plazo establecido en el Seguro, sí genera un perjuicio a la aseguradora, en la medida que, mientras más se demoren en interponer la misma, no se podría tener un detalle exacto de los hechos ocurridos, ya que estos podrían ser olvidados por los asegurados, así como impediría que la Dirección correspondiente de la Policía Nacional tenga la posibilidad de reunir las evidencias relacionadas al caso, pudiendo rastrear los movimientos y recuperar el dinero, disminuyendo de esta manera los daños; (2) concluir que la presentación de la denuncia policial solo tiene como finalidad dejar constancia de los hechos ocurridos es un razonamiento erróneo, ya que la denuncia policial es el único documento por el cual la aseguradora puede evidenciar los hechos ocurridos y, la presentación tardía de esta solo podrá obedecer a una fuerza mayor, debidamente acreditada, que impida al asegurado interponerla dentro del plazo establecido. </w:t>
      </w:r>
    </w:p>
    <w:p w:rsidRPr="00FB297F" w:rsidR="00053740" w:rsidP="00053740" w:rsidRDefault="00053740" w14:paraId="43D4F602" w14:textId="77777777">
      <w:pPr>
        <w:pStyle w:val="Textoindependiente"/>
        <w:spacing w:line="240" w:lineRule="auto"/>
      </w:pPr>
    </w:p>
    <w:p w:rsidRPr="00FB297F" w:rsidR="00053740" w:rsidP="00053740" w:rsidRDefault="00053740" w14:paraId="5BEE8A2F" w14:textId="0ACCB0C7">
      <w:pPr>
        <w:pStyle w:val="Textoindependiente"/>
        <w:spacing w:line="240" w:lineRule="auto"/>
      </w:pPr>
      <w:r w:rsidR="00053740">
        <w:rPr>
          <w:rFonts w:ascii="Times New Roman" w:hAnsi="Times New Roman"/>
          <w:sz w:val="24"/>
        </w:rPr>
        <w:t xml:space="preserve">Que, la reclamante absolvió el traslado del recurso interpuesto, manifestando en síntesis lo siguiente: (1) tratándose de consumos indebidos luego del extravío de una tarjeta, la denuncia es solo una comunicación para dejar constancia de los hechos debido a la casuística de la denuncia </w:t>
      </w:r>
      <w:r w:rsidRPr="44218755" w:rsidR="00053740">
        <w:rPr>
          <w:rFonts w:ascii="Times New Roman" w:hAnsi="Times New Roman"/>
          <w:i w:val="1"/>
          <w:iCs w:val="1"/>
          <w:sz w:val="24"/>
        </w:rPr>
        <w:t xml:space="preserve">(Denuncia perdida de documentos, especies y otros </w:t>
      </w:r>
      <w:r w:rsidRPr="44218755" w:rsidR="00053740">
        <w:rPr>
          <w:rFonts w:ascii="Times New Roman" w:hAnsi="Times New Roman"/>
          <w:i w:val="1"/>
          <w:iCs w:val="1"/>
          <w:sz w:val="24"/>
        </w:rPr>
        <w:t>Nro</w:t>
      </w:r>
      <w:r w:rsidRPr="44218755" w:rsidR="00053740">
        <w:rPr>
          <w:rFonts w:ascii="Times New Roman" w:hAnsi="Times New Roman"/>
          <w:i w:val="1"/>
          <w:iCs w:val="1"/>
          <w:sz w:val="24"/>
        </w:rPr>
        <w:t xml:space="preserve"> </w:t>
      </w:r>
      <w:r w:rsidRPr="44218755" w:rsidR="6162A97F">
        <w:rPr>
          <w:rFonts w:ascii="Times New Roman" w:hAnsi="Times New Roman"/>
          <w:i w:val="1"/>
          <w:iCs w:val="1"/>
          <w:sz w:val="24"/>
        </w:rPr>
        <w:t>...................</w:t>
      </w:r>
      <w:r w:rsidRPr="44218755" w:rsidR="00053740">
        <w:rPr>
          <w:rFonts w:ascii="Times New Roman" w:hAnsi="Times New Roman"/>
          <w:i w:val="1"/>
          <w:iCs w:val="1"/>
          <w:sz w:val="24"/>
        </w:rPr>
        <w:t>)</w:t>
      </w:r>
      <w:r w:rsidR="00053740">
        <w:rPr>
          <w:rFonts w:ascii="Times New Roman" w:hAnsi="Times New Roman"/>
          <w:sz w:val="24"/>
        </w:rPr>
        <w:t xml:space="preserve">; (2) la policía indica que la denuncia interpuesta únicamente será utilizado en caso de ser involucrada en actos ilícitos efectuados por terceros posteriores a la pérdida o extravío de los documentos personales; (3) la dirección correspondiente de la Policía Nacional no ha realizado ninguna investigación del caso; (3) tampoco es lógico confirmar que Policía Nacional podría rastrear los movimientos y recuperar el dinero ante este tipo de eventos , ya que las entidades deben otorgar el detalle pertinente para iniciar la investigación; (4) como titular de las tarjetas afectadas exigió sus derechos y solicitó al Banco Interbank detalle de dichos consumos, en respuesta a ello le indicaron que ese proceso dura en un plazo no mayor 80 días calendarios; (5) solicitó el detalle de movimientos el 08 de marzo de 2023 y le brindaron respuesta el 13 de marzo del año en mención, esto es, se demoraron 5 días en atender la solicitud e indicaron que las validaciones con VISA demorarán en un plazo no mayor a 80 días calendarios, lógicamente el tiempo se prolongará al elevar el caso a la Policía Nacional, y los detalles exactos del suceso se perderían por completo: (6) </w:t>
      </w:r>
      <w:r w:rsidRPr="44218755" w:rsidR="00053740">
        <w:rPr>
          <w:rFonts w:ascii="Times New Roman" w:hAnsi="Times New Roman"/>
          <w:color w:val="000000" w:themeColor="text1" w:themeTint="FF" w:themeShade="FF"/>
          <w:sz w:val="24"/>
          <w:lang w:val="es-PE" w:eastAsia="es-PE"/>
        </w:rPr>
        <w:t>respecto al correo electrónico con la notificación del consumo no reconocido en la tarjeta de crédito OH correspondiente a la suma de S/7,032.00, remitido a su correo electrónico a las 9:25pm;la aseguradora sostiene que dicho consumo fue conocido a la misma hora, lo cual es una suposición errónea, sin ningún sustento; (7) la aseguradora no presenta ningún sustento valido para justificar el perjuicio efectivo que habría soportado, puesto que la denuncia tardía no ha influido en la extensión de la obligación asumida.</w:t>
      </w:r>
    </w:p>
    <w:p w:rsidRPr="00FB297F" w:rsidR="00053740" w:rsidP="00053740" w:rsidRDefault="00053740" w14:paraId="693816A5" w14:textId="77777777">
      <w:pPr>
        <w:pStyle w:val="Textoindependiente"/>
        <w:tabs>
          <w:tab w:val="left" w:pos="930"/>
        </w:tabs>
        <w:spacing w:line="240" w:lineRule="auto"/>
      </w:pPr>
    </w:p>
    <w:p w:rsidRPr="00FB297F" w:rsidR="00053740" w:rsidP="00053740" w:rsidRDefault="00053740" w14:paraId="27C9B586" w14:textId="77777777">
      <w:pPr>
        <w:pStyle w:val="Textoindependiente"/>
        <w:tabs>
          <w:tab w:val="left" w:pos="930"/>
        </w:tabs>
        <w:spacing w:line="240" w:lineRule="auto"/>
      </w:pPr>
      <w:r w:rsidRPr="00FB297F">
        <w:rPr>
          <w:rFonts w:ascii="Times New Roman" w:hAnsi="Times New Roman"/>
          <w:sz w:val="24"/>
        </w:rPr>
        <w:t>Que, atendiendo a lo expuesto, esta Defensoría resuelve finalmente lo siguiente:</w:t>
      </w:r>
    </w:p>
    <w:p w:rsidRPr="00FB297F" w:rsidR="00053740" w:rsidP="00053740" w:rsidRDefault="00053740" w14:paraId="305CD26D" w14:textId="77777777">
      <w:pPr>
        <w:spacing w:line="240" w:lineRule="auto"/>
        <w:jc w:val="both"/>
        <w:rPr>
          <w:rFonts w:ascii="Times New Roman" w:hAnsi="Times New Roman" w:cs="Times New Roman"/>
          <w:b/>
          <w:sz w:val="24"/>
          <w:szCs w:val="24"/>
          <w:u w:val="single"/>
          <w:lang w:val="es-PE"/>
        </w:rPr>
      </w:pPr>
    </w:p>
    <w:p w:rsidRPr="00FB297F" w:rsidR="00053740" w:rsidP="00053740" w:rsidRDefault="00053740" w14:paraId="0923F8C1" w14:textId="1166D096">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FB297F" w:rsidR="00053740" w:rsidP="00053740" w:rsidRDefault="00053740" w14:paraId="6C3D245D"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FB297F" w:rsidR="00053740" w:rsidP="00053740" w:rsidRDefault="00053740" w14:paraId="6E8C5858"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SEGUNDO: Que el Recurso de Impugnación presentado por la aseguradora no se sustenta en nueva prueba sino en tratar de desvirtuar los fundamentos de la Resolución Impugnada, invocando que el hecho que los asegurados presenten la denuncia policial fuera del plazo establecido en el Seguro sí genera un perjuicio a la aseguradora.</w:t>
      </w:r>
    </w:p>
    <w:p w:rsidRPr="00FB297F" w:rsidR="00053740" w:rsidP="00053740" w:rsidRDefault="00053740" w14:paraId="6747A40C" w14:textId="77777777">
      <w:pPr>
        <w:spacing w:line="240" w:lineRule="auto"/>
        <w:jc w:val="both"/>
        <w:rPr>
          <w:rFonts w:ascii="Times New Roman" w:hAnsi="Times New Roman" w:cs="Times New Roman"/>
          <w:sz w:val="24"/>
          <w:szCs w:val="24"/>
          <w:lang w:val="es-PE"/>
        </w:rPr>
      </w:pPr>
      <w:r w:rsidRPr="00FB297F">
        <w:rPr>
          <w:rFonts w:ascii="Times New Roman" w:hAnsi="Times New Roman" w:cs="Times New Roman"/>
          <w:sz w:val="24"/>
          <w:szCs w:val="24"/>
          <w:lang w:val="es-PE"/>
        </w:rPr>
        <w:t>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rsidRPr="00FB297F" w:rsidR="00053740" w:rsidP="00053740" w:rsidRDefault="00053740" w14:paraId="77217CDF"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Como se indica en la Resolución Impugnada, si bien, podría sostenerse que la denuncia policial luego de transcurridas las 4 horas de producido el extravío, genera un perjuicio para la compañía aseguradora, añadiendo que mientras mayor sea el lapso de tiempo de la ocurrencia del evento de pérdida de la tarjeta y la denuncia, la evidencia para una investigación de la Policía Nacional va desapareciendo y ello dificulta a la aseguradora poder determinar la existencia de algún tipo de fraude; ello tiene sentido en otro tipo de siniestros donde es necesario realizar una 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 la propia titular de la tarjeta, lo que entendemos se habría hecho dentro del plazo, en tanto no ha sido invocado como causal de rechazo.</w:t>
      </w:r>
    </w:p>
    <w:p w:rsidRPr="00FB297F" w:rsidR="00053740" w:rsidP="00053740" w:rsidRDefault="00053740" w14:paraId="24AD2A86" w14:textId="77777777">
      <w:pPr>
        <w:spacing w:line="240" w:lineRule="auto"/>
        <w:jc w:val="both"/>
        <w:rPr>
          <w:rFonts w:ascii="Times New Roman" w:hAnsi="Times New Roman" w:cs="Times New Roman"/>
          <w:sz w:val="24"/>
          <w:szCs w:val="24"/>
          <w:lang w:val="es-PE"/>
        </w:rPr>
      </w:pPr>
      <w:r w:rsidRPr="00FB297F">
        <w:rPr>
          <w:rFonts w:ascii="Times New Roman" w:hAnsi="Times New Roman" w:cs="Times New Roman"/>
          <w:b/>
          <w:sz w:val="24"/>
          <w:szCs w:val="24"/>
          <w:u w:val="single"/>
          <w:lang w:val="es-PE"/>
        </w:rPr>
        <w:t>TERCERO</w:t>
      </w:r>
      <w:r w:rsidRPr="00FB297F">
        <w:rPr>
          <w:rFonts w:ascii="Times New Roman" w:hAnsi="Times New Roman" w:cs="Times New Roman"/>
          <w:b/>
          <w:sz w:val="24"/>
          <w:szCs w:val="24"/>
          <w:lang w:val="es-PE"/>
        </w:rPr>
        <w:t>:</w:t>
      </w:r>
      <w:r w:rsidRPr="00FB297F">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FB297F" w:rsidR="00053740" w:rsidP="00053740" w:rsidRDefault="00053740" w14:paraId="52B3D7E0" w14:textId="77777777">
      <w:pPr>
        <w:spacing w:line="240" w:lineRule="auto"/>
        <w:jc w:val="both"/>
        <w:rPr>
          <w:rFonts w:ascii="Times New Roman" w:hAnsi="Times New Roman" w:cs="Times New Roman"/>
          <w:b/>
          <w:sz w:val="24"/>
          <w:szCs w:val="24"/>
          <w:lang w:val="es-PE"/>
        </w:rPr>
      </w:pPr>
      <w:r w:rsidRPr="00FB297F">
        <w:rPr>
          <w:rFonts w:ascii="Times New Roman" w:hAnsi="Times New Roman" w:cs="Times New Roman"/>
          <w:b/>
          <w:sz w:val="24"/>
          <w:szCs w:val="24"/>
          <w:lang w:val="es-PE"/>
        </w:rPr>
        <w:t>RESUELVE:</w:t>
      </w:r>
    </w:p>
    <w:p w:rsidRPr="00FB297F" w:rsidR="00053740" w:rsidP="00053740" w:rsidRDefault="00053740" w14:paraId="7FDEF9D3"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y, por consiguiente, CONFIRMAR la Resolución Nro. 147/23.</w:t>
      </w:r>
    </w:p>
    <w:p w:rsidRPr="00FB297F" w:rsidR="00CF6484" w:rsidP="00FA31B9" w:rsidRDefault="00CF6484" w14:paraId="6BCF9165"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FB297F" w:rsidR="00231C58" w:rsidP="005A40A4" w:rsidRDefault="0091528B" w14:paraId="2B9BAAC8" w14:textId="248B8FF6">
      <w:pPr>
        <w:suppressAutoHyphens/>
        <w:spacing w:after="0" w:line="240" w:lineRule="auto"/>
        <w:jc w:val="right"/>
        <w:outlineLvl w:val="0"/>
        <w:rPr>
          <w:rFonts w:ascii="Times New Roman" w:hAnsi="Times New Roman" w:eastAsia="Arial Unicode MS" w:cs="Times New Roman"/>
          <w:sz w:val="24"/>
          <w:szCs w:val="24"/>
          <w:lang w:val="es-PE" w:eastAsia="ar-SA"/>
        </w:rPr>
      </w:pPr>
      <w:r w:rsidRPr="00FB297F">
        <w:rPr>
          <w:rFonts w:ascii="Times New Roman" w:hAnsi="Times New Roman" w:eastAsia="Arial Unicode MS" w:cs="Times New Roman"/>
          <w:sz w:val="24"/>
          <w:szCs w:val="24"/>
          <w:lang w:val="es-PE" w:eastAsia="ar-SA"/>
        </w:rPr>
        <w:t xml:space="preserve">Lima, </w:t>
      </w:r>
      <w:r w:rsidRPr="00FB297F" w:rsidR="0046647B">
        <w:rPr>
          <w:rFonts w:ascii="Times New Roman" w:hAnsi="Times New Roman" w:eastAsia="Arial Unicode MS" w:cs="Times New Roman"/>
          <w:sz w:val="24"/>
          <w:szCs w:val="24"/>
          <w:lang w:val="es-PE" w:eastAsia="ar-SA"/>
        </w:rPr>
        <w:t>31</w:t>
      </w:r>
      <w:r w:rsidRPr="00FB297F" w:rsidR="00701639">
        <w:rPr>
          <w:rFonts w:ascii="Times New Roman" w:hAnsi="Times New Roman" w:eastAsia="Arial Unicode MS" w:cs="Times New Roman"/>
          <w:sz w:val="24"/>
          <w:szCs w:val="24"/>
          <w:lang w:val="es-PE" w:eastAsia="ar-SA"/>
        </w:rPr>
        <w:t xml:space="preserve"> </w:t>
      </w:r>
      <w:r w:rsidRPr="00FB297F" w:rsidR="00707C99">
        <w:rPr>
          <w:rFonts w:ascii="Times New Roman" w:hAnsi="Times New Roman" w:eastAsia="Arial Unicode MS" w:cs="Times New Roman"/>
          <w:sz w:val="24"/>
          <w:szCs w:val="24"/>
          <w:lang w:val="es-PE" w:eastAsia="ar-SA"/>
        </w:rPr>
        <w:t xml:space="preserve">de </w:t>
      </w:r>
      <w:r w:rsidRPr="00FB297F" w:rsidR="0042236E">
        <w:rPr>
          <w:rFonts w:ascii="Times New Roman" w:hAnsi="Times New Roman" w:eastAsia="Arial Unicode MS" w:cs="Times New Roman"/>
          <w:sz w:val="24"/>
          <w:szCs w:val="24"/>
          <w:lang w:val="es-PE" w:eastAsia="ar-SA"/>
        </w:rPr>
        <w:t>agosto</w:t>
      </w:r>
      <w:r w:rsidRPr="00FB297F" w:rsidR="002F478E">
        <w:rPr>
          <w:rFonts w:ascii="Times New Roman" w:hAnsi="Times New Roman" w:eastAsia="Arial Unicode MS" w:cs="Times New Roman"/>
          <w:sz w:val="24"/>
          <w:szCs w:val="24"/>
          <w:lang w:val="es-PE" w:eastAsia="ar-SA"/>
        </w:rPr>
        <w:t xml:space="preserve"> </w:t>
      </w:r>
      <w:r w:rsidRPr="00FB297F" w:rsidR="00F06498">
        <w:rPr>
          <w:rFonts w:ascii="Times New Roman" w:hAnsi="Times New Roman" w:eastAsia="Arial Unicode MS" w:cs="Times New Roman"/>
          <w:sz w:val="24"/>
          <w:szCs w:val="24"/>
          <w:lang w:val="es-PE" w:eastAsia="ar-SA"/>
        </w:rPr>
        <w:t>de 202</w:t>
      </w:r>
      <w:r w:rsidRPr="00FB297F" w:rsidR="00B340D4">
        <w:rPr>
          <w:rFonts w:ascii="Times New Roman" w:hAnsi="Times New Roman" w:eastAsia="Arial Unicode MS" w:cs="Times New Roman"/>
          <w:sz w:val="24"/>
          <w:szCs w:val="24"/>
          <w:lang w:val="es-PE" w:eastAsia="ar-SA"/>
        </w:rPr>
        <w:t>3</w:t>
      </w:r>
      <w:r w:rsidRPr="00FB297F" w:rsidR="00707C99">
        <w:rPr>
          <w:rFonts w:ascii="Times New Roman" w:hAnsi="Times New Roman" w:eastAsia="Times New Roman" w:cs="Times New Roman"/>
          <w:sz w:val="24"/>
          <w:szCs w:val="24"/>
          <w:lang w:val="es-PE" w:eastAsia="ar-SA"/>
        </w:rPr>
        <w:t xml:space="preserve"> </w:t>
      </w:r>
    </w:p>
    <w:p w:rsidRPr="00FB297F"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B297F"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FB297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B297F"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FB297F" w:rsidR="00206718" w:rsidP="00206718" w:rsidRDefault="00206718" w14:paraId="71C4B234" w14:textId="77777777">
      <w:pPr>
        <w:spacing w:after="0" w:line="360" w:lineRule="auto"/>
        <w:jc w:val="center"/>
        <w:rPr>
          <w:rFonts w:ascii="Times New Roman" w:hAnsi="Times New Roman" w:cs="Times New Roman"/>
          <w:b/>
          <w:bCs/>
          <w:sz w:val="24"/>
          <w:szCs w:val="24"/>
          <w:lang w:val="es-PE"/>
        </w:rPr>
      </w:pPr>
      <w:r w:rsidRPr="00FB297F">
        <w:rPr>
          <w:rFonts w:ascii="Times New Roman" w:hAnsi="Times New Roman" w:cs="Times New Roman"/>
          <w:b/>
          <w:bCs/>
          <w:sz w:val="24"/>
          <w:szCs w:val="24"/>
          <w:lang w:val="es-PE"/>
        </w:rPr>
        <w:t xml:space="preserve">Omar Alfaro Villanueva – </w:t>
      </w:r>
      <w:proofErr w:type="gramStart"/>
      <w:r w:rsidRPr="00FB297F">
        <w:rPr>
          <w:rFonts w:ascii="Times New Roman" w:hAnsi="Times New Roman" w:cs="Times New Roman"/>
          <w:b/>
          <w:bCs/>
          <w:sz w:val="24"/>
          <w:szCs w:val="24"/>
          <w:lang w:val="es-PE"/>
        </w:rPr>
        <w:t>Presidente</w:t>
      </w:r>
      <w:proofErr w:type="gramEnd"/>
    </w:p>
    <w:p w:rsidRPr="00FB297F"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FB297F">
        <w:rPr>
          <w:rFonts w:ascii="Times New Roman" w:hAnsi="Times New Roman" w:cs="Times New Roman"/>
          <w:b/>
          <w:bCs/>
          <w:sz w:val="24"/>
          <w:szCs w:val="24"/>
          <w:lang w:val="es-PE"/>
        </w:rPr>
        <w:t>María Eugenia Valdez Fernández Baca – Vocal</w:t>
      </w:r>
    </w:p>
    <w:p w:rsidRPr="00FB297F" w:rsidR="00206718" w:rsidP="00206718" w:rsidRDefault="00206718" w14:paraId="60FE8703" w14:textId="77777777">
      <w:pPr>
        <w:spacing w:after="0" w:line="360" w:lineRule="auto"/>
        <w:jc w:val="center"/>
        <w:rPr>
          <w:rFonts w:ascii="Times New Roman" w:hAnsi="Times New Roman" w:cs="Times New Roman"/>
          <w:b/>
          <w:bCs/>
          <w:sz w:val="24"/>
          <w:szCs w:val="24"/>
          <w:lang w:val="es-PE"/>
        </w:rPr>
      </w:pPr>
      <w:r w:rsidRPr="00FB297F">
        <w:rPr>
          <w:rFonts w:ascii="Times New Roman" w:hAnsi="Times New Roman" w:cs="Times New Roman"/>
          <w:b/>
          <w:bCs/>
          <w:sz w:val="24"/>
          <w:szCs w:val="24"/>
          <w:lang w:val="es-PE"/>
        </w:rPr>
        <w:t xml:space="preserve">Rolando Eyzaguirre </w:t>
      </w:r>
      <w:proofErr w:type="spellStart"/>
      <w:r w:rsidRPr="00FB297F">
        <w:rPr>
          <w:rFonts w:ascii="Times New Roman" w:hAnsi="Times New Roman" w:cs="Times New Roman"/>
          <w:b/>
          <w:bCs/>
          <w:sz w:val="24"/>
          <w:szCs w:val="24"/>
          <w:lang w:val="es-PE"/>
        </w:rPr>
        <w:t>Maccan</w:t>
      </w:r>
      <w:proofErr w:type="spellEnd"/>
      <w:r w:rsidRPr="00FB297F">
        <w:rPr>
          <w:rFonts w:ascii="Times New Roman" w:hAnsi="Times New Roman" w:cs="Times New Roman"/>
          <w:b/>
          <w:bCs/>
          <w:sz w:val="24"/>
          <w:szCs w:val="24"/>
          <w:lang w:val="es-PE"/>
        </w:rPr>
        <w:t xml:space="preserve"> – Vocal</w:t>
      </w:r>
    </w:p>
    <w:p w:rsidRPr="00FB297F" w:rsidR="00206718" w:rsidP="00206718" w:rsidRDefault="00206718" w14:paraId="1F8E6EA2" w14:textId="77777777">
      <w:pPr>
        <w:spacing w:after="0" w:line="360" w:lineRule="auto"/>
        <w:jc w:val="center"/>
        <w:rPr>
          <w:rFonts w:ascii="Times New Roman" w:hAnsi="Times New Roman" w:cs="Times New Roman"/>
          <w:sz w:val="24"/>
          <w:szCs w:val="24"/>
          <w:lang w:val="es-PE"/>
        </w:rPr>
      </w:pPr>
      <w:r w:rsidRPr="00FB297F">
        <w:rPr>
          <w:rFonts w:ascii="Times New Roman" w:hAnsi="Times New Roman" w:cs="Times New Roman"/>
          <w:b/>
          <w:bCs/>
          <w:sz w:val="24"/>
          <w:szCs w:val="24"/>
          <w:lang w:val="es-PE"/>
        </w:rPr>
        <w:t>Gonzalo Abad del Busto – Vocal</w:t>
      </w:r>
    </w:p>
    <w:p w:rsidRPr="00FB297F"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4273" w:rsidP="00784355" w:rsidRDefault="00A94273" w14:paraId="796FB659" w14:textId="77777777">
      <w:pPr>
        <w:spacing w:after="0" w:line="240" w:lineRule="auto"/>
      </w:pPr>
      <w:r>
        <w:separator/>
      </w:r>
    </w:p>
  </w:endnote>
  <w:endnote w:type="continuationSeparator" w:id="0">
    <w:p w:rsidR="00A94273" w:rsidP="00784355" w:rsidRDefault="00A94273" w14:paraId="77F224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4273" w:rsidP="00784355" w:rsidRDefault="00A94273" w14:paraId="73F0DA8C" w14:textId="77777777">
      <w:pPr>
        <w:spacing w:after="0" w:line="240" w:lineRule="auto"/>
      </w:pPr>
      <w:r>
        <w:separator/>
      </w:r>
    </w:p>
  </w:footnote>
  <w:footnote w:type="continuationSeparator" w:id="0">
    <w:p w:rsidR="00A94273" w:rsidP="00784355" w:rsidRDefault="00A94273" w14:paraId="7F777E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0"/>
  </w:num>
  <w:num w:numId="3" w16cid:durableId="333261791">
    <w:abstractNumId w:val="8"/>
  </w:num>
  <w:num w:numId="4" w16cid:durableId="1770345525">
    <w:abstractNumId w:val="7"/>
  </w:num>
  <w:num w:numId="5" w16cid:durableId="1816144979">
    <w:abstractNumId w:val="9"/>
  </w:num>
  <w:num w:numId="6" w16cid:durableId="1304313350">
    <w:abstractNumId w:val="0"/>
  </w:num>
  <w:num w:numId="7" w16cid:durableId="16682880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17DA"/>
    <w:rsid w:val="000F6340"/>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26ED"/>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BD35889"/>
    <w:rsid w:val="0D223184"/>
    <w:rsid w:val="336D08BF"/>
    <w:rsid w:val="3ECD8BB6"/>
    <w:rsid w:val="44218755"/>
    <w:rsid w:val="52D41F23"/>
    <w:rsid w:val="6162A97F"/>
    <w:rsid w:val="6F68B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71D119E-149F-4BB0-8167-2856987E9288}"/>
</file>

<file path=customXml/itemProps3.xml><?xml version="1.0" encoding="utf-8"?>
<ds:datastoreItem xmlns:ds="http://schemas.openxmlformats.org/officeDocument/2006/customXml" ds:itemID="{BE84213A-F6C2-4D15-B860-65BF09C2CF24}"/>
</file>

<file path=customXml/itemProps4.xml><?xml version="1.0" encoding="utf-8"?>
<ds:datastoreItem xmlns:ds="http://schemas.openxmlformats.org/officeDocument/2006/customXml" ds:itemID="{CFE7857B-AC05-4129-BCEA-6AF02F60A8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112</cp:revision>
  <cp:lastPrinted>2023-08-31T14:04:00Z</cp:lastPrinted>
  <dcterms:created xsi:type="dcterms:W3CDTF">2023-02-14T22:37:00Z</dcterms:created>
  <dcterms:modified xsi:type="dcterms:W3CDTF">2025-12-03T19:55:54Z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