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60239" w:rsidR="00707C99" w:rsidP="00272F4F" w:rsidRDefault="00201C0D" w14:paraId="19FE0E96" w14:textId="7052D632">
      <w:pPr>
        <w:spacing w:after="0" w:line="240" w:lineRule="auto"/>
        <w:jc w:val="center"/>
        <w:rPr>
          <w:rFonts w:ascii="Times New Roman" w:hAnsi="Times New Roman" w:cs="Times New Roman"/>
          <w:b/>
          <w:sz w:val="24"/>
          <w:szCs w:val="24"/>
          <w:lang w:val="es-PE" w:eastAsia="ar-SA"/>
        </w:rPr>
      </w:pPr>
      <w:r w:rsidRPr="00360239">
        <w:rPr>
          <w:rFonts w:ascii="Times New Roman" w:hAnsi="Times New Roman" w:cs="Times New Roman"/>
          <w:b/>
          <w:sz w:val="24"/>
          <w:szCs w:val="24"/>
          <w:lang w:val="es-PE" w:eastAsia="ar-SA"/>
        </w:rPr>
        <w:t xml:space="preserve">RESOLUCIÓN DE RECURSO IMPUGNATIVO </w:t>
      </w:r>
      <w:proofErr w:type="spellStart"/>
      <w:r w:rsidRPr="00360239" w:rsidR="00707C99">
        <w:rPr>
          <w:rFonts w:ascii="Times New Roman" w:hAnsi="Times New Roman" w:cs="Times New Roman"/>
          <w:b/>
          <w:sz w:val="24"/>
          <w:szCs w:val="24"/>
          <w:lang w:val="es-PE" w:eastAsia="ar-SA"/>
        </w:rPr>
        <w:t>N°</w:t>
      </w:r>
      <w:proofErr w:type="spellEnd"/>
      <w:r w:rsidRPr="00360239" w:rsidR="00707C99">
        <w:rPr>
          <w:rFonts w:ascii="Times New Roman" w:hAnsi="Times New Roman" w:cs="Times New Roman"/>
          <w:b/>
          <w:sz w:val="24"/>
          <w:szCs w:val="24"/>
          <w:lang w:val="es-PE" w:eastAsia="ar-SA"/>
        </w:rPr>
        <w:t xml:space="preserve"> </w:t>
      </w:r>
      <w:r w:rsidRPr="00360239" w:rsidR="00516293">
        <w:rPr>
          <w:rFonts w:ascii="Times New Roman" w:hAnsi="Times New Roman" w:cs="Times New Roman"/>
          <w:b/>
          <w:sz w:val="24"/>
          <w:szCs w:val="24"/>
          <w:lang w:val="es-PE" w:eastAsia="ar-SA"/>
        </w:rPr>
        <w:t>0</w:t>
      </w:r>
      <w:r w:rsidRPr="00360239" w:rsidR="009A40B3">
        <w:rPr>
          <w:rFonts w:ascii="Times New Roman" w:hAnsi="Times New Roman" w:cs="Times New Roman"/>
          <w:b/>
          <w:sz w:val="24"/>
          <w:szCs w:val="24"/>
          <w:lang w:val="es-PE" w:eastAsia="ar-SA"/>
        </w:rPr>
        <w:t>3</w:t>
      </w:r>
      <w:r w:rsidRPr="00360239" w:rsidR="00321EC9">
        <w:rPr>
          <w:rFonts w:ascii="Times New Roman" w:hAnsi="Times New Roman" w:cs="Times New Roman"/>
          <w:b/>
          <w:sz w:val="24"/>
          <w:szCs w:val="24"/>
          <w:lang w:val="es-PE" w:eastAsia="ar-SA"/>
        </w:rPr>
        <w:t>7</w:t>
      </w:r>
      <w:r w:rsidRPr="00360239" w:rsidR="00C671F5">
        <w:rPr>
          <w:rFonts w:ascii="Times New Roman" w:hAnsi="Times New Roman" w:cs="Times New Roman"/>
          <w:b/>
          <w:sz w:val="24"/>
          <w:szCs w:val="24"/>
          <w:lang w:val="es-PE" w:eastAsia="ar-SA"/>
        </w:rPr>
        <w:t>/2</w:t>
      </w:r>
      <w:r w:rsidRPr="00360239" w:rsidR="00AB7BFE">
        <w:rPr>
          <w:rFonts w:ascii="Times New Roman" w:hAnsi="Times New Roman" w:cs="Times New Roman"/>
          <w:b/>
          <w:sz w:val="24"/>
          <w:szCs w:val="24"/>
          <w:lang w:val="es-PE" w:eastAsia="ar-SA"/>
        </w:rPr>
        <w:t>3</w:t>
      </w:r>
    </w:p>
    <w:p w:rsidRPr="00360239"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Pr="00360239" w:rsidR="00360239" w:rsidP="00360239" w:rsidRDefault="00360239" w14:paraId="0A732D80" w14:textId="77777777">
      <w:pPr>
        <w:spacing w:line="240" w:lineRule="auto"/>
        <w:jc w:val="both"/>
        <w:outlineLvl w:val="0"/>
        <w:rPr>
          <w:rFonts w:ascii="Times New Roman" w:hAnsi="Times New Roman" w:cs="Times New Roman"/>
          <w:b/>
          <w:bCs/>
          <w:sz w:val="24"/>
          <w:szCs w:val="24"/>
          <w:lang w:val="es-MX"/>
        </w:rPr>
      </w:pPr>
      <w:r w:rsidRPr="00360239">
        <w:rPr>
          <w:rFonts w:ascii="Times New Roman" w:hAnsi="Times New Roman" w:cs="Times New Roman"/>
          <w:b/>
          <w:bCs/>
          <w:sz w:val="24"/>
          <w:szCs w:val="24"/>
          <w:lang w:val="es-MX"/>
        </w:rPr>
        <w:t>VISTOS:</w:t>
      </w:r>
    </w:p>
    <w:p w:rsidRPr="00360239" w:rsidR="00360239" w:rsidP="00360239" w:rsidRDefault="00360239" w14:paraId="03AA29D7" w14:textId="2C1D80A4">
      <w:pPr>
        <w:pStyle w:val="Default"/>
        <w:spacing w:line="240" w:lineRule="auto"/>
        <w:jc w:val="both"/>
        <w:rPr>
          <w:rFonts w:ascii="Times New Roman" w:hAnsi="Times New Roman" w:cs="Times New Roman"/>
        </w:rPr>
      </w:pPr>
      <w:r>
        <w:rPr>
          <w:rFonts w:ascii="Times New Roman" w:hAnsi="Times New Roman"/>
          <w:sz w:val="24"/>
        </w:rPr>
        <w:t xml:space="preserve">El Recurso de Impugnación presentado por .................................. respecto de la Resolución Nro. 136/23, expedida por el Órgano Resolutorio Unipersonal de esta Defensoría del Asegurado (DEFASEG), conforme a la cual se declaró FUNDADA la reclamación interpuesta por .................................. respecto al ………………… ................... DÓLARES – PÓLIZA No ..........................</w:t>
      </w:r>
    </w:p>
    <w:p w:rsidRPr="00360239" w:rsidR="00360239" w:rsidP="00360239" w:rsidRDefault="00360239" w14:paraId="3213DEAB" w14:textId="77777777">
      <w:pPr>
        <w:pStyle w:val="Default"/>
        <w:spacing w:line="240" w:lineRule="auto"/>
        <w:jc w:val="both"/>
        <w:rPr>
          <w:rFonts w:ascii="Times New Roman" w:hAnsi="Times New Roman" w:cs="Times New Roman"/>
        </w:rPr>
      </w:pPr>
    </w:p>
    <w:p w:rsidRPr="00360239" w:rsidR="00360239" w:rsidP="00360239" w:rsidRDefault="00360239" w14:paraId="3F521D7D" w14:textId="7420E80A">
      <w:pPr>
        <w:pStyle w:val="Textoindependiente"/>
        <w:spacing w:line="240" w:lineRule="auto"/>
        <w:rPr>
          <w:color w:val="000000"/>
          <w:lang w:val="es-PE" w:eastAsia="es-PE"/>
        </w:rPr>
      </w:pPr>
      <w:r w:rsidR="00360239">
        <w:rPr>
          <w:rFonts w:ascii="Times New Roman" w:hAnsi="Times New Roman"/>
          <w:sz w:val="24"/>
        </w:rPr>
        <w:t xml:space="preserve">Que, el indicado recurso se sustenta resumidamente en lo siguiente: (1) </w:t>
      </w:r>
      <w:r w:rsidRPr="19B8A4E7" w:rsidR="00360239">
        <w:rPr>
          <w:rFonts w:ascii="Times New Roman" w:hAnsi="Times New Roman"/>
          <w:color w:val="000000" w:themeColor="text1" w:themeTint="FF" w:themeShade="FF"/>
          <w:sz w:val="24"/>
          <w:lang w:val="es-PE" w:eastAsia="es-PE"/>
        </w:rPr>
        <w:t xml:space="preserve">no se ha efectuado un análisis completo de los documentos que obran autos y argumentos desarrollados en el escrito de descargos sobre la materia; (2) en la aplicación del artículo 59 de la Ley del Contrato de Seguro, no se estaría considerando el artículo 1 de la Ley N°29946, ya que cuando se celebra el contrato de seguro, el asegurado lo hace con el conocimiento pleno de las cargas que este asume al celebrar del contrato. Por ello, este artículo señala que se indemnizará el daño producido al asegurado </w:t>
      </w:r>
      <w:r w:rsidRPr="19B8A4E7" w:rsidR="00360239">
        <w:rPr>
          <w:rFonts w:ascii="Times New Roman" w:hAnsi="Times New Roman"/>
          <w:color w:val="000000" w:themeColor="text1" w:themeTint="FF" w:themeShade="FF"/>
          <w:sz w:val="24"/>
          <w:lang w:val="es-PE" w:eastAsia="es-PE"/>
        </w:rPr>
        <w:t xml:space="preserve">dentro de los limites pactados en el contrato; (3) es carga del reclamante acreditar que el incumplimiento de hacer la denuncia después de las 48 </w:t>
      </w:r>
      <w:r w:rsidRPr="19B8A4E7" w:rsidR="00360239">
        <w:rPr>
          <w:rFonts w:ascii="Times New Roman" w:hAnsi="Times New Roman"/>
          <w:color w:val="000000" w:themeColor="text1" w:themeTint="FF" w:themeShade="FF"/>
          <w:sz w:val="24"/>
          <w:lang w:val="es-PE" w:eastAsia="es-PE"/>
        </w:rPr>
        <w:t>horas,</w:t>
      </w:r>
      <w:r w:rsidRPr="19B8A4E7" w:rsidR="00360239">
        <w:rPr>
          <w:rFonts w:ascii="Times New Roman" w:hAnsi="Times New Roman"/>
          <w:color w:val="000000" w:themeColor="text1" w:themeTint="FF" w:themeShade="FF"/>
          <w:sz w:val="24"/>
          <w:lang w:val="es-PE" w:eastAsia="es-PE"/>
        </w:rPr>
        <w:t xml:space="preserve"> fue imposible de realizar por caso fortuito o fuerza mayor debidamente acreditada. Ello, no ha sucedido en este caso; (4) el se</w:t>
      </w:r>
      <w:r w:rsidRPr="19B8A4E7" w:rsidR="00360239">
        <w:rPr>
          <w:rFonts w:ascii="Times New Roman" w:hAnsi="Times New Roman"/>
          <w:color w:val="000000" w:themeColor="text1" w:themeTint="FF" w:themeShade="FF"/>
          <w:sz w:val="24"/>
          <w:lang w:val="es-PE" w:eastAsia="es-PE"/>
        </w:rPr>
        <w:t xml:space="preserve">ñor </w:t>
      </w:r>
      <w:r w:rsidRPr="19B8A4E7" w:rsidR="04D95BAB">
        <w:rPr>
          <w:rFonts w:ascii="Times New Roman" w:hAnsi="Times New Roman"/>
          <w:color w:val="000000" w:themeColor="text1" w:themeTint="FF" w:themeShade="FF"/>
          <w:sz w:val="24"/>
          <w:lang w:val="es-PE" w:eastAsia="es-PE"/>
        </w:rPr>
        <w:t>...................</w:t>
      </w:r>
      <w:r w:rsidRPr="19B8A4E7" w:rsidR="00360239">
        <w:rPr>
          <w:rFonts w:ascii="Times New Roman" w:hAnsi="Times New Roman"/>
          <w:color w:val="000000" w:themeColor="text1" w:themeTint="FF" w:themeShade="FF"/>
          <w:sz w:val="24"/>
          <w:lang w:val="es-PE" w:eastAsia="es-PE"/>
        </w:rPr>
        <w:t xml:space="preserve"> no ha acreditado que no tuvo la posibilidad de hacer la denuncia dentro del rango pactado en el contrato. Es más, el único sustento que el señor envió a la DEFASEG fue una constancia médica del día 8 de junio del año en curso, en el cual señala que sufre de trastorno de ansiedad; (5) </w:t>
      </w:r>
      <w:r w:rsidRPr="19B8A4E7" w:rsidR="00360239">
        <w:rPr>
          <w:rFonts w:ascii="Times New Roman" w:hAnsi="Times New Roman"/>
          <w:color w:val="000000" w:themeColor="text1" w:themeTint="FF" w:themeShade="FF"/>
          <w:sz w:val="24"/>
          <w:lang w:val="es-PE" w:eastAsia="es-PE"/>
        </w:rPr>
        <w:t>el reclamante adjunta una constancia emitida luego de más seis meses ocurrido el siniestro. Por tanto, el asegurado no ha cumplido con la carg</w:t>
      </w:r>
      <w:r w:rsidRPr="19B8A4E7" w:rsidR="00360239">
        <w:rPr>
          <w:rFonts w:ascii="Times New Roman" w:hAnsi="Times New Roman"/>
          <w:color w:val="000000" w:themeColor="text1" w:themeTint="FF" w:themeShade="FF"/>
          <w:sz w:val="24"/>
          <w:lang w:val="es-PE" w:eastAsia="es-PE"/>
        </w:rPr>
        <w:t xml:space="preserve">a de acreditar que tuvo un caso fortuito o de fuerza mayor que lo impidiera de realizar dicha carga al momento del siniestro (14 de diciembre de 2022); (6) en su reclamo ante la DEFASEG, el reclamante expresa que no pudo realizar dicha denuncia (realizada luego de las 48 horas permitidas) porque </w:t>
      </w:r>
      <w:r w:rsidRPr="19B8A4E7" w:rsidR="00360239">
        <w:rPr>
          <w:rFonts w:ascii="Times New Roman" w:hAnsi="Times New Roman"/>
          <w:color w:val="000000" w:themeColor="text1" w:themeTint="FF" w:themeShade="FF"/>
          <w:sz w:val="24"/>
          <w:lang w:val="es-PE" w:eastAsia="es-PE"/>
        </w:rPr>
        <w:t xml:space="preserve">se encontraba lejos de su localidad, además de incomunicado. </w:t>
      </w:r>
      <w:r w:rsidRPr="19B8A4E7" w:rsidR="00360239">
        <w:rPr>
          <w:rFonts w:ascii="Times New Roman" w:hAnsi="Times New Roman"/>
          <w:color w:val="000000" w:themeColor="text1" w:themeTint="FF" w:themeShade="FF"/>
          <w:sz w:val="24"/>
          <w:lang w:val="es-PE" w:eastAsia="es-PE"/>
        </w:rPr>
        <w:t xml:space="preserve">Sin embargo, </w:t>
      </w:r>
      <w:r w:rsidRPr="19B8A4E7" w:rsidR="00360239">
        <w:rPr>
          <w:rFonts w:ascii="Times New Roman" w:hAnsi="Times New Roman"/>
          <w:i w:val="1"/>
          <w:iCs w:val="1"/>
          <w:color w:val="000000" w:themeColor="text1" w:themeTint="FF" w:themeShade="FF"/>
          <w:sz w:val="24"/>
          <w:lang w:val="es-PE" w:eastAsia="es-PE"/>
        </w:rPr>
        <w:t xml:space="preserve">debió acreditar ello en el momento en el cual realizó el reclamo ante </w:t>
      </w:r>
      <w:r w:rsidRPr="19B8A4E7" w:rsidR="2DAE23BF">
        <w:rPr>
          <w:rFonts w:ascii="Times New Roman" w:hAnsi="Times New Roman"/>
          <w:i w:val="1"/>
          <w:iCs w:val="1"/>
          <w:color w:val="000000" w:themeColor="text1" w:themeTint="FF" w:themeShade="FF"/>
          <w:sz w:val="24"/>
          <w:lang w:val="es-PE" w:eastAsia="es-PE"/>
        </w:rPr>
        <w:t>...................</w:t>
      </w:r>
      <w:r w:rsidRPr="19B8A4E7" w:rsidR="00360239">
        <w:rPr>
          <w:rFonts w:ascii="Times New Roman" w:hAnsi="Times New Roman"/>
          <w:color w:val="000000" w:themeColor="text1" w:themeTint="FF" w:themeShade="FF"/>
          <w:sz w:val="24"/>
          <w:lang w:val="es-PE" w:eastAsia="es-PE"/>
        </w:rPr>
        <w:t>.</w:t>
      </w:r>
      <w:r w:rsidRPr="19B8A4E7" w:rsidR="00360239">
        <w:rPr>
          <w:rFonts w:ascii="Times New Roman" w:hAnsi="Times New Roman"/>
          <w:color w:val="000000" w:themeColor="text1" w:themeTint="FF" w:themeShade="FF"/>
          <w:sz w:val="24"/>
          <w:lang w:val="es-PE" w:eastAsia="es-PE"/>
        </w:rPr>
        <w:t xml:space="preserve"> </w:t>
      </w:r>
    </w:p>
    <w:p w:rsidRPr="00360239" w:rsidR="00360239" w:rsidP="00360239" w:rsidRDefault="00360239" w14:paraId="4C42164E" w14:textId="77777777">
      <w:pPr>
        <w:pStyle w:val="Textoindependiente"/>
        <w:spacing w:line="240" w:lineRule="auto"/>
        <w:rPr>
          <w:lang w:val="es-PE"/>
        </w:rPr>
      </w:pPr>
    </w:p>
    <w:p w:rsidRPr="00360239" w:rsidR="00360239" w:rsidP="00360239" w:rsidRDefault="00360239" w14:paraId="1E5E9CA2" w14:textId="44425854">
      <w:pPr>
        <w:pStyle w:val="Textoindependiente"/>
        <w:spacing w:line="240" w:lineRule="auto"/>
      </w:pPr>
      <w:r>
        <w:rPr>
          <w:rFonts w:ascii="Times New Roman" w:hAnsi="Times New Roman"/>
          <w:sz w:val="24"/>
        </w:rPr>
        <w:t xml:space="preserve">Que, el reclamante absolvió el traslado del recurso interpuesto, manifestando en síntesis lo siguiente: (1) existe una gran asimetría informativa entre la empresa ………………… ...................; queda explicito que el contrato lo maneje con el banco ................... y no le informaron en el momento adecuado que existe una fecha límite para presentar la denuncia; (2) la aseguradora no ha presentado la documentación correspondiente que demuestre como la denuncia policial en un plazo mayor a 48hrs ha influido en el alcance de las obligaciones derivadas del contrato de seguro; (3) la aseguradora no adjunto la fecha y hora del bloqueo de la tarjeta, movimientos y bloqueo del celular, dichos documentos fueron enviados al banco ................... y también remitidos a la aseguradora; (4) se encontraba lejos de su localidad y estaba totalmente incomunicado; (5) se ha presentado una constancia de tratamiento en el cual registra la farmacología que está ingiriendo, el nombre del especialista y su registro de colegiatura; (6) se evidencia la fecha en que le diagnosticaron el trastorno del cual tiene tratamiento desde hace dos años, además se observa el nombre del especialista y el C.M.P. y se R.N.E; (7) en la denuncia policial se constata que fueron compras fraudulentas, por uso indebido vía internet. En ella se detalla lo sucedido y se envía al banco ................... junto con la documentación con fecha y hora de bloqueo de tarjeta y movimientos; (8) sí se realizaron movimiento y compras sin mi autorización vía internet.</w:t>
      </w:r>
    </w:p>
    <w:p w:rsidRPr="00360239" w:rsidR="00360239" w:rsidP="00360239" w:rsidRDefault="00360239" w14:paraId="2EABB4B7" w14:textId="77777777">
      <w:pPr>
        <w:pStyle w:val="Textoindependiente"/>
        <w:spacing w:line="240" w:lineRule="auto"/>
      </w:pPr>
    </w:p>
    <w:p w:rsidRPr="00360239" w:rsidR="00360239" w:rsidP="00360239" w:rsidRDefault="00360239" w14:paraId="0C409D5C" w14:textId="77777777">
      <w:pPr>
        <w:pStyle w:val="Textoindependiente"/>
        <w:tabs>
          <w:tab w:val="left" w:pos="930"/>
        </w:tabs>
        <w:spacing w:line="240" w:lineRule="auto"/>
      </w:pPr>
      <w:r w:rsidRPr="00360239">
        <w:rPr>
          <w:rFonts w:ascii="Times New Roman" w:hAnsi="Times New Roman"/>
          <w:sz w:val="24"/>
        </w:rPr>
        <w:t>Que, atendiendo a lo expuesto, esta Defensoría resuelve finalmente lo siguiente:</w:t>
      </w:r>
    </w:p>
    <w:p w:rsidRPr="00360239" w:rsidR="00360239" w:rsidP="00360239" w:rsidRDefault="00360239" w14:paraId="25E193D6" w14:textId="77777777">
      <w:pPr>
        <w:spacing w:line="240" w:lineRule="auto"/>
        <w:jc w:val="both"/>
        <w:rPr>
          <w:rFonts w:ascii="Times New Roman" w:hAnsi="Times New Roman" w:cs="Times New Roman"/>
          <w:b/>
          <w:sz w:val="24"/>
          <w:szCs w:val="24"/>
          <w:u w:val="single"/>
          <w:lang w:val="es-PE"/>
        </w:rPr>
      </w:pPr>
    </w:p>
    <w:p w:rsidRPr="00360239" w:rsidR="00360239" w:rsidP="00360239" w:rsidRDefault="00360239" w14:paraId="59F1422C"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rsidRPr="00360239" w:rsidR="00360239" w:rsidP="00360239" w:rsidRDefault="00360239" w14:paraId="4E34CECE"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360239" w:rsidR="00360239" w:rsidP="00360239" w:rsidRDefault="00360239" w14:paraId="101A6F89" w14:textId="77777777">
      <w:pPr>
        <w:spacing w:line="240" w:lineRule="auto"/>
        <w:jc w:val="both"/>
        <w:rPr>
          <w:rFonts w:ascii="Times New Roman" w:hAnsi="Times New Roman" w:cs="Times New Roman"/>
          <w:sz w:val="24"/>
          <w:szCs w:val="24"/>
          <w:lang w:val="es-ES"/>
        </w:rPr>
      </w:pPr>
      <w:r>
        <w:rPr>
          <w:rFonts w:ascii="Times New Roman" w:hAnsi="Times New Roman"/>
          <w:sz w:val="24"/>
        </w:rPr>
        <w:t xml:space="preserve">SEGUNDO: El Recurso de Impugnación presentado por la aseguradora no se sustenta en nueva prueba sino en tratar de desvirtuar los fundamentos de la Resolución Impugnada, invocando que el hecho que el asegurado presentó la denuncia policial fuera del plazo establecido en el Seguro y no se ha demostrado que le fue imposible de realizar por caso fortuito o fuerza mayor.</w:t>
      </w:r>
    </w:p>
    <w:p w:rsidRPr="00360239" w:rsidR="00360239" w:rsidP="00360239" w:rsidRDefault="00360239" w14:paraId="6025C6F8" w14:textId="77777777">
      <w:pPr>
        <w:spacing w:line="240" w:lineRule="auto"/>
        <w:jc w:val="both"/>
        <w:rPr>
          <w:rFonts w:ascii="Times New Roman" w:hAnsi="Times New Roman" w:cs="Times New Roman"/>
          <w:sz w:val="24"/>
          <w:szCs w:val="24"/>
          <w:lang w:val="es-PE"/>
        </w:rPr>
      </w:pPr>
      <w:r w:rsidRPr="00360239">
        <w:rPr>
          <w:rFonts w:ascii="Times New Roman" w:hAnsi="Times New Roman" w:cs="Times New Roman"/>
          <w:sz w:val="24"/>
          <w:szCs w:val="24"/>
          <w:lang w:val="es-PE"/>
        </w:rPr>
        <w:t>Sobre el particular, este Colegiado reitera que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 En el presente caso la aseguradora no ha demostrado cómo la denuncia policial efectuada en un plazo mayor a 48 horas ha influido en el alcance de las obligaciones derivadas del contrato de seguro.</w:t>
      </w:r>
    </w:p>
    <w:p w:rsidRPr="00360239" w:rsidR="00360239" w:rsidP="00360239" w:rsidRDefault="00360239" w14:paraId="05D1D669"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Como se indica en la Resolución Impugnada, si bien, podría sostenerse que la denuncia policial luego de transcurridas las 48 horas de producido el extravío, genera un perjuicio para la compañía aseguradora, añadiendo que mientras mayor sea el lapso de tiempo de la ocurrencia del evento de pérdida de la tarjeta y la denuncia, la evidencia para una investigación de la Policía Nacional va desapareciendo y ello dificulta a la aseguradora poder determinar la existencia de algún tipo de fraude; ello tiene sentido en otro tipo de siniestros donde es necesario realizar una investigación para conocer la causa del siniestro, pero tratándose de la realización de un consumo indebido luego del extravío de una tarjeta, dicha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 la propia titular de la tarjeta, lo que entendemos se habría hecho dentro del plazo, en tanto no ha sido invocado como causal de rechazo.</w:t>
      </w:r>
    </w:p>
    <w:p w:rsidRPr="00360239" w:rsidR="00360239" w:rsidP="00360239" w:rsidRDefault="00360239" w14:paraId="5E1B3350"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Sin perjuicio de lo anterior, como se advierte en la Resolución Impugnada, el artículo 59 de la Ley del Contrato de Seguros es una norma imperativa. Como tal, la norma impone un régimen legal ineludible para las partes, en virtud del cual la caducidad convencional derivada del efecto del incumplimiento de una carga queda sujeta, condicionada y limitada a que se verifiquen los requisitos y régimen que en dicho artículo se establecen.</w:t>
      </w:r>
    </w:p>
    <w:p w:rsidRPr="00360239" w:rsidR="00360239" w:rsidP="00360239" w:rsidRDefault="00360239" w14:paraId="2B623168" w14:textId="77777777">
      <w:pPr>
        <w:spacing w:line="240" w:lineRule="auto"/>
        <w:jc w:val="both"/>
        <w:rPr>
          <w:rFonts w:ascii="Times New Roman" w:hAnsi="Times New Roman" w:cs="Times New Roman"/>
          <w:sz w:val="24"/>
          <w:szCs w:val="24"/>
          <w:lang w:val="es-PE"/>
        </w:rPr>
      </w:pPr>
      <w:r w:rsidRPr="00360239">
        <w:rPr>
          <w:rFonts w:ascii="Times New Roman" w:hAnsi="Times New Roman" w:cs="Times New Roman"/>
          <w:sz w:val="24"/>
          <w:szCs w:val="24"/>
          <w:lang w:val="es-PE"/>
        </w:rPr>
        <w:t>En tanto la aseguradora no demuestre el cumplimiento de los requisitos y condiciones que le impone el referido artículo legal, el incumplimiento de la carga no producirá el efecto de liberarla de sus responsabilidades.</w:t>
      </w:r>
    </w:p>
    <w:p w:rsidRPr="00360239" w:rsidR="00360239" w:rsidP="00360239" w:rsidRDefault="00360239" w14:paraId="710E271D" w14:textId="77777777">
      <w:pPr>
        <w:spacing w:line="240" w:lineRule="auto"/>
        <w:jc w:val="both"/>
        <w:rPr>
          <w:rFonts w:ascii="Times New Roman" w:hAnsi="Times New Roman" w:cs="Times New Roman"/>
          <w:sz w:val="24"/>
          <w:szCs w:val="24"/>
          <w:lang w:val="es-PE"/>
        </w:rPr>
      </w:pPr>
    </w:p>
    <w:p w:rsidRPr="00360239" w:rsidR="00360239" w:rsidP="00360239" w:rsidRDefault="00360239" w14:paraId="46FF768D" w14:textId="77777777">
      <w:pPr>
        <w:spacing w:line="240" w:lineRule="auto"/>
        <w:jc w:val="both"/>
        <w:rPr>
          <w:rFonts w:ascii="Times New Roman" w:hAnsi="Times New Roman" w:cs="Times New Roman"/>
          <w:sz w:val="24"/>
          <w:szCs w:val="24"/>
          <w:lang w:val="es-PE"/>
        </w:rPr>
      </w:pPr>
      <w:r w:rsidRPr="00360239">
        <w:rPr>
          <w:rFonts w:ascii="Times New Roman" w:hAnsi="Times New Roman" w:cs="Times New Roman"/>
          <w:b/>
          <w:sz w:val="24"/>
          <w:szCs w:val="24"/>
          <w:u w:val="single"/>
          <w:lang w:val="es-PE"/>
        </w:rPr>
        <w:lastRenderedPageBreak/>
        <w:t>TERCERO</w:t>
      </w:r>
      <w:r w:rsidRPr="00360239">
        <w:rPr>
          <w:rFonts w:ascii="Times New Roman" w:hAnsi="Times New Roman" w:cs="Times New Roman"/>
          <w:b/>
          <w:sz w:val="24"/>
          <w:szCs w:val="24"/>
          <w:lang w:val="es-PE"/>
        </w:rPr>
        <w:t>:</w:t>
      </w:r>
      <w:r w:rsidRPr="00360239">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360239" w:rsidR="00360239" w:rsidP="00360239" w:rsidRDefault="00360239" w14:paraId="63529861" w14:textId="77777777">
      <w:pPr>
        <w:spacing w:line="240" w:lineRule="auto"/>
        <w:jc w:val="both"/>
        <w:rPr>
          <w:rFonts w:ascii="Times New Roman" w:hAnsi="Times New Roman" w:cs="Times New Roman"/>
          <w:b/>
          <w:sz w:val="24"/>
          <w:szCs w:val="24"/>
          <w:lang w:val="es-PE"/>
        </w:rPr>
      </w:pPr>
      <w:r w:rsidRPr="00360239">
        <w:rPr>
          <w:rFonts w:ascii="Times New Roman" w:hAnsi="Times New Roman" w:cs="Times New Roman"/>
          <w:b/>
          <w:sz w:val="24"/>
          <w:szCs w:val="24"/>
          <w:lang w:val="es-PE"/>
        </w:rPr>
        <w:t>RESUELVE:</w:t>
      </w:r>
    </w:p>
    <w:p w:rsidRPr="00360239" w:rsidR="00360239" w:rsidP="00360239" w:rsidRDefault="00360239" w14:paraId="67C82642"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Declarar INFUNDADO el Recurso de Impugnación interpuesto y, por consiguiente, CONFIRMAR la Resolución Nro. 136/23.</w:t>
      </w:r>
    </w:p>
    <w:p w:rsidRPr="00360239" w:rsidR="00CF6484" w:rsidP="00FA31B9" w:rsidRDefault="00CF6484" w14:paraId="6BCF9165"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360239" w:rsidR="00231C58" w:rsidP="005A40A4" w:rsidRDefault="0091528B" w14:paraId="2B9BAAC8" w14:textId="248B8FF6">
      <w:pPr>
        <w:suppressAutoHyphens/>
        <w:spacing w:after="0" w:line="240" w:lineRule="auto"/>
        <w:jc w:val="right"/>
        <w:outlineLvl w:val="0"/>
        <w:rPr>
          <w:rFonts w:ascii="Times New Roman" w:hAnsi="Times New Roman" w:eastAsia="Arial Unicode MS" w:cs="Times New Roman"/>
          <w:sz w:val="24"/>
          <w:szCs w:val="24"/>
          <w:lang w:val="es-PE" w:eastAsia="ar-SA"/>
        </w:rPr>
      </w:pPr>
      <w:r w:rsidRPr="00360239">
        <w:rPr>
          <w:rFonts w:ascii="Times New Roman" w:hAnsi="Times New Roman" w:eastAsia="Arial Unicode MS" w:cs="Times New Roman"/>
          <w:sz w:val="24"/>
          <w:szCs w:val="24"/>
          <w:lang w:val="es-PE" w:eastAsia="ar-SA"/>
        </w:rPr>
        <w:t xml:space="preserve">Lima, </w:t>
      </w:r>
      <w:r w:rsidRPr="00360239" w:rsidR="0046647B">
        <w:rPr>
          <w:rFonts w:ascii="Times New Roman" w:hAnsi="Times New Roman" w:eastAsia="Arial Unicode MS" w:cs="Times New Roman"/>
          <w:sz w:val="24"/>
          <w:szCs w:val="24"/>
          <w:lang w:val="es-PE" w:eastAsia="ar-SA"/>
        </w:rPr>
        <w:t>31</w:t>
      </w:r>
      <w:r w:rsidRPr="00360239" w:rsidR="00701639">
        <w:rPr>
          <w:rFonts w:ascii="Times New Roman" w:hAnsi="Times New Roman" w:eastAsia="Arial Unicode MS" w:cs="Times New Roman"/>
          <w:sz w:val="24"/>
          <w:szCs w:val="24"/>
          <w:lang w:val="es-PE" w:eastAsia="ar-SA"/>
        </w:rPr>
        <w:t xml:space="preserve"> </w:t>
      </w:r>
      <w:r w:rsidRPr="00360239" w:rsidR="00707C99">
        <w:rPr>
          <w:rFonts w:ascii="Times New Roman" w:hAnsi="Times New Roman" w:eastAsia="Arial Unicode MS" w:cs="Times New Roman"/>
          <w:sz w:val="24"/>
          <w:szCs w:val="24"/>
          <w:lang w:val="es-PE" w:eastAsia="ar-SA"/>
        </w:rPr>
        <w:t xml:space="preserve">de </w:t>
      </w:r>
      <w:r w:rsidRPr="00360239" w:rsidR="0042236E">
        <w:rPr>
          <w:rFonts w:ascii="Times New Roman" w:hAnsi="Times New Roman" w:eastAsia="Arial Unicode MS" w:cs="Times New Roman"/>
          <w:sz w:val="24"/>
          <w:szCs w:val="24"/>
          <w:lang w:val="es-PE" w:eastAsia="ar-SA"/>
        </w:rPr>
        <w:t>agosto</w:t>
      </w:r>
      <w:r w:rsidRPr="00360239" w:rsidR="002F478E">
        <w:rPr>
          <w:rFonts w:ascii="Times New Roman" w:hAnsi="Times New Roman" w:eastAsia="Arial Unicode MS" w:cs="Times New Roman"/>
          <w:sz w:val="24"/>
          <w:szCs w:val="24"/>
          <w:lang w:val="es-PE" w:eastAsia="ar-SA"/>
        </w:rPr>
        <w:t xml:space="preserve"> </w:t>
      </w:r>
      <w:r w:rsidRPr="00360239" w:rsidR="00F06498">
        <w:rPr>
          <w:rFonts w:ascii="Times New Roman" w:hAnsi="Times New Roman" w:eastAsia="Arial Unicode MS" w:cs="Times New Roman"/>
          <w:sz w:val="24"/>
          <w:szCs w:val="24"/>
          <w:lang w:val="es-PE" w:eastAsia="ar-SA"/>
        </w:rPr>
        <w:t>de 202</w:t>
      </w:r>
      <w:r w:rsidRPr="00360239" w:rsidR="00B340D4">
        <w:rPr>
          <w:rFonts w:ascii="Times New Roman" w:hAnsi="Times New Roman" w:eastAsia="Arial Unicode MS" w:cs="Times New Roman"/>
          <w:sz w:val="24"/>
          <w:szCs w:val="24"/>
          <w:lang w:val="es-PE" w:eastAsia="ar-SA"/>
        </w:rPr>
        <w:t>3</w:t>
      </w:r>
      <w:r w:rsidRPr="00360239" w:rsidR="00707C99">
        <w:rPr>
          <w:rFonts w:ascii="Times New Roman" w:hAnsi="Times New Roman" w:eastAsia="Times New Roman" w:cs="Times New Roman"/>
          <w:sz w:val="24"/>
          <w:szCs w:val="24"/>
          <w:lang w:val="es-PE" w:eastAsia="ar-SA"/>
        </w:rPr>
        <w:t xml:space="preserve"> </w:t>
      </w:r>
    </w:p>
    <w:p w:rsidRPr="00360239"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60239"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36023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60239"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360239" w:rsidR="00206718" w:rsidP="00206718" w:rsidRDefault="00206718" w14:paraId="71C4B234" w14:textId="77777777">
      <w:pPr>
        <w:spacing w:after="0" w:line="360" w:lineRule="auto"/>
        <w:jc w:val="center"/>
        <w:rPr>
          <w:rFonts w:ascii="Times New Roman" w:hAnsi="Times New Roman" w:cs="Times New Roman"/>
          <w:b/>
          <w:bCs/>
          <w:sz w:val="24"/>
          <w:szCs w:val="24"/>
          <w:lang w:val="es-PE"/>
        </w:rPr>
      </w:pPr>
      <w:r w:rsidRPr="00360239">
        <w:rPr>
          <w:rFonts w:ascii="Times New Roman" w:hAnsi="Times New Roman" w:cs="Times New Roman"/>
          <w:b/>
          <w:bCs/>
          <w:sz w:val="24"/>
          <w:szCs w:val="24"/>
          <w:lang w:val="es-PE"/>
        </w:rPr>
        <w:t xml:space="preserve">Omar Alfaro Villanueva – </w:t>
      </w:r>
      <w:proofErr w:type="gramStart"/>
      <w:r w:rsidRPr="00360239">
        <w:rPr>
          <w:rFonts w:ascii="Times New Roman" w:hAnsi="Times New Roman" w:cs="Times New Roman"/>
          <w:b/>
          <w:bCs/>
          <w:sz w:val="24"/>
          <w:szCs w:val="24"/>
          <w:lang w:val="es-PE"/>
        </w:rPr>
        <w:t>Presidente</w:t>
      </w:r>
      <w:proofErr w:type="gramEnd"/>
    </w:p>
    <w:p w:rsidRPr="00360239"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360239">
        <w:rPr>
          <w:rFonts w:ascii="Times New Roman" w:hAnsi="Times New Roman" w:cs="Times New Roman"/>
          <w:b/>
          <w:bCs/>
          <w:sz w:val="24"/>
          <w:szCs w:val="24"/>
          <w:lang w:val="es-PE"/>
        </w:rPr>
        <w:t>María Eugenia Valdez Fernández Baca – Vocal</w:t>
      </w:r>
    </w:p>
    <w:p w:rsidRPr="00360239" w:rsidR="00206718" w:rsidP="00206718" w:rsidRDefault="00206718" w14:paraId="1F8E6EA2" w14:textId="77777777">
      <w:pPr>
        <w:spacing w:after="0" w:line="360" w:lineRule="auto"/>
        <w:jc w:val="center"/>
        <w:rPr>
          <w:rFonts w:ascii="Times New Roman" w:hAnsi="Times New Roman" w:cs="Times New Roman"/>
          <w:sz w:val="24"/>
          <w:szCs w:val="24"/>
          <w:lang w:val="es-PE"/>
        </w:rPr>
      </w:pPr>
      <w:r w:rsidRPr="00360239">
        <w:rPr>
          <w:rFonts w:ascii="Times New Roman" w:hAnsi="Times New Roman" w:cs="Times New Roman"/>
          <w:b/>
          <w:bCs/>
          <w:sz w:val="24"/>
          <w:szCs w:val="24"/>
          <w:lang w:val="es-PE"/>
        </w:rPr>
        <w:t>Gonzalo Abad del Busto – Vocal</w:t>
      </w:r>
    </w:p>
    <w:p w:rsidRPr="00FB297F"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4273" w:rsidP="00784355" w:rsidRDefault="00A94273" w14:paraId="796FB659" w14:textId="77777777">
      <w:pPr>
        <w:spacing w:after="0" w:line="240" w:lineRule="auto"/>
      </w:pPr>
      <w:r>
        <w:separator/>
      </w:r>
    </w:p>
  </w:endnote>
  <w:endnote w:type="continuationSeparator" w:id="0">
    <w:p w:rsidR="00A94273" w:rsidP="00784355" w:rsidRDefault="00A94273" w14:paraId="77F224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4273" w:rsidP="00784355" w:rsidRDefault="00A94273" w14:paraId="73F0DA8C" w14:textId="77777777">
      <w:pPr>
        <w:spacing w:after="0" w:line="240" w:lineRule="auto"/>
      </w:pPr>
      <w:r>
        <w:separator/>
      </w:r>
    </w:p>
  </w:footnote>
  <w:footnote w:type="continuationSeparator" w:id="0">
    <w:p w:rsidR="00A94273" w:rsidP="00784355" w:rsidRDefault="00A94273" w14:paraId="7F777ED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0"/>
  </w:num>
  <w:num w:numId="3" w16cid:durableId="333261791">
    <w:abstractNumId w:val="8"/>
  </w:num>
  <w:num w:numId="4" w16cid:durableId="1770345525">
    <w:abstractNumId w:val="7"/>
  </w:num>
  <w:num w:numId="5" w16cid:durableId="1816144979">
    <w:abstractNumId w:val="9"/>
  </w:num>
  <w:num w:numId="6" w16cid:durableId="1304313350">
    <w:abstractNumId w:val="0"/>
  </w:num>
  <w:num w:numId="7" w16cid:durableId="16682880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17DA"/>
    <w:rsid w:val="000F6340"/>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4D95BAB"/>
    <w:rsid w:val="19B8A4E7"/>
    <w:rsid w:val="27682AA5"/>
    <w:rsid w:val="2DAE23BF"/>
    <w:rsid w:val="46ACD1AB"/>
    <w:rsid w:val="565B2645"/>
    <w:rsid w:val="65755F6A"/>
    <w:rsid w:val="6D7B5FAB"/>
    <w:rsid w:val="78264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1ACB85C-0622-4254-AE3D-6FB9C01ACCF1}"/>
</file>

<file path=customXml/itemProps3.xml><?xml version="1.0" encoding="utf-8"?>
<ds:datastoreItem xmlns:ds="http://schemas.openxmlformats.org/officeDocument/2006/customXml" ds:itemID="{63AE9120-082B-4975-9FCC-0020C0AD475F}"/>
</file>

<file path=customXml/itemProps4.xml><?xml version="1.0" encoding="utf-8"?>
<ds:datastoreItem xmlns:ds="http://schemas.openxmlformats.org/officeDocument/2006/customXml" ds:itemID="{7E7663CC-87F1-4B44-88A6-25E5C9BC3CE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115</cp:revision>
  <cp:lastPrinted>2023-08-31T14:07:00Z</cp:lastPrinted>
  <dcterms:created xsi:type="dcterms:W3CDTF">2023-02-14T22:37:00Z</dcterms:created>
  <dcterms:modified xsi:type="dcterms:W3CDTF">2025-12-03T20:00:33Z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