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D2A4B" w:rsidR="00707C99" w:rsidP="00272F4F" w:rsidRDefault="00201C0D" w14:paraId="19FE0E96" w14:textId="14E955C6">
      <w:pPr>
        <w:spacing w:after="0" w:line="240" w:lineRule="auto"/>
        <w:jc w:val="center"/>
        <w:rPr>
          <w:rFonts w:ascii="Times New Roman" w:hAnsi="Times New Roman" w:cs="Times New Roman"/>
          <w:b/>
          <w:sz w:val="24"/>
          <w:szCs w:val="24"/>
          <w:lang w:val="es-PE" w:eastAsia="ar-SA"/>
        </w:rPr>
      </w:pPr>
      <w:r w:rsidRPr="007D2A4B">
        <w:rPr>
          <w:rFonts w:ascii="Times New Roman" w:hAnsi="Times New Roman" w:cs="Times New Roman"/>
          <w:b/>
          <w:sz w:val="24"/>
          <w:szCs w:val="24"/>
          <w:lang w:val="es-PE" w:eastAsia="ar-SA"/>
        </w:rPr>
        <w:t xml:space="preserve">RESOLUCIÓN DE RECURSO IMPUGNATIVO </w:t>
      </w:r>
      <w:r w:rsidRPr="007D2A4B" w:rsidR="00707C99">
        <w:rPr>
          <w:rFonts w:ascii="Times New Roman" w:hAnsi="Times New Roman" w:cs="Times New Roman"/>
          <w:b/>
          <w:sz w:val="24"/>
          <w:szCs w:val="24"/>
          <w:lang w:val="es-PE" w:eastAsia="ar-SA"/>
        </w:rPr>
        <w:t xml:space="preserve">N° </w:t>
      </w:r>
      <w:r w:rsidRPr="007D2A4B" w:rsidR="00516293">
        <w:rPr>
          <w:rFonts w:ascii="Times New Roman" w:hAnsi="Times New Roman" w:cs="Times New Roman"/>
          <w:b/>
          <w:sz w:val="24"/>
          <w:szCs w:val="24"/>
          <w:lang w:val="es-PE" w:eastAsia="ar-SA"/>
        </w:rPr>
        <w:t>0</w:t>
      </w:r>
      <w:r w:rsidRPr="007D2A4B" w:rsidR="009A40B3">
        <w:rPr>
          <w:rFonts w:ascii="Times New Roman" w:hAnsi="Times New Roman" w:cs="Times New Roman"/>
          <w:b/>
          <w:sz w:val="24"/>
          <w:szCs w:val="24"/>
          <w:lang w:val="es-PE" w:eastAsia="ar-SA"/>
        </w:rPr>
        <w:t>3</w:t>
      </w:r>
      <w:r w:rsidRPr="007D2A4B" w:rsidR="00986F0C">
        <w:rPr>
          <w:rFonts w:ascii="Times New Roman" w:hAnsi="Times New Roman" w:cs="Times New Roman"/>
          <w:b/>
          <w:sz w:val="24"/>
          <w:szCs w:val="24"/>
          <w:lang w:val="es-PE" w:eastAsia="ar-SA"/>
        </w:rPr>
        <w:t>9</w:t>
      </w:r>
      <w:r w:rsidRPr="007D2A4B" w:rsidR="00C671F5">
        <w:rPr>
          <w:rFonts w:ascii="Times New Roman" w:hAnsi="Times New Roman" w:cs="Times New Roman"/>
          <w:b/>
          <w:sz w:val="24"/>
          <w:szCs w:val="24"/>
          <w:lang w:val="es-PE" w:eastAsia="ar-SA"/>
        </w:rPr>
        <w:t>/2</w:t>
      </w:r>
      <w:r w:rsidRPr="007D2A4B" w:rsidR="00AB7BFE">
        <w:rPr>
          <w:rFonts w:ascii="Times New Roman" w:hAnsi="Times New Roman" w:cs="Times New Roman"/>
          <w:b/>
          <w:sz w:val="24"/>
          <w:szCs w:val="24"/>
          <w:lang w:val="es-PE" w:eastAsia="ar-SA"/>
        </w:rPr>
        <w:t>3</w:t>
      </w:r>
    </w:p>
    <w:p w:rsidRPr="007D2A4B" w:rsidR="00AC4C86" w:rsidP="00FA31B9" w:rsidRDefault="00AC4C86" w14:paraId="178DAC63" w14:textId="77777777">
      <w:pPr>
        <w:suppressAutoHyphens/>
        <w:spacing w:after="0" w:line="240" w:lineRule="auto"/>
        <w:outlineLvl w:val="0"/>
        <w:rPr>
          <w:rFonts w:ascii="Times New Roman" w:hAnsi="Times New Roman" w:cs="Times New Roman"/>
          <w:b/>
          <w:sz w:val="24"/>
          <w:szCs w:val="24"/>
          <w:lang w:val="es-PE"/>
        </w:rPr>
      </w:pPr>
    </w:p>
    <w:p w:rsidRPr="007D2A4B" w:rsidR="0099320E" w:rsidP="0099320E" w:rsidRDefault="0099320E" w14:paraId="52F610CB" w14:textId="77777777">
      <w:pPr>
        <w:spacing w:after="0" w:line="240" w:lineRule="auto"/>
        <w:rPr>
          <w:rFonts w:ascii="Times New Roman" w:hAnsi="Times New Roman" w:cs="Times New Roman"/>
          <w:sz w:val="24"/>
          <w:szCs w:val="24"/>
          <w:lang w:val="es-PE"/>
        </w:rPr>
      </w:pPr>
    </w:p>
    <w:p w:rsidRPr="007D2A4B" w:rsidR="007D2A4B" w:rsidP="007D2A4B" w:rsidRDefault="007D2A4B" w14:paraId="44456F3D" w14:textId="77777777">
      <w:pPr>
        <w:spacing w:line="240" w:lineRule="auto"/>
        <w:jc w:val="both"/>
        <w:outlineLvl w:val="0"/>
        <w:rPr>
          <w:rFonts w:ascii="Times New Roman" w:hAnsi="Times New Roman" w:cs="Times New Roman"/>
          <w:b/>
          <w:bCs/>
          <w:lang w:val="es-MX"/>
        </w:rPr>
      </w:pPr>
      <w:r w:rsidRPr="007D2A4B">
        <w:rPr>
          <w:rFonts w:ascii="Times New Roman" w:hAnsi="Times New Roman" w:cs="Times New Roman"/>
          <w:b/>
          <w:bCs/>
          <w:sz w:val="24"/>
          <w:lang w:val="es-MX"/>
        </w:rPr>
        <w:t>VISTOS:</w:t>
      </w:r>
    </w:p>
    <w:p w:rsidRPr="007D2A4B" w:rsidR="007D2A4B" w:rsidP="007D2A4B" w:rsidRDefault="007D2A4B" w14:paraId="61A01C6A" w14:textId="6826767D">
      <w:pPr>
        <w:pStyle w:val="Default"/>
        <w:spacing w:line="240" w:lineRule="auto"/>
        <w:jc w:val="both"/>
        <w:rPr>
          <w:rFonts w:ascii="Times New Roman" w:hAnsi="Times New Roman" w:cs="Times New Roman"/>
        </w:rPr>
      </w:pPr>
      <w:r>
        <w:rPr>
          <w:rFonts w:ascii="Times New Roman" w:hAnsi="Times New Roman"/>
          <w:sz w:val="24"/>
        </w:rPr>
        <w:t xml:space="preserve">El Recurso de Impugnación presentado por .................................................. respecto de la Resolución Nro. 091/23, expedida por la Defensoría del Asegurado y, conforme a la cual se declaró INFUNDADA la reclamación interpuesta contra ........................................ con relación al …………………/MÚLTIPLE – PÓLIZA No ................, y FUNDADA la reclamación en cuanto al ………………… - PÓLIZA No .................</w:t>
      </w:r>
    </w:p>
    <w:p w:rsidRPr="007D2A4B" w:rsidR="007D2A4B" w:rsidP="007D2A4B" w:rsidRDefault="007D2A4B" w14:paraId="566F0305" w14:textId="77777777">
      <w:pPr>
        <w:pStyle w:val="Default"/>
        <w:spacing w:line="240" w:lineRule="auto"/>
        <w:jc w:val="both"/>
        <w:rPr>
          <w:rFonts w:ascii="Times New Roman" w:hAnsi="Times New Roman" w:cs="Times New Roman"/>
        </w:rPr>
      </w:pPr>
    </w:p>
    <w:p w:rsidRPr="007D2A4B" w:rsidR="007D2A4B" w:rsidP="007D2A4B" w:rsidRDefault="007D2A4B" w14:paraId="7BD3C1F6" w14:textId="21E261C7">
      <w:pPr>
        <w:pStyle w:val="Textoindependiente"/>
        <w:spacing w:line="240" w:lineRule="auto"/>
      </w:pPr>
      <w:r>
        <w:rPr>
          <w:rFonts w:ascii="Times New Roman" w:hAnsi="Times New Roman"/>
          <w:sz w:val="24"/>
        </w:rPr>
        <w:t xml:space="preserve">Que, el indicado recurso se sustenta resumidamente en lo siguiente: (1) ciertamente su padecimiento de esquizofrenia está documentado a través de Historia Clínica antes de la adquisición del seguro de desgravamen/múltiple (Enero 2019); (2) la Resolución Impugnada se limita a considerar dicho padecimiento como una situación estática e invariable en el tiempo; (3) esa enfermedad, hacia el 2007, considerada leve se tornó incapacitante luego de la adquisición de la póliza de seguro de desgravamen/múltiple ................, según se acredita mediante resolución CONADIS y corroborada en entrevistas médicas recientes de comisión evaluadora, a lo que se suman las frecuentes crisis asmáticas y desarrollo de Síndrome de Cushing que ocasiona también regulares atenciones de emergencias hospitalarias por crisis de hiperglucemia (Diabetes) según es corroborable en sus admisiones e internamientos hospitalarios en los hospitales MINSA San José (Callao) y Sta. Rosa (Pueblo Libre); (4) es por esta involución de su estado de salud que solicita la aplicación de la cobertura de la Póliza de desgravamen/múltiple; (5) considerar una enfermedad pre existente para su no aplicación sin considerar lo que sucede en el tiempo entre la suscripción de la póliza y la ocurrencia de un evento (empeoramiento del estado de salud) es como contratar una póliza cuando se está vivo, y luego, cuando se muere, decir que la póliza es inaplicable porque la posibilidad de muerte era pre existente; (6) la aseguradora pretende desconocer la aparición del Síndrome de Cushing, con diagnóstico irrecuperable fechado 1/6/2023, que le impide movilizarse sin apoyo de muletas / silla de ruedas y está minando el desarrollo de sus funciones vitales, según se puede corroborar en la Historia Clínica en los Hospitales MINSA San José (Callao) y Santa Rosa (Pueblo Libre); (7) ........................................ insiste en exclusiones de la cobertura de la póliza de seguros la presencia de enfermedades o dolencias pre existentes, pero malintencionadamente quieren obviar cuando esta se torna incapacitante o no, donde en el primer caso si aplica la invalidez permanente y en el segundo no, se puede tener un día un dolor de cabeza, que obviamente no incapacita, pero si este se torna crónico y agrava las funciones vitales, cambia radicalmente la situación, caso que ha ocurrido con mi padecimiento de esquizofrenia que de leve hacia el 2007 se tornó ahora en incapacitante según acreditación de CONADIS y las entrevistas para este fin que he sostenido con la comisión evaluadora. </w:t>
      </w:r>
    </w:p>
    <w:p w:rsidRPr="007D2A4B" w:rsidR="007D2A4B" w:rsidP="007D2A4B" w:rsidRDefault="007D2A4B" w14:paraId="05C4F0D5" w14:textId="77777777">
      <w:pPr>
        <w:pStyle w:val="Textoindependiente"/>
        <w:spacing w:line="240" w:lineRule="auto"/>
      </w:pPr>
    </w:p>
    <w:p w:rsidRPr="007D2A4B" w:rsidR="007D2A4B" w:rsidP="007D2A4B" w:rsidRDefault="007D2A4B" w14:paraId="6F57D598" w14:textId="77777777">
      <w:pPr>
        <w:pStyle w:val="Textoindependiente"/>
        <w:spacing w:line="240" w:lineRule="auto"/>
        <w:rPr>
          <w:color w:val="000000"/>
          <w:lang w:val="es-PE" w:eastAsia="es-PE"/>
        </w:rPr>
      </w:pPr>
      <w:r w:rsidRPr="007D2A4B">
        <w:rPr>
          <w:rFonts w:ascii="Times New Roman" w:hAnsi="Times New Roman"/>
          <w:sz w:val="24"/>
        </w:rPr>
        <w:t xml:space="preserve">Que, la aseguradora absolvió el traslado del recurso impugnatorio indicando, en síntesis, lo siguiente: (1) </w:t>
      </w:r>
      <w:r w:rsidRPr="007D2A4B">
        <w:rPr>
          <w:rFonts w:ascii="Times New Roman" w:hAnsi="Times New Roman"/>
          <w:color w:val="000000"/>
          <w:sz w:val="24"/>
          <w:lang w:val="es-PE" w:eastAsia="es-PE"/>
        </w:rPr>
        <w:t xml:space="preserve">las condiciones de la Póliza respecto a las exclusiones de cobertura no hacen distinción respecto al estado de la enfermedad preexistente que padece el asegurado, por lo tanto, no tiene relevancia si esta es leve o invalidante, basta que sea preexistente para que se aplique la condición de exclusión de cobertura; (2) conforme se verifica en el Certificado de Afiliación, se advierte expresamente que no se activa la cobertura de dicho seguro cuando la invalidez total y permanente por enfermedad del asegurado ocurre a consecuencia de </w:t>
      </w:r>
      <w:r w:rsidRPr="007D2A4B">
        <w:rPr>
          <w:rFonts w:ascii="Times New Roman" w:hAnsi="Times New Roman"/>
          <w:color w:val="000000"/>
          <w:sz w:val="24"/>
          <w:lang w:val="es-PE" w:eastAsia="es-PE"/>
        </w:rPr>
        <w:lastRenderedPageBreak/>
        <w:t>enfermedades preexistentes y/o enfermedades congénitas; (3) la referida condición fue conocida y aceptada por la reclamante, quien firmó el mencionado Certificado de Afiliación</w:t>
      </w:r>
      <w:r w:rsidRPr="007D2A4B">
        <w:rPr>
          <w:rFonts w:ascii="Times New Roman" w:hAnsi="Times New Roman"/>
          <w:b/>
          <w:color w:val="000000"/>
          <w:sz w:val="24"/>
          <w:lang w:val="es-PE" w:eastAsia="es-PE"/>
        </w:rPr>
        <w:t xml:space="preserve"> </w:t>
      </w:r>
      <w:r w:rsidRPr="007D2A4B">
        <w:rPr>
          <w:rFonts w:ascii="Times New Roman" w:hAnsi="Times New Roman"/>
          <w:color w:val="000000"/>
          <w:sz w:val="24"/>
          <w:lang w:val="es-PE" w:eastAsia="es-PE"/>
        </w:rPr>
        <w:t xml:space="preserve">en manifestación de su conformidad con los términos y condiciones del seguro; (4) de la documentación presentada por la reclamante a lo largo del procedimiento, se verifica que en el Certificado de Incapacidad N° 1572 emitido por el Hospital Víctor Larco Herrera de fecha 22 de abril de 2022, se precisa que la enfermedad causante de la incapacidad es una esquizofrenia paranoide que data del año 1998, es decir 21 años antes de la contratación de la Póliza; (5) se evidencia que la reclamante fue informada de forma adecuada y oportuna sobre los alcances del seguro contratado, particularmente lo respecto a las exclusiones de cobertura. En ese sentido, a lo largo del procedimiento se ha demostrado que el padecimiento de esquizofrenia paranoide recae en las condiciones de exclusión de la Póliza, toda vez que la enfermedad es preexistente a la afiliación del seguro de desgravamen (año 2019), de manera que el rechazo de cobertura se ampara en las condiciones de la Póliza. </w:t>
      </w:r>
    </w:p>
    <w:p w:rsidRPr="007D2A4B" w:rsidR="007D2A4B" w:rsidP="007D2A4B" w:rsidRDefault="007D2A4B" w14:paraId="17AA2D98" w14:textId="77777777">
      <w:pPr>
        <w:pStyle w:val="Textoindependiente"/>
        <w:spacing w:line="240" w:lineRule="auto"/>
      </w:pPr>
    </w:p>
    <w:p w:rsidRPr="007D2A4B" w:rsidR="007D2A4B" w:rsidP="007D2A4B" w:rsidRDefault="007D2A4B" w14:paraId="76A3DFFB" w14:textId="77777777">
      <w:pPr>
        <w:pStyle w:val="Textoindependiente"/>
        <w:tabs>
          <w:tab w:val="left" w:pos="930"/>
        </w:tabs>
        <w:spacing w:line="240" w:lineRule="auto"/>
      </w:pPr>
      <w:r w:rsidRPr="007D2A4B">
        <w:rPr>
          <w:rFonts w:ascii="Times New Roman" w:hAnsi="Times New Roman"/>
          <w:sz w:val="24"/>
        </w:rPr>
        <w:t>Que, atendiendo a lo expuesto, esta Defensoría resuelve finalmente lo siguiente:</w:t>
      </w:r>
    </w:p>
    <w:p w:rsidR="00A00055" w:rsidP="007D2A4B" w:rsidRDefault="00A00055" w14:paraId="7551610E" w14:textId="77777777">
      <w:pPr>
        <w:spacing w:line="240" w:lineRule="auto"/>
        <w:jc w:val="both"/>
        <w:rPr>
          <w:rFonts w:ascii="Times New Roman" w:hAnsi="Times New Roman" w:cs="Times New Roman"/>
          <w:b/>
          <w:u w:val="single"/>
          <w:lang w:val="es-PE"/>
        </w:rPr>
      </w:pPr>
    </w:p>
    <w:p w:rsidRPr="007D2A4B" w:rsidR="007D2A4B" w:rsidP="007D2A4B" w:rsidRDefault="007D2A4B" w14:paraId="00AA03DB" w14:textId="057BB167">
      <w:pPr>
        <w:spacing w:line="240" w:lineRule="auto"/>
        <w:jc w:val="both"/>
        <w:rPr>
          <w:rFonts w:ascii="Times New Roman" w:hAnsi="Times New Roman" w:cs="Times New Roman"/>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rsidRPr="007D2A4B" w:rsidR="007D2A4B" w:rsidP="007D2A4B" w:rsidRDefault="007D2A4B" w14:paraId="01178D52" w14:textId="77777777">
      <w:pPr>
        <w:spacing w:line="240" w:lineRule="auto"/>
        <w:jc w:val="both"/>
        <w:rPr>
          <w:rFonts w:ascii="Times New Roman" w:hAnsi="Times New Roman" w:cs="Times New Roman"/>
          <w:bCs/>
          <w:lang w:val="es-ES"/>
        </w:rPr>
      </w:pPr>
      <w:r>
        <w:rPr>
          <w:rFonts w:ascii="Times New Roman" w:hAnsi="Times New Roman"/>
          <w:sz w:val="24"/>
        </w:rPr>
        <w:t xml:space="preserve">Conforme a ello, en el caso concreto, la reclamante sustenta su impugnación al discrepar con el contenido de la Resolución Impugnada.</w:t>
      </w:r>
    </w:p>
    <w:p w:rsidRPr="007D2A4B" w:rsidR="007D2A4B" w:rsidP="007D2A4B" w:rsidRDefault="007D2A4B" w14:paraId="199358DA" w14:textId="52E53ADA">
      <w:pPr>
        <w:spacing w:line="240" w:lineRule="auto"/>
        <w:jc w:val="both"/>
        <w:rPr>
          <w:rFonts w:ascii="Times New Roman" w:hAnsi="Times New Roman" w:cs="Times New Roman"/>
          <w:color w:val="000000"/>
          <w:lang w:val="es-PE" w:eastAsia="es-PE"/>
        </w:rPr>
      </w:pPr>
      <w:r>
        <w:rPr>
          <w:rFonts w:ascii="Times New Roman" w:hAnsi="Times New Roman"/>
          <w:sz w:val="24"/>
        </w:rPr>
        <w:t xml:space="preserve">SEGUNDO: Conforme a los considerandos de la Resolución Impugnada, la reclamación fue desestimada por cuanto se verificó que, en el presente caso antes de la contratación del …………………/MÚLTIPLE – PÓLIZA No ................, la asegurada ya presentaba una enfermedad preexistente que genera como consecuencia del menoscabo alcanzado la invalidez total y permanente que se declara el 22 de abril de 2022. </w:t>
      </w:r>
    </w:p>
    <w:p w:rsidRPr="007D2A4B" w:rsidR="007D2A4B" w:rsidP="007D2A4B" w:rsidRDefault="007D2A4B" w14:paraId="3A3B21CC" w14:textId="77777777">
      <w:pPr>
        <w:spacing w:line="240" w:lineRule="auto"/>
        <w:jc w:val="both"/>
        <w:rPr>
          <w:rFonts w:ascii="Times New Roman" w:hAnsi="Times New Roman" w:cs="Times New Roman"/>
          <w:color w:val="000000"/>
          <w:lang w:val="es-PE" w:eastAsia="es-PE"/>
        </w:rPr>
      </w:pPr>
      <w:r w:rsidRPr="007D2A4B">
        <w:rPr>
          <w:rFonts w:ascii="Times New Roman" w:hAnsi="Times New Roman" w:cs="Times New Roman"/>
          <w:color w:val="000000"/>
          <w:sz w:val="24"/>
          <w:lang w:val="es-PE" w:eastAsia="es-PE"/>
        </w:rPr>
        <w:t>La reclamante pretende que la exclusión de enfermedad preexistente o enfermedades congénitas contenida en la Póliza, se aplique según el grado de dicha enfermedad al momento de la contratación del seguro.</w:t>
      </w:r>
    </w:p>
    <w:p w:rsidRPr="007D2A4B" w:rsidR="007D2A4B" w:rsidP="007D2A4B" w:rsidRDefault="007D2A4B" w14:paraId="68A91AB5" w14:textId="77777777">
      <w:pPr>
        <w:spacing w:line="240" w:lineRule="auto"/>
        <w:jc w:val="both"/>
        <w:rPr>
          <w:rFonts w:ascii="Times New Roman" w:hAnsi="Times New Roman" w:cs="Times New Roman"/>
          <w:color w:val="000000"/>
          <w:lang w:val="es-PE" w:eastAsia="es-PE"/>
        </w:rPr>
      </w:pPr>
      <w:r w:rsidRPr="007D2A4B">
        <w:rPr>
          <w:rFonts w:ascii="Times New Roman" w:hAnsi="Times New Roman" w:cs="Times New Roman"/>
          <w:color w:val="000000"/>
          <w:sz w:val="24"/>
          <w:lang w:val="es-PE" w:eastAsia="es-PE"/>
        </w:rPr>
        <w:t xml:space="preserve">Al respecto cabe advertir que dicha distinción o gradación no ha sido establecida en el pacto contractual. </w:t>
      </w:r>
    </w:p>
    <w:p w:rsidRPr="007D2A4B" w:rsidR="007D2A4B" w:rsidP="007D2A4B" w:rsidRDefault="007D2A4B" w14:paraId="3A728DE9" w14:textId="77777777">
      <w:pPr>
        <w:spacing w:line="240" w:lineRule="auto"/>
        <w:jc w:val="both"/>
        <w:rPr>
          <w:rFonts w:ascii="Times New Roman" w:hAnsi="Times New Roman" w:cs="Times New Roman"/>
          <w:color w:val="000000"/>
          <w:lang w:val="es-PE" w:eastAsia="es-PE"/>
        </w:rPr>
      </w:pPr>
      <w:r w:rsidRPr="007D2A4B">
        <w:rPr>
          <w:rFonts w:ascii="Times New Roman" w:hAnsi="Times New Roman" w:cs="Times New Roman"/>
          <w:color w:val="000000"/>
          <w:sz w:val="24"/>
          <w:lang w:val="es-PE" w:eastAsia="es-PE"/>
        </w:rPr>
        <w:t>En efecto, la literalidad de la exclusión no estipula distinción o gradación sobre el grado o evolución de la enfermedad o dolencia prexistente o congénita, por lo que no cabe distinguir donde la cláusula no distingue, limita o restringe su aplicación.</w:t>
      </w:r>
    </w:p>
    <w:p w:rsidRPr="007D2A4B" w:rsidR="007D2A4B" w:rsidP="007D2A4B" w:rsidRDefault="007D2A4B" w14:paraId="57BAFCA9" w14:textId="77777777">
      <w:pPr>
        <w:spacing w:line="240" w:lineRule="auto"/>
        <w:jc w:val="both"/>
        <w:rPr>
          <w:rFonts w:ascii="Times New Roman" w:hAnsi="Times New Roman" w:cs="Times New Roman"/>
          <w:color w:val="000000"/>
          <w:lang w:val="es-PE" w:eastAsia="es-PE"/>
        </w:rPr>
      </w:pPr>
    </w:p>
    <w:p w:rsidRPr="007D2A4B" w:rsidR="007D2A4B" w:rsidP="007D2A4B" w:rsidRDefault="007D2A4B" w14:paraId="3B7BB124" w14:textId="5AF88C2B">
      <w:pPr>
        <w:spacing w:line="240" w:lineRule="auto"/>
        <w:jc w:val="both"/>
        <w:rPr>
          <w:rFonts w:ascii="Times New Roman" w:hAnsi="Times New Roman" w:cs="Times New Roman"/>
          <w:color w:val="000000"/>
          <w:lang w:val="es-PE" w:eastAsia="es-PE"/>
        </w:rPr>
      </w:pPr>
      <w:r>
        <w:rPr>
          <w:rFonts w:ascii="Times New Roman" w:hAnsi="Times New Roman"/>
          <w:sz w:val="24"/>
        </w:rPr>
        <w:t xml:space="preserve">…………………</w:t>
      </w:r>
    </w:p>
    <w:p w:rsidRPr="007D2A4B" w:rsidR="007D2A4B" w:rsidP="007D2A4B" w:rsidRDefault="007D2A4B" w14:paraId="4090E3E0" w14:textId="77777777">
      <w:pPr>
        <w:spacing w:line="240" w:lineRule="auto"/>
        <w:jc w:val="both"/>
        <w:rPr>
          <w:rFonts w:ascii="Times New Roman" w:hAnsi="Times New Roman" w:cs="Times New Roman"/>
          <w:bCs/>
          <w:lang w:val="es-PE"/>
        </w:rPr>
      </w:pPr>
      <w:r w:rsidRPr="007D2A4B">
        <w:rPr>
          <w:rFonts w:ascii="Times New Roman" w:hAnsi="Times New Roman" w:cs="Times New Roman"/>
          <w:bCs/>
          <w:sz w:val="24"/>
          <w:lang w:val="es-PE"/>
        </w:rPr>
        <w:t xml:space="preserve">Sin perjuicio de lo anterior, se debe tener en cuenta que en virtud de la séptima regla de interpretación prevista en el artículo IV de la Ley del Contrato de Seguro, </w:t>
      </w:r>
      <w:r w:rsidRPr="007D2A4B">
        <w:rPr>
          <w:rFonts w:ascii="Times New Roman" w:hAnsi="Times New Roman" w:cs="Times New Roman"/>
          <w:bCs/>
          <w:i/>
          <w:iCs/>
          <w:sz w:val="24"/>
          <w:lang w:val="es-PE"/>
        </w:rPr>
        <w:t>“la cobertura, exclusiones y, en general, la extensión del riesgo así como los derechos de los beneficiarios, previstos en el contrato de seguro, deben interpretarse literalmente”</w:t>
      </w:r>
      <w:r w:rsidRPr="007D2A4B">
        <w:rPr>
          <w:rFonts w:ascii="Times New Roman" w:hAnsi="Times New Roman" w:cs="Times New Roman"/>
          <w:bCs/>
          <w:sz w:val="24"/>
          <w:lang w:val="es-PE"/>
        </w:rPr>
        <w:t>.</w:t>
      </w:r>
    </w:p>
    <w:p w:rsidRPr="007D2A4B" w:rsidR="007D2A4B" w:rsidP="007D2A4B" w:rsidRDefault="007D2A4B" w14:paraId="629247A7" w14:textId="77777777">
      <w:pPr>
        <w:spacing w:line="240" w:lineRule="auto"/>
        <w:jc w:val="both"/>
        <w:rPr>
          <w:rFonts w:ascii="Times New Roman" w:hAnsi="Times New Roman" w:cs="Times New Roman"/>
          <w:bCs/>
          <w:lang w:val="es-PE"/>
        </w:rPr>
      </w:pPr>
      <w:r w:rsidRPr="007D2A4B">
        <w:rPr>
          <w:rFonts w:ascii="Times New Roman" w:hAnsi="Times New Roman" w:cs="Times New Roman"/>
          <w:bCs/>
          <w:sz w:val="24"/>
          <w:lang w:val="es-PE"/>
        </w:rPr>
        <w:t xml:space="preserve">Atendiendo a lo anterior, se concluye que no existe error ni nueva prueba que contradiga el sustento fáctico de la decisión adoptada por esta Defensoría. </w:t>
      </w:r>
    </w:p>
    <w:p w:rsidRPr="007D2A4B" w:rsidR="007D2A4B" w:rsidP="007D2A4B" w:rsidRDefault="007D2A4B" w14:paraId="78A2EFA1" w14:textId="77777777">
      <w:pPr>
        <w:spacing w:line="240" w:lineRule="auto"/>
        <w:jc w:val="both"/>
        <w:rPr>
          <w:rFonts w:ascii="Times New Roman" w:hAnsi="Times New Roman" w:cs="Times New Roman"/>
          <w:lang w:val="es-ES"/>
        </w:rPr>
      </w:pPr>
      <w:r w:rsidRPr="007D2A4B">
        <w:rPr>
          <w:rFonts w:ascii="Times New Roman" w:hAnsi="Times New Roman" w:cs="Times New Roman"/>
          <w:b/>
          <w:sz w:val="24"/>
          <w:u w:val="single"/>
          <w:lang w:val="es-PE"/>
        </w:rPr>
        <w:t>TERCERO</w:t>
      </w:r>
      <w:r w:rsidRPr="007D2A4B">
        <w:rPr>
          <w:rFonts w:ascii="Times New Roman" w:hAnsi="Times New Roman" w:cs="Times New Roman"/>
          <w:b/>
          <w:sz w:val="24"/>
          <w:lang w:val="es-PE"/>
        </w:rPr>
        <w:t>:</w:t>
      </w:r>
      <w:r w:rsidRPr="007D2A4B">
        <w:rPr>
          <w:rFonts w:ascii="Times New Roman" w:hAnsi="Times New Roman" w:cs="Times New Roman"/>
          <w:sz w:val="24"/>
          <w:lang w:val="es-PE"/>
        </w:rPr>
        <w:t xml:space="preserve"> En atención a las consideraciones precedentes, este colegiado aprecia finalmente que no se ha evidenciado nueva prueba ni error ni falta de motivación, por lo que no existe mérito suficiente ni razón objetiva para revocar la resolución recurrida.</w:t>
      </w:r>
    </w:p>
    <w:p w:rsidRPr="007D2A4B" w:rsidR="007D2A4B" w:rsidP="007D2A4B" w:rsidRDefault="007D2A4B" w14:paraId="4D5D23B4" w14:textId="77777777">
      <w:pPr>
        <w:spacing w:line="240" w:lineRule="auto"/>
        <w:jc w:val="both"/>
        <w:rPr>
          <w:rFonts w:ascii="Times New Roman" w:hAnsi="Times New Roman" w:cs="Times New Roman"/>
          <w:b/>
          <w:lang w:val="es-PE"/>
        </w:rPr>
      </w:pPr>
      <w:r w:rsidRPr="007D2A4B">
        <w:rPr>
          <w:rFonts w:ascii="Times New Roman" w:hAnsi="Times New Roman" w:cs="Times New Roman"/>
          <w:b/>
          <w:sz w:val="24"/>
          <w:lang w:val="es-PE"/>
        </w:rPr>
        <w:t>RESUELVE:</w:t>
      </w:r>
    </w:p>
    <w:p w:rsidRPr="007D2A4B" w:rsidR="007D2A4B" w:rsidP="007D2A4B" w:rsidRDefault="007D2A4B" w14:paraId="000D68A7" w14:textId="77777777">
      <w:pPr>
        <w:spacing w:line="240" w:lineRule="auto"/>
        <w:jc w:val="both"/>
        <w:rPr>
          <w:rFonts w:ascii="Times New Roman" w:hAnsi="Times New Roman" w:cs="Times New Roman"/>
          <w:lang w:val="es-PE"/>
        </w:rPr>
      </w:pPr>
      <w:r>
        <w:rPr>
          <w:rFonts w:ascii="Times New Roman" w:hAnsi="Times New Roman"/>
          <w:sz w:val="24"/>
        </w:rPr>
        <w:t xml:space="preserve">Declarar INFUNDADO el Recurso de Impugnación interpuesto y, por consiguiente, CONFIRMAR la Resolución Nro. 091/23.</w:t>
      </w:r>
    </w:p>
    <w:p w:rsidRPr="007D2A4B" w:rsidR="00231C58" w:rsidP="005A40A4" w:rsidRDefault="0091528B" w14:paraId="2B9BAAC8" w14:textId="485EFDF8">
      <w:pPr>
        <w:suppressAutoHyphens/>
        <w:spacing w:after="0" w:line="240" w:lineRule="auto"/>
        <w:jc w:val="right"/>
        <w:outlineLvl w:val="0"/>
        <w:rPr>
          <w:rFonts w:ascii="Times New Roman" w:hAnsi="Times New Roman" w:eastAsia="Arial Unicode MS" w:cs="Times New Roman"/>
          <w:sz w:val="24"/>
          <w:szCs w:val="24"/>
          <w:lang w:val="es-PE" w:eastAsia="ar-SA"/>
        </w:rPr>
      </w:pPr>
      <w:r w:rsidRPr="007D2A4B">
        <w:rPr>
          <w:rFonts w:ascii="Times New Roman" w:hAnsi="Times New Roman" w:eastAsia="Arial Unicode MS" w:cs="Times New Roman"/>
          <w:sz w:val="24"/>
          <w:szCs w:val="24"/>
          <w:lang w:val="es-PE" w:eastAsia="ar-SA"/>
        </w:rPr>
        <w:t xml:space="preserve">Lima, </w:t>
      </w:r>
      <w:r w:rsidRPr="007D2A4B" w:rsidR="000A55BA">
        <w:rPr>
          <w:rFonts w:ascii="Times New Roman" w:hAnsi="Times New Roman" w:eastAsia="Arial Unicode MS" w:cs="Times New Roman"/>
          <w:sz w:val="24"/>
          <w:szCs w:val="24"/>
          <w:lang w:val="es-PE" w:eastAsia="ar-SA"/>
        </w:rPr>
        <w:t>1</w:t>
      </w:r>
      <w:r w:rsidRPr="007D2A4B" w:rsidR="00986F0C">
        <w:rPr>
          <w:rFonts w:ascii="Times New Roman" w:hAnsi="Times New Roman" w:eastAsia="Arial Unicode MS" w:cs="Times New Roman"/>
          <w:sz w:val="24"/>
          <w:szCs w:val="24"/>
          <w:lang w:val="es-PE" w:eastAsia="ar-SA"/>
        </w:rPr>
        <w:t>8</w:t>
      </w:r>
      <w:r w:rsidRPr="007D2A4B" w:rsidR="00701639">
        <w:rPr>
          <w:rFonts w:ascii="Times New Roman" w:hAnsi="Times New Roman" w:eastAsia="Arial Unicode MS" w:cs="Times New Roman"/>
          <w:sz w:val="24"/>
          <w:szCs w:val="24"/>
          <w:lang w:val="es-PE" w:eastAsia="ar-SA"/>
        </w:rPr>
        <w:t xml:space="preserve"> </w:t>
      </w:r>
      <w:r w:rsidRPr="007D2A4B" w:rsidR="00707C99">
        <w:rPr>
          <w:rFonts w:ascii="Times New Roman" w:hAnsi="Times New Roman" w:eastAsia="Arial Unicode MS" w:cs="Times New Roman"/>
          <w:sz w:val="24"/>
          <w:szCs w:val="24"/>
          <w:lang w:val="es-PE" w:eastAsia="ar-SA"/>
        </w:rPr>
        <w:t xml:space="preserve">de </w:t>
      </w:r>
      <w:r w:rsidRPr="007D2A4B" w:rsidR="000A55BA">
        <w:rPr>
          <w:rFonts w:ascii="Times New Roman" w:hAnsi="Times New Roman" w:eastAsia="Arial Unicode MS" w:cs="Times New Roman"/>
          <w:sz w:val="24"/>
          <w:szCs w:val="24"/>
          <w:lang w:val="es-PE" w:eastAsia="ar-SA"/>
        </w:rPr>
        <w:t>septiembre</w:t>
      </w:r>
      <w:r w:rsidRPr="007D2A4B" w:rsidR="002F478E">
        <w:rPr>
          <w:rFonts w:ascii="Times New Roman" w:hAnsi="Times New Roman" w:eastAsia="Arial Unicode MS" w:cs="Times New Roman"/>
          <w:sz w:val="24"/>
          <w:szCs w:val="24"/>
          <w:lang w:val="es-PE" w:eastAsia="ar-SA"/>
        </w:rPr>
        <w:t xml:space="preserve"> </w:t>
      </w:r>
      <w:r w:rsidRPr="007D2A4B" w:rsidR="00F06498">
        <w:rPr>
          <w:rFonts w:ascii="Times New Roman" w:hAnsi="Times New Roman" w:eastAsia="Arial Unicode MS" w:cs="Times New Roman"/>
          <w:sz w:val="24"/>
          <w:szCs w:val="24"/>
          <w:lang w:val="es-PE" w:eastAsia="ar-SA"/>
        </w:rPr>
        <w:t>de 202</w:t>
      </w:r>
      <w:r w:rsidRPr="007D2A4B" w:rsidR="00B340D4">
        <w:rPr>
          <w:rFonts w:ascii="Times New Roman" w:hAnsi="Times New Roman" w:eastAsia="Arial Unicode MS" w:cs="Times New Roman"/>
          <w:sz w:val="24"/>
          <w:szCs w:val="24"/>
          <w:lang w:val="es-PE" w:eastAsia="ar-SA"/>
        </w:rPr>
        <w:t>3</w:t>
      </w:r>
      <w:r w:rsidRPr="007D2A4B" w:rsidR="00707C99">
        <w:rPr>
          <w:rFonts w:ascii="Times New Roman" w:hAnsi="Times New Roman" w:eastAsia="Times New Roman" w:cs="Times New Roman"/>
          <w:sz w:val="24"/>
          <w:szCs w:val="24"/>
          <w:lang w:val="es-PE" w:eastAsia="ar-SA"/>
        </w:rPr>
        <w:t xml:space="preserve"> </w:t>
      </w:r>
    </w:p>
    <w:p w:rsidRPr="007D2A4B"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7D2A4B"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7D2A4B">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7D2A4B"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7D2A4B" w:rsidR="00942733" w:rsidP="00942733" w:rsidRDefault="00942733" w14:paraId="4EB70007" w14:textId="73D2551D">
      <w:pPr>
        <w:spacing w:after="0" w:line="360" w:lineRule="auto"/>
        <w:jc w:val="center"/>
        <w:rPr>
          <w:rFonts w:ascii="Times New Roman" w:hAnsi="Times New Roman" w:cs="Times New Roman"/>
          <w:b/>
          <w:bCs/>
          <w:sz w:val="24"/>
          <w:szCs w:val="24"/>
          <w:lang w:val="es-PE"/>
        </w:rPr>
      </w:pPr>
      <w:r w:rsidRPr="007D2A4B">
        <w:rPr>
          <w:rFonts w:ascii="Times New Roman" w:hAnsi="Times New Roman" w:cs="Times New Roman"/>
          <w:b/>
          <w:bCs/>
          <w:sz w:val="24"/>
          <w:szCs w:val="24"/>
          <w:lang w:val="es-PE"/>
        </w:rPr>
        <w:t>Rolando Eyzaguirre Maccan – Presidente</w:t>
      </w:r>
    </w:p>
    <w:p w:rsidRPr="007D2A4B"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7D2A4B">
        <w:rPr>
          <w:rFonts w:ascii="Times New Roman" w:hAnsi="Times New Roman" w:cs="Times New Roman"/>
          <w:b/>
          <w:bCs/>
          <w:sz w:val="24"/>
          <w:szCs w:val="24"/>
          <w:lang w:val="es-PE"/>
        </w:rPr>
        <w:t>María Eugenia Valdez Fernández Baca – Vocal</w:t>
      </w:r>
    </w:p>
    <w:p w:rsidRPr="007D2A4B" w:rsidR="00556526" w:rsidP="00556526" w:rsidRDefault="00556526" w14:paraId="354585F8" w14:textId="79417450">
      <w:pPr>
        <w:spacing w:after="0" w:line="360" w:lineRule="auto"/>
        <w:jc w:val="center"/>
        <w:rPr>
          <w:rFonts w:ascii="Times New Roman" w:hAnsi="Times New Roman" w:cs="Times New Roman"/>
          <w:b/>
          <w:bCs/>
          <w:sz w:val="24"/>
          <w:szCs w:val="24"/>
          <w:lang w:val="es-PE"/>
        </w:rPr>
      </w:pPr>
      <w:r w:rsidRPr="007D2A4B">
        <w:rPr>
          <w:rFonts w:ascii="Times New Roman" w:hAnsi="Times New Roman" w:cs="Times New Roman"/>
          <w:b/>
          <w:bCs/>
          <w:sz w:val="24"/>
          <w:szCs w:val="24"/>
          <w:lang w:val="es-PE"/>
        </w:rPr>
        <w:t>Omar Alfaro Villanueva – Vocal</w:t>
      </w:r>
    </w:p>
    <w:p w:rsidRPr="007D2A4B" w:rsidR="00986F0C" w:rsidP="00986F0C" w:rsidRDefault="00986F0C" w14:paraId="6E8DFFF0" w14:textId="77777777">
      <w:pPr>
        <w:spacing w:after="0" w:line="360" w:lineRule="auto"/>
        <w:jc w:val="center"/>
        <w:rPr>
          <w:rFonts w:ascii="Times New Roman" w:hAnsi="Times New Roman" w:cs="Times New Roman"/>
          <w:sz w:val="24"/>
          <w:szCs w:val="24"/>
          <w:lang w:val="es-PE"/>
        </w:rPr>
      </w:pPr>
      <w:r w:rsidRPr="007D2A4B">
        <w:rPr>
          <w:rFonts w:ascii="Times New Roman" w:hAnsi="Times New Roman" w:cs="Times New Roman"/>
          <w:b/>
          <w:bCs/>
          <w:sz w:val="24"/>
          <w:szCs w:val="24"/>
          <w:lang w:val="es-PE"/>
        </w:rPr>
        <w:t>Gonzalo Abad del Busto – Vocal</w:t>
      </w:r>
    </w:p>
    <w:p w:rsidRPr="007D2A4B"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C4007D"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B17E56"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C4007D"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9"/>
      <w:footerReference w:type="default" r:id="rId10"/>
      <w:headerReference w:type="first" r:id="rId13"/>
      <w:footerReference w:type="first" r:id="rId14"/>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D4977" w:rsidP="00784355" w:rsidRDefault="002D4977" w14:paraId="549C6A3A" w14:textId="77777777">
      <w:pPr>
        <w:spacing w:after="0" w:line="240" w:lineRule="auto"/>
      </w:pPr>
      <w:r>
        <w:separator/>
      </w:r>
    </w:p>
  </w:endnote>
  <w:endnote w:type="continuationSeparator" w:id="0">
    <w:p w:rsidR="002D4977" w:rsidP="00784355" w:rsidRDefault="002D4977" w14:paraId="22E3A01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D4977" w:rsidP="00784355" w:rsidRDefault="002D4977" w14:paraId="26D74B2A" w14:textId="77777777">
      <w:pPr>
        <w:spacing w:after="0" w:line="240" w:lineRule="auto"/>
      </w:pPr>
      <w:r>
        <w:separator/>
      </w:r>
    </w:p>
  </w:footnote>
  <w:footnote w:type="continuationSeparator" w:id="0">
    <w:p w:rsidR="002D4977" w:rsidP="00784355" w:rsidRDefault="002D4977" w14:paraId="2A9C166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2"/>
  </w:num>
  <w:num w:numId="3" w16cid:durableId="333261791">
    <w:abstractNumId w:val="10"/>
  </w:num>
  <w:num w:numId="4" w16cid:durableId="1770345525">
    <w:abstractNumId w:val="9"/>
  </w:num>
  <w:num w:numId="5" w16cid:durableId="1816144979">
    <w:abstractNumId w:val="11"/>
  </w:num>
  <w:num w:numId="6" w16cid:durableId="1304313350">
    <w:abstractNumId w:val="0"/>
  </w:num>
  <w:num w:numId="7" w16cid:durableId="16682880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6E73"/>
    <w:rsid w:val="00077B6F"/>
    <w:rsid w:val="00080A9A"/>
    <w:rsid w:val="000835CB"/>
    <w:rsid w:val="00083D69"/>
    <w:rsid w:val="00083F50"/>
    <w:rsid w:val="00084148"/>
    <w:rsid w:val="00092684"/>
    <w:rsid w:val="000A55BA"/>
    <w:rsid w:val="000A5666"/>
    <w:rsid w:val="000A5CAA"/>
    <w:rsid w:val="000B19A0"/>
    <w:rsid w:val="000B58D8"/>
    <w:rsid w:val="000C0734"/>
    <w:rsid w:val="000C1AAB"/>
    <w:rsid w:val="000D5F00"/>
    <w:rsid w:val="000F17DA"/>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E79"/>
    <w:rsid w:val="00290CA4"/>
    <w:rsid w:val="00294D9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7D70"/>
    <w:rsid w:val="00360239"/>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6A1A"/>
    <w:rsid w:val="004A3E25"/>
    <w:rsid w:val="004B27E2"/>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E5BE6"/>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B760D"/>
    <w:rsid w:val="008D1D39"/>
    <w:rsid w:val="008D5049"/>
    <w:rsid w:val="008D6DDF"/>
    <w:rsid w:val="008F1161"/>
    <w:rsid w:val="008F479E"/>
    <w:rsid w:val="009011F1"/>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6055"/>
    <w:rsid w:val="009D7BF6"/>
    <w:rsid w:val="009E5F11"/>
    <w:rsid w:val="009E7994"/>
    <w:rsid w:val="009F143B"/>
    <w:rsid w:val="009F2EEB"/>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5E87"/>
    <w:rsid w:val="00B00552"/>
    <w:rsid w:val="00B02BEE"/>
    <w:rsid w:val="00B11C1C"/>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007D"/>
    <w:rsid w:val="00C4163B"/>
    <w:rsid w:val="00C41F24"/>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25216"/>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217C6635"/>
    <w:rsid w:val="45450746"/>
    <w:rsid w:val="476DC011"/>
    <w:rsid w:val="478A8D7C"/>
    <w:rsid w:val="4C861864"/>
    <w:rsid w:val="61C43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BA79235-B0A4-4DA7-A49A-D8D36C13FE2E}"/>
</file>

<file path=customXml/itemProps3.xml><?xml version="1.0" encoding="utf-8"?>
<ds:datastoreItem xmlns:ds="http://schemas.openxmlformats.org/officeDocument/2006/customXml" ds:itemID="{92C14DD0-22AC-43D0-8905-85957F601ACA}"/>
</file>

<file path=customXml/itemProps4.xml><?xml version="1.0" encoding="utf-8"?>
<ds:datastoreItem xmlns:ds="http://schemas.openxmlformats.org/officeDocument/2006/customXml" ds:itemID="{4737A8A3-256C-46D7-A82F-E65FA8602DE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128</cp:revision>
  <cp:lastPrinted>2023-09-18T16:47:00Z</cp:lastPrinted>
  <dcterms:created xsi:type="dcterms:W3CDTF">2023-02-14T22:37:00Z</dcterms:created>
  <dcterms:modified xsi:type="dcterms:W3CDTF">2025-12-03T20:16:14Z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