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CAE54A1" w:rsidP="5CAE54A1" w:rsidRDefault="5CAE54A1" w14:paraId="6AEED148" w14:textId="2AF73481">
      <w:pPr>
        <w:spacing w:after="0" w:line="240" w:lineRule="auto"/>
        <w:jc w:val="center"/>
        <w:rPr>
          <w:rFonts w:ascii="Times New Roman" w:hAnsi="Times New Roman" w:cs="Times New Roman"/>
          <w:b w:val="1"/>
          <w:bCs w:val="1"/>
          <w:sz w:val="24"/>
          <w:szCs w:val="24"/>
          <w:lang w:val="es-PE" w:eastAsia="ar-SA"/>
        </w:rPr>
      </w:pPr>
    </w:p>
    <w:p w:rsidRPr="00AF1C99" w:rsidR="00707C99" w:rsidP="00272F4F" w:rsidRDefault="00201C0D" w14:paraId="19FE0E96" w14:textId="03F41C3F">
      <w:pPr>
        <w:spacing w:after="0" w:line="240" w:lineRule="auto"/>
        <w:jc w:val="center"/>
        <w:rPr>
          <w:rFonts w:ascii="Times New Roman" w:hAnsi="Times New Roman" w:cs="Times New Roman"/>
          <w:b/>
          <w:sz w:val="24"/>
          <w:szCs w:val="24"/>
          <w:lang w:val="es-PE" w:eastAsia="ar-SA"/>
        </w:rPr>
      </w:pPr>
      <w:r w:rsidRPr="00AF1C99">
        <w:rPr>
          <w:rFonts w:ascii="Times New Roman" w:hAnsi="Times New Roman" w:cs="Times New Roman"/>
          <w:b/>
          <w:sz w:val="24"/>
          <w:szCs w:val="24"/>
          <w:lang w:val="es-PE" w:eastAsia="ar-SA"/>
        </w:rPr>
        <w:t xml:space="preserve">RESOLUCIÓN DE RECURSO IMPUGNATIVO </w:t>
      </w:r>
      <w:proofErr w:type="spellStart"/>
      <w:r w:rsidRPr="00AF1C99" w:rsidR="00707C99">
        <w:rPr>
          <w:rFonts w:ascii="Times New Roman" w:hAnsi="Times New Roman" w:cs="Times New Roman"/>
          <w:b/>
          <w:sz w:val="24"/>
          <w:szCs w:val="24"/>
          <w:lang w:val="es-PE" w:eastAsia="ar-SA"/>
        </w:rPr>
        <w:t>N°</w:t>
      </w:r>
      <w:proofErr w:type="spellEnd"/>
      <w:r w:rsidRPr="00AF1C99" w:rsidR="00707C99">
        <w:rPr>
          <w:rFonts w:ascii="Times New Roman" w:hAnsi="Times New Roman" w:cs="Times New Roman"/>
          <w:b/>
          <w:sz w:val="24"/>
          <w:szCs w:val="24"/>
          <w:lang w:val="es-PE" w:eastAsia="ar-SA"/>
        </w:rPr>
        <w:t xml:space="preserve"> </w:t>
      </w:r>
      <w:r w:rsidRPr="00AF1C99" w:rsidR="00516293">
        <w:rPr>
          <w:rFonts w:ascii="Times New Roman" w:hAnsi="Times New Roman" w:cs="Times New Roman"/>
          <w:b/>
          <w:sz w:val="24"/>
          <w:szCs w:val="24"/>
          <w:lang w:val="es-PE" w:eastAsia="ar-SA"/>
        </w:rPr>
        <w:t>0</w:t>
      </w:r>
      <w:r w:rsidRPr="00AF1C99" w:rsidR="00D422AF">
        <w:rPr>
          <w:rFonts w:ascii="Times New Roman" w:hAnsi="Times New Roman" w:cs="Times New Roman"/>
          <w:b/>
          <w:sz w:val="24"/>
          <w:szCs w:val="24"/>
          <w:lang w:val="es-PE" w:eastAsia="ar-SA"/>
        </w:rPr>
        <w:t>40</w:t>
      </w:r>
      <w:r w:rsidRPr="00AF1C99" w:rsidR="00C671F5">
        <w:rPr>
          <w:rFonts w:ascii="Times New Roman" w:hAnsi="Times New Roman" w:cs="Times New Roman"/>
          <w:b/>
          <w:sz w:val="24"/>
          <w:szCs w:val="24"/>
          <w:lang w:val="es-PE" w:eastAsia="ar-SA"/>
        </w:rPr>
        <w:t>/2</w:t>
      </w:r>
      <w:r w:rsidRPr="00AF1C99" w:rsidR="00AB7BFE">
        <w:rPr>
          <w:rFonts w:ascii="Times New Roman" w:hAnsi="Times New Roman" w:cs="Times New Roman"/>
          <w:b/>
          <w:sz w:val="24"/>
          <w:szCs w:val="24"/>
          <w:lang w:val="es-PE" w:eastAsia="ar-SA"/>
        </w:rPr>
        <w:t>3</w:t>
      </w:r>
    </w:p>
    <w:p w:rsidRPr="00AF1C99"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AF1C99" w:rsidR="00AF1C99" w:rsidP="00AF1C99" w:rsidRDefault="00AF1C99" w14:paraId="69A5164C" w14:textId="77777777">
      <w:pPr>
        <w:spacing w:line="240" w:lineRule="auto"/>
        <w:jc w:val="both"/>
        <w:outlineLvl w:val="0"/>
        <w:rPr>
          <w:rFonts w:ascii="Times New Roman" w:hAnsi="Times New Roman" w:cs="Times New Roman"/>
          <w:b/>
          <w:bCs/>
          <w:sz w:val="24"/>
          <w:szCs w:val="24"/>
          <w:lang w:val="es-MX"/>
        </w:rPr>
      </w:pPr>
      <w:r w:rsidRPr="00AF1C99">
        <w:rPr>
          <w:rFonts w:ascii="Times New Roman" w:hAnsi="Times New Roman" w:cs="Times New Roman"/>
          <w:b/>
          <w:bCs/>
          <w:sz w:val="24"/>
          <w:szCs w:val="24"/>
          <w:lang w:val="es-MX"/>
        </w:rPr>
        <w:t>VISTOS:</w:t>
      </w:r>
    </w:p>
    <w:p w:rsidRPr="00AF1C99" w:rsidR="00AF1C99" w:rsidP="00AF1C99" w:rsidRDefault="00AF1C99" w14:paraId="4FE3D6BE" w14:textId="131D4F51">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139/23, expedida por esta Defensoría del Asegurado (DEFASEG), conforme a la cual se declaró INFUNDADA la reclamación interpuesta contra ..................................... respecto del siniestro producido el 28 de enero de 2023, en atención a su SEGURO DOMICILIARIO – PÓLIZA No .............................</w:t>
      </w:r>
    </w:p>
    <w:p w:rsidR="00AF1C99" w:rsidP="00AF1C99" w:rsidRDefault="00AF1C99" w14:paraId="15799028" w14:textId="77777777">
      <w:pPr>
        <w:pStyle w:val="Textoindependiente"/>
        <w:spacing w:line="240" w:lineRule="auto"/>
      </w:pPr>
    </w:p>
    <w:p w:rsidRPr="00AF1C99" w:rsidR="00AF1C99" w:rsidP="00AF1C99" w:rsidRDefault="00AF1C99" w14:paraId="34C1FA02" w14:textId="074D514A">
      <w:pPr>
        <w:pStyle w:val="Textoindependiente"/>
        <w:spacing w:line="240" w:lineRule="auto"/>
      </w:pPr>
      <w:r>
        <w:rPr>
          <w:rFonts w:ascii="Times New Roman" w:hAnsi="Times New Roman"/>
          <w:sz w:val="24"/>
        </w:rPr>
        <w:t xml:space="preserve">Que, el indicado recurso se sustenta resumidamente en lo siguiente: (1) la Resolución Impugnada carece de motivación y repite los argumentos inconsistentes de la aseguradora y el ajustador; (2) no se ha considerado la definición de casa habitación o vivienda de acuerdo con la normativa municipal; (3) según la Hoja Resumen (HR) y PU (predio urbano), componentes de la declaración jurada del Impuesto Predial, la Casa Habitación o Vivienda con código de contribuyente No ................. de la Municipalidad de San Luís, la casa habitación ubicada en el .............................................................................., es decir no está independizado la conchera, la cocina, la sala, los baños, los dormitorios, el patio  interior, etc.; (4) la interpretación de la Defensoría debería concordar con la Póliza y demás documentos, y en ellos debería consignarse expresamente qué partes de la vivienda no se consideran casa habitación; (5) las cláusulas del contrato no son claras por lo que se debe recurrir a la interpretación en el sentido y con el alcance más favorable al asegurado conforme lo dispone la Ley del Contrato de Seguro. </w:t>
      </w:r>
    </w:p>
    <w:p w:rsidRPr="00AF1C99" w:rsidR="00AF1C99" w:rsidP="00AF1C99" w:rsidRDefault="00AF1C99" w14:paraId="10A0FA5E" w14:textId="77777777">
      <w:pPr>
        <w:pStyle w:val="Textoindependiente"/>
        <w:spacing w:line="240" w:lineRule="auto"/>
      </w:pPr>
    </w:p>
    <w:p w:rsidRPr="00AF1C99" w:rsidR="00AF1C99" w:rsidP="00AF1C99" w:rsidRDefault="00AF1C99" w14:paraId="0AB1A13F" w14:textId="77777777">
      <w:pPr>
        <w:pStyle w:val="Textoindependiente"/>
        <w:spacing w:line="240" w:lineRule="auto"/>
      </w:pPr>
      <w:r w:rsidRPr="00AF1C99">
        <w:rPr>
          <w:rFonts w:ascii="Times New Roman" w:hAnsi="Times New Roman"/>
          <w:sz w:val="24"/>
        </w:rPr>
        <w:t xml:space="preserve">Que, la aseguradora absolvió el traslado del recurso interpuesto, manifestando en síntesis lo siguiente: (1) </w:t>
      </w:r>
      <w:r w:rsidRPr="00AF1C99">
        <w:rPr>
          <w:rFonts w:ascii="Times New Roman" w:hAnsi="Times New Roman"/>
          <w:color w:val="000000"/>
          <w:sz w:val="24"/>
          <w:lang w:val="es-PE" w:eastAsia="es-PE"/>
        </w:rPr>
        <w:t xml:space="preserve">al momento del siniestro existía un ambiente tal (de cochera) en el que se encontraban los bienes hurtados; (2) en el numeral 3.1.5 del artículo 3 de la póliza (Bienes Excluidos) se indica lo siguiente: </w:t>
      </w:r>
      <w:r w:rsidRPr="00AF1C99">
        <w:rPr>
          <w:rFonts w:ascii="Times New Roman" w:hAnsi="Times New Roman"/>
          <w:bCs w:val="0"/>
          <w:i/>
          <w:iCs/>
          <w:color w:val="000000"/>
          <w:sz w:val="24"/>
          <w:lang w:val="es-PE" w:eastAsia="es-PE"/>
        </w:rPr>
        <w:t>"3.1.5. Bienes que estén fuera de los emplazamientos o inmuebles designados en la póliza como lugar de seguro</w:t>
      </w:r>
      <w:r w:rsidRPr="00AF1C99">
        <w:rPr>
          <w:rFonts w:ascii="Times New Roman" w:hAnsi="Times New Roman"/>
          <w:bCs w:val="0"/>
          <w:color w:val="000000"/>
          <w:sz w:val="24"/>
          <w:lang w:val="es-PE" w:eastAsia="es-PE"/>
        </w:rPr>
        <w:t>".</w:t>
      </w:r>
    </w:p>
    <w:p w:rsidRPr="00AF1C99" w:rsidR="00AF1C99" w:rsidP="00AF1C99" w:rsidRDefault="00AF1C99" w14:paraId="5B83B119" w14:textId="77777777">
      <w:pPr>
        <w:pStyle w:val="Textoindependiente"/>
        <w:spacing w:line="240" w:lineRule="auto"/>
      </w:pPr>
    </w:p>
    <w:p w:rsidRPr="00AF1C99" w:rsidR="00AF1C99" w:rsidP="00AF1C99" w:rsidRDefault="00AF1C99" w14:paraId="662DE34C" w14:textId="77777777">
      <w:pPr>
        <w:pStyle w:val="Textoindependiente"/>
        <w:tabs>
          <w:tab w:val="left" w:pos="930"/>
        </w:tabs>
        <w:spacing w:line="240" w:lineRule="auto"/>
      </w:pPr>
      <w:r w:rsidRPr="00AF1C99">
        <w:rPr>
          <w:rFonts w:ascii="Times New Roman" w:hAnsi="Times New Roman"/>
          <w:sz w:val="24"/>
        </w:rPr>
        <w:t>Que, atendiendo a lo expuesto, esta Defensoría resuelve finalmente lo siguiente:</w:t>
      </w:r>
    </w:p>
    <w:p w:rsidR="00AF1C99" w:rsidP="00AF1C99" w:rsidRDefault="00AF1C99" w14:paraId="18503AB1" w14:textId="77777777">
      <w:pPr>
        <w:spacing w:line="240" w:lineRule="auto"/>
        <w:jc w:val="both"/>
        <w:rPr>
          <w:rFonts w:ascii="Times New Roman" w:hAnsi="Times New Roman" w:cs="Times New Roman"/>
          <w:b/>
          <w:sz w:val="24"/>
          <w:szCs w:val="24"/>
          <w:u w:val="single"/>
          <w:lang w:val="es-PE"/>
        </w:rPr>
      </w:pPr>
    </w:p>
    <w:p w:rsidRPr="00AF1C99" w:rsidR="00AF1C99" w:rsidP="00AF1C99" w:rsidRDefault="00AF1C99" w14:paraId="0610D500" w14:textId="14E7B67B">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AF1C99" w:rsidR="00AF1C99" w:rsidP="00AF1C99" w:rsidRDefault="00AF1C99" w14:paraId="771FFAC3" w14:textId="2E7A62CB">
      <w:pPr>
        <w:spacing w:line="240" w:lineRule="auto"/>
        <w:jc w:val="both"/>
        <w:rPr>
          <w:rFonts w:ascii="Times New Roman" w:hAnsi="Times New Roman" w:cs="Times New Roman"/>
          <w:bCs/>
          <w:sz w:val="24"/>
          <w:szCs w:val="24"/>
          <w:lang w:val="es-ES"/>
        </w:rPr>
      </w:pPr>
      <w:r>
        <w:rPr>
          <w:rFonts w:ascii="Times New Roman" w:hAnsi="Times New Roman"/>
          <w:sz w:val="24"/>
        </w:rPr>
        <w:t xml:space="preserve">Conforme a ello, en el caso concreto, el reclamante sustenta su impugnación al discrepar del contenido de la Resolución Impugnada sin aportar nueva prueba.</w:t>
      </w:r>
    </w:p>
    <w:p w:rsidRPr="00AF1C99" w:rsidR="00AF1C99" w:rsidP="00AF1C99" w:rsidRDefault="00AF1C99" w14:paraId="20E3F6F7"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Conforme al sexto considerando de la Resolución Impugnada, la controversia en el presente caso consiste en determinar si el rechazo de la aseguradora es legítimo o no, esto es si los bienes robados forman parte de la materia asegurada según los términos del seguro contratado.</w:t>
      </w:r>
    </w:p>
    <w:p w:rsidR="00AF1C99" w:rsidP="00AF1C99" w:rsidRDefault="00AF1C99" w14:paraId="6552A6FF" w14:textId="77777777">
      <w:pPr>
        <w:spacing w:line="240" w:lineRule="auto"/>
        <w:jc w:val="both"/>
        <w:rPr>
          <w:rFonts w:ascii="Times New Roman" w:hAnsi="Times New Roman" w:cs="Times New Roman"/>
          <w:sz w:val="24"/>
          <w:szCs w:val="24"/>
          <w:lang w:val="es-PE"/>
        </w:rPr>
      </w:pPr>
      <w:r w:rsidRPr="00AF1C99">
        <w:rPr>
          <w:rFonts w:ascii="Times New Roman" w:hAnsi="Times New Roman" w:cs="Times New Roman"/>
          <w:sz w:val="24"/>
          <w:szCs w:val="24"/>
          <w:lang w:val="es-PE"/>
        </w:rPr>
        <w:t xml:space="preserve">Es así, que en el séptimo considerando se analiza si los bienes sustraídos, esto es la bicicleta y scooter eléctrico, formaban o no parte de la materia asegurada según los términos del seguro contratado. </w:t>
      </w:r>
    </w:p>
    <w:p w:rsidRPr="00AF1C99" w:rsidR="00AF1C99" w:rsidP="00AF1C99" w:rsidRDefault="00AF1C99" w14:paraId="3CBD98FE" w14:textId="22AD16DB">
      <w:pPr>
        <w:spacing w:line="240" w:lineRule="auto"/>
        <w:jc w:val="both"/>
        <w:rPr>
          <w:rFonts w:ascii="Times New Roman" w:hAnsi="Times New Roman" w:cs="Times New Roman"/>
          <w:sz w:val="24"/>
          <w:szCs w:val="24"/>
          <w:lang w:val="es-PE"/>
        </w:rPr>
      </w:pPr>
      <w:r w:rsidRPr="00AF1C99">
        <w:rPr>
          <w:rFonts w:ascii="Times New Roman" w:hAnsi="Times New Roman" w:cs="Times New Roman"/>
          <w:sz w:val="24"/>
          <w:szCs w:val="24"/>
          <w:lang w:val="es-PE"/>
        </w:rPr>
        <w:lastRenderedPageBreak/>
        <w:t>Es así como, de la revisión de los términos estipulados en las condiciones generales del Seguro Domiciliario se verificó que los indicados bienes no forman parte de la materia asegurada, por cuanto conforme al artículo 1 para la cobertura de robo expresamente se indica que se cubre ese evento cuando ocurra en el interior del Lugar del Seguro, esto es dentro de la vivienda y no en la parte exterior de ésta.</w:t>
      </w:r>
    </w:p>
    <w:p w:rsidRPr="00AF1C99" w:rsidR="00AF1C99" w:rsidP="00AF1C99" w:rsidRDefault="00AF1C99" w14:paraId="1A7525D6"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La Resolución Impugnada no desconoce que la conchera forme parte de la casa habitación y del inmueble que se identifica como Lugar del Seguro, lo que se aprecia es que la cochera está en la parte externa de la casa habitación.</w:t>
      </w:r>
    </w:p>
    <w:p w:rsidRPr="00AF1C99" w:rsidR="00AF1C99" w:rsidP="00AF1C99" w:rsidRDefault="00AF1C99" w14:paraId="7C691972" w14:textId="77777777">
      <w:pPr>
        <w:spacing w:line="240" w:lineRule="auto"/>
        <w:jc w:val="both"/>
        <w:rPr>
          <w:rFonts w:ascii="Times New Roman" w:hAnsi="Times New Roman" w:cs="Times New Roman"/>
          <w:sz w:val="24"/>
          <w:szCs w:val="24"/>
          <w:lang w:val="es-PE"/>
        </w:rPr>
      </w:pPr>
      <w:r w:rsidRPr="00AF1C99">
        <w:rPr>
          <w:rFonts w:ascii="Times New Roman" w:hAnsi="Times New Roman" w:cs="Times New Roman"/>
          <w:sz w:val="24"/>
          <w:szCs w:val="24"/>
          <w:lang w:val="es-PE"/>
        </w:rPr>
        <w:t>Esta Defensoría ha verificado que la póliza literalmente limita la materia asegurable al contenido que se encuentre en la parte interna de la casa habitación. Por lo que, el contenido que se encuentra en la parte externa de la casa habitación no forma parte de la materia asegurada.</w:t>
      </w:r>
    </w:p>
    <w:p w:rsidRPr="00AF1C99" w:rsidR="00AF1C99" w:rsidP="00AF1C99" w:rsidRDefault="00AF1C99" w14:paraId="5649E240" w14:textId="77777777">
      <w:pPr>
        <w:spacing w:line="240" w:lineRule="auto"/>
        <w:jc w:val="both"/>
        <w:rPr>
          <w:rFonts w:ascii="Times New Roman" w:hAnsi="Times New Roman" w:cs="Times New Roman"/>
          <w:sz w:val="24"/>
          <w:szCs w:val="24"/>
          <w:lang w:val="es-PE"/>
        </w:rPr>
      </w:pPr>
      <w:r w:rsidRPr="00AF1C99">
        <w:rPr>
          <w:rFonts w:ascii="Times New Roman" w:hAnsi="Times New Roman" w:cs="Times New Roman"/>
          <w:b/>
          <w:sz w:val="24"/>
          <w:szCs w:val="24"/>
          <w:u w:val="single"/>
          <w:lang w:val="es-PE"/>
        </w:rPr>
        <w:t>TERCERO</w:t>
      </w:r>
      <w:r w:rsidRPr="00AF1C99">
        <w:rPr>
          <w:rFonts w:ascii="Times New Roman" w:hAnsi="Times New Roman" w:cs="Times New Roman"/>
          <w:b/>
          <w:sz w:val="24"/>
          <w:szCs w:val="24"/>
          <w:lang w:val="es-PE"/>
        </w:rPr>
        <w:t>:</w:t>
      </w:r>
      <w:r w:rsidRPr="00AF1C99">
        <w:rPr>
          <w:rFonts w:ascii="Times New Roman" w:hAnsi="Times New Roman" w:cs="Times New Roman"/>
          <w:sz w:val="24"/>
          <w:szCs w:val="24"/>
          <w:lang w:val="es-PE"/>
        </w:rPr>
        <w:t xml:space="preserve"> En atención a las consideraciones precedentes, este colegiado aprecia finalmente que no se ha evidenciado error ni falta de motivación, por lo que no existe mérito suficiente ni razón objetiva para revocar la resolución recurrida.</w:t>
      </w:r>
    </w:p>
    <w:p w:rsidRPr="00AF1C99" w:rsidR="00AF1C99" w:rsidP="00AF1C99" w:rsidRDefault="00AF1C99" w14:paraId="34B3B6AB" w14:textId="77777777">
      <w:pPr>
        <w:spacing w:line="240" w:lineRule="auto"/>
        <w:jc w:val="both"/>
        <w:rPr>
          <w:rFonts w:ascii="Times New Roman" w:hAnsi="Times New Roman" w:cs="Times New Roman"/>
          <w:b/>
          <w:sz w:val="24"/>
          <w:szCs w:val="24"/>
          <w:lang w:val="es-PE"/>
        </w:rPr>
      </w:pPr>
      <w:r w:rsidRPr="00AF1C99">
        <w:rPr>
          <w:rFonts w:ascii="Times New Roman" w:hAnsi="Times New Roman" w:cs="Times New Roman"/>
          <w:b/>
          <w:sz w:val="24"/>
          <w:szCs w:val="24"/>
          <w:lang w:val="es-PE"/>
        </w:rPr>
        <w:t>RESUELVE:</w:t>
      </w:r>
    </w:p>
    <w:p w:rsidRPr="00AF1C99" w:rsidR="00AF1C99" w:rsidP="00AF1C99" w:rsidRDefault="00AF1C99" w14:paraId="076E407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139/23.</w:t>
      </w:r>
    </w:p>
    <w:p w:rsidRPr="00AF1C99" w:rsidR="00231C58" w:rsidP="005A40A4" w:rsidRDefault="0091528B" w14:paraId="2B9BAAC8" w14:textId="485EFDF8">
      <w:pPr>
        <w:suppressAutoHyphens/>
        <w:spacing w:after="0" w:line="240" w:lineRule="auto"/>
        <w:jc w:val="right"/>
        <w:outlineLvl w:val="0"/>
        <w:rPr>
          <w:rFonts w:ascii="Times New Roman" w:hAnsi="Times New Roman" w:eastAsia="Arial Unicode MS" w:cs="Times New Roman"/>
          <w:sz w:val="24"/>
          <w:szCs w:val="24"/>
          <w:lang w:val="es-PE" w:eastAsia="ar-SA"/>
        </w:rPr>
      </w:pPr>
      <w:r w:rsidRPr="00AF1C99">
        <w:rPr>
          <w:rFonts w:ascii="Times New Roman" w:hAnsi="Times New Roman" w:eastAsia="Arial Unicode MS" w:cs="Times New Roman"/>
          <w:sz w:val="24"/>
          <w:szCs w:val="24"/>
          <w:lang w:val="es-PE" w:eastAsia="ar-SA"/>
        </w:rPr>
        <w:t xml:space="preserve">Lima, </w:t>
      </w:r>
      <w:r w:rsidRPr="00AF1C99" w:rsidR="000A55BA">
        <w:rPr>
          <w:rFonts w:ascii="Times New Roman" w:hAnsi="Times New Roman" w:eastAsia="Arial Unicode MS" w:cs="Times New Roman"/>
          <w:sz w:val="24"/>
          <w:szCs w:val="24"/>
          <w:lang w:val="es-PE" w:eastAsia="ar-SA"/>
        </w:rPr>
        <w:t>1</w:t>
      </w:r>
      <w:r w:rsidRPr="00AF1C99" w:rsidR="00986F0C">
        <w:rPr>
          <w:rFonts w:ascii="Times New Roman" w:hAnsi="Times New Roman" w:eastAsia="Arial Unicode MS" w:cs="Times New Roman"/>
          <w:sz w:val="24"/>
          <w:szCs w:val="24"/>
          <w:lang w:val="es-PE" w:eastAsia="ar-SA"/>
        </w:rPr>
        <w:t>8</w:t>
      </w:r>
      <w:r w:rsidRPr="00AF1C99" w:rsidR="00701639">
        <w:rPr>
          <w:rFonts w:ascii="Times New Roman" w:hAnsi="Times New Roman" w:eastAsia="Arial Unicode MS" w:cs="Times New Roman"/>
          <w:sz w:val="24"/>
          <w:szCs w:val="24"/>
          <w:lang w:val="es-PE" w:eastAsia="ar-SA"/>
        </w:rPr>
        <w:t xml:space="preserve"> </w:t>
      </w:r>
      <w:r w:rsidRPr="00AF1C99" w:rsidR="00707C99">
        <w:rPr>
          <w:rFonts w:ascii="Times New Roman" w:hAnsi="Times New Roman" w:eastAsia="Arial Unicode MS" w:cs="Times New Roman"/>
          <w:sz w:val="24"/>
          <w:szCs w:val="24"/>
          <w:lang w:val="es-PE" w:eastAsia="ar-SA"/>
        </w:rPr>
        <w:t xml:space="preserve">de </w:t>
      </w:r>
      <w:r w:rsidRPr="00AF1C99" w:rsidR="000A55BA">
        <w:rPr>
          <w:rFonts w:ascii="Times New Roman" w:hAnsi="Times New Roman" w:eastAsia="Arial Unicode MS" w:cs="Times New Roman"/>
          <w:sz w:val="24"/>
          <w:szCs w:val="24"/>
          <w:lang w:val="es-PE" w:eastAsia="ar-SA"/>
        </w:rPr>
        <w:t>septiembre</w:t>
      </w:r>
      <w:r w:rsidRPr="00AF1C99" w:rsidR="002F478E">
        <w:rPr>
          <w:rFonts w:ascii="Times New Roman" w:hAnsi="Times New Roman" w:eastAsia="Arial Unicode MS" w:cs="Times New Roman"/>
          <w:sz w:val="24"/>
          <w:szCs w:val="24"/>
          <w:lang w:val="es-PE" w:eastAsia="ar-SA"/>
        </w:rPr>
        <w:t xml:space="preserve"> </w:t>
      </w:r>
      <w:r w:rsidRPr="00AF1C99" w:rsidR="00F06498">
        <w:rPr>
          <w:rFonts w:ascii="Times New Roman" w:hAnsi="Times New Roman" w:eastAsia="Arial Unicode MS" w:cs="Times New Roman"/>
          <w:sz w:val="24"/>
          <w:szCs w:val="24"/>
          <w:lang w:val="es-PE" w:eastAsia="ar-SA"/>
        </w:rPr>
        <w:t>de 202</w:t>
      </w:r>
      <w:r w:rsidRPr="00AF1C99" w:rsidR="00B340D4">
        <w:rPr>
          <w:rFonts w:ascii="Times New Roman" w:hAnsi="Times New Roman" w:eastAsia="Arial Unicode MS" w:cs="Times New Roman"/>
          <w:sz w:val="24"/>
          <w:szCs w:val="24"/>
          <w:lang w:val="es-PE" w:eastAsia="ar-SA"/>
        </w:rPr>
        <w:t>3</w:t>
      </w:r>
      <w:r w:rsidRPr="00AF1C99" w:rsidR="00707C99">
        <w:rPr>
          <w:rFonts w:ascii="Times New Roman" w:hAnsi="Times New Roman" w:eastAsia="Times New Roman" w:cs="Times New Roman"/>
          <w:sz w:val="24"/>
          <w:szCs w:val="24"/>
          <w:lang w:val="es-PE" w:eastAsia="ar-SA"/>
        </w:rPr>
        <w:t xml:space="preserve"> </w:t>
      </w:r>
    </w:p>
    <w:p w:rsidRPr="00AF1C9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F1C9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F1C9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F1C9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F1C99"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AF1C99">
        <w:rPr>
          <w:rFonts w:ascii="Times New Roman" w:hAnsi="Times New Roman" w:cs="Times New Roman"/>
          <w:b/>
          <w:bCs/>
          <w:sz w:val="24"/>
          <w:szCs w:val="24"/>
          <w:lang w:val="es-PE"/>
        </w:rPr>
        <w:t xml:space="preserve">Rolando Eyzaguirre </w:t>
      </w:r>
      <w:proofErr w:type="spellStart"/>
      <w:r w:rsidRPr="00AF1C99">
        <w:rPr>
          <w:rFonts w:ascii="Times New Roman" w:hAnsi="Times New Roman" w:cs="Times New Roman"/>
          <w:b/>
          <w:bCs/>
          <w:sz w:val="24"/>
          <w:szCs w:val="24"/>
          <w:lang w:val="es-PE"/>
        </w:rPr>
        <w:t>Maccan</w:t>
      </w:r>
      <w:proofErr w:type="spellEnd"/>
      <w:r w:rsidRPr="00AF1C99">
        <w:rPr>
          <w:rFonts w:ascii="Times New Roman" w:hAnsi="Times New Roman" w:cs="Times New Roman"/>
          <w:b/>
          <w:bCs/>
          <w:sz w:val="24"/>
          <w:szCs w:val="24"/>
          <w:lang w:val="es-PE"/>
        </w:rPr>
        <w:t xml:space="preserve"> – </w:t>
      </w:r>
      <w:proofErr w:type="gramStart"/>
      <w:r w:rsidRPr="00AF1C99">
        <w:rPr>
          <w:rFonts w:ascii="Times New Roman" w:hAnsi="Times New Roman" w:cs="Times New Roman"/>
          <w:b/>
          <w:bCs/>
          <w:sz w:val="24"/>
          <w:szCs w:val="24"/>
          <w:lang w:val="es-PE"/>
        </w:rPr>
        <w:t>Presidente</w:t>
      </w:r>
      <w:proofErr w:type="gramEnd"/>
    </w:p>
    <w:p w:rsidRPr="00AF1C99"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AF1C99">
        <w:rPr>
          <w:rFonts w:ascii="Times New Roman" w:hAnsi="Times New Roman" w:cs="Times New Roman"/>
          <w:b/>
          <w:bCs/>
          <w:sz w:val="24"/>
          <w:szCs w:val="24"/>
          <w:lang w:val="es-PE"/>
        </w:rPr>
        <w:t>María Eugenia Valdez Fernández Baca – Vocal</w:t>
      </w:r>
    </w:p>
    <w:p w:rsidRPr="00AF1C99"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AF1C99">
        <w:rPr>
          <w:rFonts w:ascii="Times New Roman" w:hAnsi="Times New Roman" w:cs="Times New Roman"/>
          <w:b/>
          <w:bCs/>
          <w:sz w:val="24"/>
          <w:szCs w:val="24"/>
          <w:lang w:val="es-PE"/>
        </w:rPr>
        <w:t>Omar Alfaro Villanueva – Vocal</w:t>
      </w:r>
    </w:p>
    <w:p w:rsidRPr="00AF1C99" w:rsidR="00986F0C" w:rsidP="00986F0C" w:rsidRDefault="00986F0C" w14:paraId="6E8DFFF0" w14:textId="77777777">
      <w:pPr>
        <w:spacing w:after="0" w:line="360" w:lineRule="auto"/>
        <w:jc w:val="center"/>
        <w:rPr>
          <w:rFonts w:ascii="Times New Roman" w:hAnsi="Times New Roman" w:cs="Times New Roman"/>
          <w:sz w:val="24"/>
          <w:szCs w:val="24"/>
          <w:lang w:val="es-PE"/>
        </w:rPr>
      </w:pPr>
      <w:r w:rsidRPr="00AF1C99">
        <w:rPr>
          <w:rFonts w:ascii="Times New Roman" w:hAnsi="Times New Roman" w:cs="Times New Roman"/>
          <w:b/>
          <w:bCs/>
          <w:sz w:val="24"/>
          <w:szCs w:val="24"/>
          <w:lang w:val="es-PE"/>
        </w:rPr>
        <w:t>Gonzalo Abad del Busto – Vocal</w:t>
      </w:r>
    </w:p>
    <w:p w:rsidRPr="00AF1C99"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F1C99"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F1C99"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F1C9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F1C99"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F1C99"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4977" w:rsidP="00784355" w:rsidRDefault="002D4977" w14:paraId="549C6A3A" w14:textId="77777777">
      <w:pPr>
        <w:spacing w:after="0" w:line="240" w:lineRule="auto"/>
      </w:pPr>
      <w:r>
        <w:separator/>
      </w:r>
    </w:p>
  </w:endnote>
  <w:endnote w:type="continuationSeparator" w:id="0">
    <w:p w:rsidR="002D4977" w:rsidP="00784355" w:rsidRDefault="002D4977" w14:paraId="22E3A0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4977" w:rsidP="00784355" w:rsidRDefault="002D4977" w14:paraId="26D74B2A" w14:textId="77777777">
      <w:pPr>
        <w:spacing w:after="0" w:line="240" w:lineRule="auto"/>
      </w:pPr>
      <w:r>
        <w:separator/>
      </w:r>
    </w:p>
  </w:footnote>
  <w:footnote w:type="continuationSeparator" w:id="0">
    <w:p w:rsidR="002D4977" w:rsidP="00784355" w:rsidRDefault="002D4977" w14:paraId="2A9C166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1C99"/>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2AF"/>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6B3898D"/>
    <w:rsid w:val="1DEB4C36"/>
    <w:rsid w:val="21DA6C68"/>
    <w:rsid w:val="27DF86A2"/>
    <w:rsid w:val="29A0978D"/>
    <w:rsid w:val="30EB0F27"/>
    <w:rsid w:val="4040D68A"/>
    <w:rsid w:val="51C69B6A"/>
    <w:rsid w:val="5CAE54A1"/>
    <w:rsid w:val="6941B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36EC32D-AE35-4046-9C5E-791BB30D8672}"/>
</file>

<file path=customXml/itemProps3.xml><?xml version="1.0" encoding="utf-8"?>
<ds:datastoreItem xmlns:ds="http://schemas.openxmlformats.org/officeDocument/2006/customXml" ds:itemID="{56481497-F84F-401E-9269-D4834CD9EC04}"/>
</file>

<file path=customXml/itemProps4.xml><?xml version="1.0" encoding="utf-8"?>
<ds:datastoreItem xmlns:ds="http://schemas.openxmlformats.org/officeDocument/2006/customXml" ds:itemID="{DEC5D51A-F4F7-4ADC-96A0-7E84DAE7913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132</cp:revision>
  <cp:lastPrinted>2023-09-18T16:56:00Z</cp:lastPrinted>
  <dcterms:created xsi:type="dcterms:W3CDTF">2023-02-14T22:37:00Z</dcterms:created>
  <dcterms:modified xsi:type="dcterms:W3CDTF">2025-12-03T20:41:27Z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